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3A5E" w:rsidRDefault="00C73A5E" w:rsidP="00C73A5E">
      <w:pPr>
        <w:rPr>
          <w:rFonts w:ascii="Times New Roman" w:eastAsia="SimSun" w:hAnsi="Times New Roman" w:cs="Times New Roman"/>
          <w:sz w:val="24"/>
        </w:rPr>
      </w:pPr>
      <w:r>
        <w:rPr>
          <w:rFonts w:ascii="Times New Roman" w:eastAsia="SimSun" w:hAnsi="Times New Roman" w:cs="Times New Roman"/>
          <w:sz w:val="24"/>
        </w:rPr>
        <w:t>Table S1. Sensitivity analyses of the multivariable model for early neurological improvement</w:t>
      </w:r>
    </w:p>
    <w:tbl>
      <w:tblPr>
        <w:tblStyle w:val="TableGrid"/>
        <w:tblW w:w="8520" w:type="dxa"/>
        <w:jc w:val="center"/>
        <w:tblLayout w:type="fixed"/>
        <w:tblLook w:val="04A0" w:firstRow="1" w:lastRow="0" w:firstColumn="1" w:lastColumn="0" w:noHBand="0" w:noVBand="1"/>
      </w:tblPr>
      <w:tblGrid>
        <w:gridCol w:w="1605"/>
        <w:gridCol w:w="1394"/>
        <w:gridCol w:w="910"/>
        <w:gridCol w:w="1414"/>
        <w:gridCol w:w="891"/>
        <w:gridCol w:w="1395"/>
        <w:gridCol w:w="911"/>
      </w:tblGrid>
      <w:tr w:rsidR="00C73A5E" w:rsidTr="00C73A5E">
        <w:trPr>
          <w:jc w:val="center"/>
        </w:trPr>
        <w:tc>
          <w:tcPr>
            <w:tcW w:w="1606" w:type="dxa"/>
            <w:tcBorders>
              <w:top w:val="single" w:sz="4" w:space="0" w:color="auto"/>
              <w:left w:val="nil"/>
              <w:bottom w:val="single" w:sz="4" w:space="0" w:color="auto"/>
              <w:right w:val="nil"/>
            </w:tcBorders>
            <w:vAlign w:val="center"/>
            <w:hideMark/>
          </w:tcPr>
          <w:p w:rsidR="00C73A5E" w:rsidRDefault="00C73A5E">
            <w:pPr>
              <w:keepNext/>
              <w:snapToGrid w:val="0"/>
              <w:jc w:val="center"/>
              <w:rPr>
                <w:rFonts w:ascii="Times New Roman" w:hAnsi="Times New Roman" w:cs="Times New Roman"/>
                <w:kern w:val="2"/>
                <w:sz w:val="20"/>
                <w:szCs w:val="20"/>
                <w:lang w:eastAsia="zh-CN"/>
              </w:rPr>
            </w:pPr>
            <w:r>
              <w:rPr>
                <w:rFonts w:ascii="Times New Roman" w:eastAsia="SimSun" w:hAnsi="Times New Roman" w:cs="Times New Roman"/>
                <w:b/>
                <w:bCs/>
                <w:sz w:val="20"/>
                <w:szCs w:val="20"/>
                <w:lang w:bidi="ar"/>
              </w:rPr>
              <w:t>Predictor</w:t>
            </w:r>
          </w:p>
        </w:tc>
        <w:tc>
          <w:tcPr>
            <w:tcW w:w="1395" w:type="dxa"/>
            <w:tcBorders>
              <w:top w:val="single" w:sz="4" w:space="0" w:color="auto"/>
              <w:left w:val="nil"/>
              <w:bottom w:val="single" w:sz="4" w:space="0" w:color="auto"/>
              <w:right w:val="nil"/>
            </w:tcBorders>
            <w:vAlign w:val="center"/>
            <w:hideMark/>
          </w:tcPr>
          <w:p w:rsidR="00C73A5E" w:rsidRDefault="00C73A5E">
            <w:pPr>
              <w:keepNext/>
              <w:snapToGrid w:val="0"/>
              <w:jc w:val="center"/>
              <w:rPr>
                <w:rFonts w:ascii="Times New Roman" w:hAnsi="Times New Roman" w:cs="Times New Roman"/>
                <w:kern w:val="2"/>
                <w:sz w:val="20"/>
                <w:szCs w:val="20"/>
                <w:lang w:eastAsia="zh-CN"/>
              </w:rPr>
            </w:pPr>
            <w:r>
              <w:rPr>
                <w:rFonts w:ascii="Times New Roman" w:eastAsia="SimSun" w:hAnsi="Times New Roman" w:cs="Times New Roman"/>
                <w:b/>
                <w:bCs/>
                <w:sz w:val="20"/>
                <w:szCs w:val="20"/>
                <w:lang w:bidi="ar"/>
              </w:rPr>
              <w:t>Model 1 All patients (standard ENI)* Adjusted OR (95% CI)</w:t>
            </w:r>
          </w:p>
        </w:tc>
        <w:tc>
          <w:tcPr>
            <w:tcW w:w="910" w:type="dxa"/>
            <w:tcBorders>
              <w:top w:val="single" w:sz="4" w:space="0" w:color="auto"/>
              <w:left w:val="nil"/>
              <w:bottom w:val="single" w:sz="4" w:space="0" w:color="auto"/>
              <w:right w:val="nil"/>
            </w:tcBorders>
            <w:vAlign w:val="center"/>
            <w:hideMark/>
          </w:tcPr>
          <w:p w:rsidR="00C73A5E" w:rsidRDefault="00C73A5E">
            <w:pPr>
              <w:keepNext/>
              <w:snapToGrid w:val="0"/>
              <w:jc w:val="center"/>
              <w:rPr>
                <w:rFonts w:ascii="Times New Roman" w:hAnsi="Times New Roman" w:cs="Times New Roman"/>
                <w:kern w:val="2"/>
                <w:sz w:val="20"/>
                <w:szCs w:val="20"/>
                <w:lang w:eastAsia="zh-CN"/>
              </w:rPr>
            </w:pPr>
            <w:r>
              <w:rPr>
                <w:rFonts w:ascii="Times New Roman" w:eastAsia="SimSun" w:hAnsi="Times New Roman" w:cs="Times New Roman"/>
                <w:b/>
                <w:bCs/>
                <w:sz w:val="20"/>
                <w:szCs w:val="20"/>
                <w:lang w:bidi="ar"/>
              </w:rPr>
              <w:t>Model 1 p-value</w:t>
            </w:r>
          </w:p>
        </w:tc>
        <w:tc>
          <w:tcPr>
            <w:tcW w:w="1414" w:type="dxa"/>
            <w:tcBorders>
              <w:top w:val="single" w:sz="4" w:space="0" w:color="auto"/>
              <w:left w:val="nil"/>
              <w:bottom w:val="single" w:sz="4" w:space="0" w:color="auto"/>
              <w:right w:val="nil"/>
            </w:tcBorders>
            <w:vAlign w:val="center"/>
            <w:hideMark/>
          </w:tcPr>
          <w:p w:rsidR="00C73A5E" w:rsidRDefault="00C73A5E">
            <w:pPr>
              <w:keepNext/>
              <w:snapToGrid w:val="0"/>
              <w:jc w:val="center"/>
              <w:rPr>
                <w:rFonts w:ascii="Times New Roman" w:hAnsi="Times New Roman" w:cs="Times New Roman"/>
                <w:kern w:val="2"/>
                <w:sz w:val="20"/>
                <w:szCs w:val="20"/>
                <w:lang w:eastAsia="zh-CN"/>
              </w:rPr>
            </w:pPr>
            <w:r>
              <w:rPr>
                <w:rFonts w:ascii="Times New Roman" w:eastAsia="SimSun" w:hAnsi="Times New Roman" w:cs="Times New Roman"/>
                <w:b/>
                <w:bCs/>
                <w:sz w:val="20"/>
                <w:szCs w:val="20"/>
                <w:lang w:bidi="ar"/>
              </w:rPr>
              <w:t>Model 2 Anterior circulation only Adjusted OR (95% CI)</w:t>
            </w:r>
          </w:p>
        </w:tc>
        <w:tc>
          <w:tcPr>
            <w:tcW w:w="891" w:type="dxa"/>
            <w:tcBorders>
              <w:top w:val="single" w:sz="4" w:space="0" w:color="auto"/>
              <w:left w:val="nil"/>
              <w:bottom w:val="single" w:sz="4" w:space="0" w:color="auto"/>
              <w:right w:val="nil"/>
            </w:tcBorders>
            <w:vAlign w:val="center"/>
            <w:hideMark/>
          </w:tcPr>
          <w:p w:rsidR="00C73A5E" w:rsidRDefault="00C73A5E">
            <w:pPr>
              <w:keepNext/>
              <w:snapToGrid w:val="0"/>
              <w:jc w:val="center"/>
              <w:rPr>
                <w:rFonts w:ascii="Times New Roman" w:hAnsi="Times New Roman" w:cs="Times New Roman"/>
                <w:kern w:val="2"/>
                <w:sz w:val="20"/>
                <w:szCs w:val="20"/>
                <w:lang w:eastAsia="zh-CN"/>
              </w:rPr>
            </w:pPr>
            <w:r>
              <w:rPr>
                <w:rFonts w:ascii="Times New Roman" w:eastAsia="SimSun" w:hAnsi="Times New Roman" w:cs="Times New Roman"/>
                <w:b/>
                <w:bCs/>
                <w:sz w:val="20"/>
                <w:szCs w:val="20"/>
                <w:lang w:bidi="ar"/>
              </w:rPr>
              <w:t>Model 2 p-value</w:t>
            </w:r>
          </w:p>
        </w:tc>
        <w:tc>
          <w:tcPr>
            <w:tcW w:w="1395" w:type="dxa"/>
            <w:tcBorders>
              <w:top w:val="single" w:sz="4" w:space="0" w:color="auto"/>
              <w:left w:val="nil"/>
              <w:bottom w:val="single" w:sz="4" w:space="0" w:color="auto"/>
              <w:right w:val="nil"/>
            </w:tcBorders>
            <w:vAlign w:val="center"/>
            <w:hideMark/>
          </w:tcPr>
          <w:p w:rsidR="00C73A5E" w:rsidRDefault="00C73A5E">
            <w:pPr>
              <w:keepNext/>
              <w:snapToGrid w:val="0"/>
              <w:jc w:val="center"/>
              <w:rPr>
                <w:rFonts w:ascii="Times New Roman" w:hAnsi="Times New Roman" w:cs="Times New Roman"/>
                <w:kern w:val="2"/>
                <w:sz w:val="20"/>
                <w:szCs w:val="20"/>
                <w:lang w:eastAsia="zh-CN"/>
              </w:rPr>
            </w:pPr>
            <w:r>
              <w:rPr>
                <w:rFonts w:ascii="Times New Roman" w:eastAsia="SimSun" w:hAnsi="Times New Roman" w:cs="Times New Roman"/>
                <w:b/>
                <w:bCs/>
                <w:sz w:val="20"/>
                <w:szCs w:val="20"/>
                <w:lang w:bidi="ar"/>
              </w:rPr>
              <w:t>Model 3 ENI defined as NIHSS decrease ≥8 only Adjusted OR (95% CI)</w:t>
            </w:r>
          </w:p>
        </w:tc>
        <w:tc>
          <w:tcPr>
            <w:tcW w:w="911" w:type="dxa"/>
            <w:tcBorders>
              <w:top w:val="single" w:sz="4" w:space="0" w:color="auto"/>
              <w:left w:val="nil"/>
              <w:bottom w:val="single" w:sz="4" w:space="0" w:color="auto"/>
              <w:right w:val="nil"/>
            </w:tcBorders>
            <w:vAlign w:val="center"/>
            <w:hideMark/>
          </w:tcPr>
          <w:p w:rsidR="00C73A5E" w:rsidRDefault="00C73A5E">
            <w:pPr>
              <w:keepNext/>
              <w:snapToGrid w:val="0"/>
              <w:jc w:val="center"/>
              <w:rPr>
                <w:rFonts w:ascii="Times New Roman" w:hAnsi="Times New Roman" w:cs="Times New Roman"/>
                <w:kern w:val="2"/>
                <w:sz w:val="20"/>
                <w:szCs w:val="20"/>
                <w:lang w:eastAsia="zh-CN"/>
              </w:rPr>
            </w:pPr>
            <w:r>
              <w:rPr>
                <w:rFonts w:ascii="Times New Roman" w:eastAsia="SimSun" w:hAnsi="Times New Roman" w:cs="Times New Roman"/>
                <w:b/>
                <w:bCs/>
                <w:sz w:val="20"/>
                <w:szCs w:val="20"/>
                <w:lang w:bidi="ar"/>
              </w:rPr>
              <w:t>Model 3 p-value</w:t>
            </w:r>
          </w:p>
        </w:tc>
      </w:tr>
      <w:tr w:rsidR="00C73A5E" w:rsidTr="00C73A5E">
        <w:trPr>
          <w:jc w:val="center"/>
        </w:trPr>
        <w:tc>
          <w:tcPr>
            <w:tcW w:w="1606" w:type="dxa"/>
            <w:tcBorders>
              <w:top w:val="single" w:sz="4" w:space="0" w:color="auto"/>
              <w:left w:val="nil"/>
              <w:bottom w:val="nil"/>
              <w:right w:val="nil"/>
            </w:tcBorders>
            <w:vAlign w:val="center"/>
            <w:hideMark/>
          </w:tcPr>
          <w:p w:rsidR="00C73A5E" w:rsidRDefault="00C73A5E">
            <w:pPr>
              <w:keepNext/>
              <w:snapToGrid w:val="0"/>
              <w:rPr>
                <w:rFonts w:ascii="Times New Roman" w:hAnsi="Times New Roman" w:cs="Times New Roman"/>
                <w:kern w:val="2"/>
                <w:sz w:val="20"/>
                <w:szCs w:val="20"/>
                <w:lang w:eastAsia="zh-CN"/>
              </w:rPr>
            </w:pPr>
            <w:proofErr w:type="spellStart"/>
            <w:r>
              <w:rPr>
                <w:rStyle w:val="Strong"/>
                <w:rFonts w:ascii="Times New Roman" w:eastAsia="SimSun" w:hAnsi="Times New Roman" w:cs="Times New Roman"/>
                <w:sz w:val="20"/>
                <w:szCs w:val="20"/>
                <w:lang w:bidi="ar"/>
              </w:rPr>
              <w:t>NIHSS_baseline</w:t>
            </w:r>
            <w:proofErr w:type="spellEnd"/>
            <w:r>
              <w:rPr>
                <w:rStyle w:val="Strong"/>
                <w:rFonts w:ascii="Times New Roman" w:eastAsia="SimSun" w:hAnsi="Times New Roman" w:cs="Times New Roman"/>
                <w:sz w:val="20"/>
                <w:szCs w:val="20"/>
                <w:lang w:bidi="ar"/>
              </w:rPr>
              <w:t xml:space="preserve"> (per 1-point increase)</w:t>
            </w:r>
          </w:p>
        </w:tc>
        <w:tc>
          <w:tcPr>
            <w:tcW w:w="1395" w:type="dxa"/>
            <w:tcBorders>
              <w:top w:val="single" w:sz="4" w:space="0" w:color="auto"/>
              <w:left w:val="nil"/>
              <w:bottom w:val="nil"/>
              <w:right w:val="nil"/>
            </w:tcBorders>
            <w:vAlign w:val="center"/>
            <w:hideMark/>
          </w:tcPr>
          <w:p w:rsidR="00C73A5E" w:rsidRDefault="00C73A5E">
            <w:pPr>
              <w:keepNext/>
              <w:snapToGrid w:val="0"/>
              <w:rPr>
                <w:rFonts w:ascii="Times New Roman" w:hAnsi="Times New Roman" w:cs="Times New Roman"/>
                <w:kern w:val="2"/>
                <w:sz w:val="20"/>
                <w:szCs w:val="20"/>
                <w:lang w:eastAsia="zh-CN"/>
              </w:rPr>
            </w:pPr>
            <w:r>
              <w:rPr>
                <w:rFonts w:ascii="Times New Roman" w:eastAsia="SimSun" w:hAnsi="Times New Roman" w:cs="Times New Roman"/>
                <w:sz w:val="20"/>
                <w:szCs w:val="20"/>
                <w:lang w:bidi="ar"/>
              </w:rPr>
              <w:t>1.13 (1.05–1.21)</w:t>
            </w:r>
          </w:p>
        </w:tc>
        <w:tc>
          <w:tcPr>
            <w:tcW w:w="910" w:type="dxa"/>
            <w:tcBorders>
              <w:top w:val="single" w:sz="4" w:space="0" w:color="auto"/>
              <w:left w:val="nil"/>
              <w:bottom w:val="nil"/>
              <w:right w:val="nil"/>
            </w:tcBorders>
            <w:vAlign w:val="center"/>
            <w:hideMark/>
          </w:tcPr>
          <w:p w:rsidR="00C73A5E" w:rsidRDefault="00C73A5E">
            <w:pPr>
              <w:keepNext/>
              <w:snapToGrid w:val="0"/>
              <w:rPr>
                <w:rFonts w:ascii="Times New Roman" w:hAnsi="Times New Roman" w:cs="Times New Roman"/>
                <w:kern w:val="2"/>
                <w:sz w:val="20"/>
                <w:szCs w:val="20"/>
                <w:lang w:eastAsia="zh-CN"/>
              </w:rPr>
            </w:pPr>
            <w:r>
              <w:rPr>
                <w:rFonts w:ascii="Times New Roman" w:eastAsia="SimSun" w:hAnsi="Times New Roman" w:cs="Times New Roman"/>
                <w:sz w:val="20"/>
                <w:szCs w:val="20"/>
                <w:lang w:bidi="ar"/>
              </w:rPr>
              <w:t>&lt;0.001</w:t>
            </w:r>
          </w:p>
        </w:tc>
        <w:tc>
          <w:tcPr>
            <w:tcW w:w="1414" w:type="dxa"/>
            <w:tcBorders>
              <w:top w:val="single" w:sz="4" w:space="0" w:color="auto"/>
              <w:left w:val="nil"/>
              <w:bottom w:val="nil"/>
              <w:right w:val="nil"/>
            </w:tcBorders>
            <w:vAlign w:val="center"/>
            <w:hideMark/>
          </w:tcPr>
          <w:p w:rsidR="00C73A5E" w:rsidRDefault="00C73A5E">
            <w:pPr>
              <w:keepNext/>
              <w:snapToGrid w:val="0"/>
              <w:rPr>
                <w:rFonts w:ascii="Times New Roman" w:hAnsi="Times New Roman" w:cs="Times New Roman"/>
                <w:kern w:val="2"/>
                <w:sz w:val="20"/>
                <w:szCs w:val="20"/>
                <w:lang w:eastAsia="zh-CN"/>
              </w:rPr>
            </w:pPr>
            <w:r>
              <w:rPr>
                <w:rFonts w:ascii="Times New Roman" w:eastAsia="SimSun" w:hAnsi="Times New Roman" w:cs="Times New Roman"/>
                <w:sz w:val="20"/>
                <w:szCs w:val="20"/>
                <w:lang w:bidi="ar"/>
              </w:rPr>
              <w:t>1.17 (1.07–1.28)</w:t>
            </w:r>
          </w:p>
        </w:tc>
        <w:tc>
          <w:tcPr>
            <w:tcW w:w="891" w:type="dxa"/>
            <w:tcBorders>
              <w:top w:val="single" w:sz="4" w:space="0" w:color="auto"/>
              <w:left w:val="nil"/>
              <w:bottom w:val="nil"/>
              <w:right w:val="nil"/>
            </w:tcBorders>
            <w:vAlign w:val="center"/>
            <w:hideMark/>
          </w:tcPr>
          <w:p w:rsidR="00C73A5E" w:rsidRDefault="00C73A5E">
            <w:pPr>
              <w:keepNext/>
              <w:snapToGrid w:val="0"/>
              <w:rPr>
                <w:rFonts w:ascii="Times New Roman" w:hAnsi="Times New Roman" w:cs="Times New Roman"/>
                <w:kern w:val="2"/>
                <w:sz w:val="20"/>
                <w:szCs w:val="20"/>
                <w:lang w:eastAsia="zh-CN"/>
              </w:rPr>
            </w:pPr>
            <w:r>
              <w:rPr>
                <w:rFonts w:ascii="Times New Roman" w:eastAsia="SimSun" w:hAnsi="Times New Roman" w:cs="Times New Roman"/>
                <w:sz w:val="20"/>
                <w:szCs w:val="20"/>
                <w:lang w:bidi="ar"/>
              </w:rPr>
              <w:t>&lt;0.001</w:t>
            </w:r>
          </w:p>
        </w:tc>
        <w:tc>
          <w:tcPr>
            <w:tcW w:w="1395" w:type="dxa"/>
            <w:tcBorders>
              <w:top w:val="single" w:sz="4" w:space="0" w:color="auto"/>
              <w:left w:val="nil"/>
              <w:bottom w:val="nil"/>
              <w:right w:val="nil"/>
            </w:tcBorders>
            <w:vAlign w:val="center"/>
            <w:hideMark/>
          </w:tcPr>
          <w:p w:rsidR="00C73A5E" w:rsidRDefault="00C73A5E">
            <w:pPr>
              <w:keepNext/>
              <w:snapToGrid w:val="0"/>
              <w:rPr>
                <w:rFonts w:ascii="Times New Roman" w:hAnsi="Times New Roman" w:cs="Times New Roman"/>
                <w:kern w:val="2"/>
                <w:sz w:val="20"/>
                <w:szCs w:val="20"/>
                <w:lang w:eastAsia="zh-CN"/>
              </w:rPr>
            </w:pPr>
            <w:r>
              <w:rPr>
                <w:rFonts w:ascii="Times New Roman" w:eastAsia="SimSun" w:hAnsi="Times New Roman" w:cs="Times New Roman"/>
                <w:sz w:val="20"/>
                <w:szCs w:val="20"/>
                <w:lang w:bidi="ar"/>
              </w:rPr>
              <w:t>1.23 (1.14–1.34)</w:t>
            </w:r>
          </w:p>
        </w:tc>
        <w:tc>
          <w:tcPr>
            <w:tcW w:w="911" w:type="dxa"/>
            <w:tcBorders>
              <w:top w:val="single" w:sz="4" w:space="0" w:color="auto"/>
              <w:left w:val="nil"/>
              <w:bottom w:val="nil"/>
              <w:right w:val="nil"/>
            </w:tcBorders>
            <w:vAlign w:val="center"/>
            <w:hideMark/>
          </w:tcPr>
          <w:p w:rsidR="00C73A5E" w:rsidRDefault="00C73A5E">
            <w:pPr>
              <w:keepNext/>
              <w:snapToGrid w:val="0"/>
              <w:rPr>
                <w:rFonts w:ascii="Times New Roman" w:hAnsi="Times New Roman" w:cs="Times New Roman"/>
                <w:kern w:val="2"/>
                <w:sz w:val="20"/>
                <w:szCs w:val="20"/>
                <w:lang w:eastAsia="zh-CN"/>
              </w:rPr>
            </w:pPr>
            <w:r>
              <w:rPr>
                <w:rFonts w:ascii="Times New Roman" w:eastAsia="SimSun" w:hAnsi="Times New Roman" w:cs="Times New Roman"/>
                <w:sz w:val="20"/>
                <w:szCs w:val="20"/>
                <w:lang w:bidi="ar"/>
              </w:rPr>
              <w:t>&lt;0.001</w:t>
            </w:r>
          </w:p>
        </w:tc>
      </w:tr>
      <w:tr w:rsidR="00C73A5E" w:rsidTr="00C73A5E">
        <w:trPr>
          <w:jc w:val="center"/>
        </w:trPr>
        <w:tc>
          <w:tcPr>
            <w:tcW w:w="1606" w:type="dxa"/>
            <w:tcBorders>
              <w:top w:val="nil"/>
              <w:left w:val="nil"/>
              <w:bottom w:val="nil"/>
              <w:right w:val="nil"/>
            </w:tcBorders>
            <w:vAlign w:val="center"/>
            <w:hideMark/>
          </w:tcPr>
          <w:p w:rsidR="00C73A5E" w:rsidRDefault="00C73A5E">
            <w:pPr>
              <w:keepNext/>
              <w:snapToGrid w:val="0"/>
              <w:rPr>
                <w:rFonts w:ascii="Times New Roman" w:hAnsi="Times New Roman" w:cs="Times New Roman"/>
                <w:kern w:val="2"/>
                <w:sz w:val="20"/>
                <w:szCs w:val="20"/>
                <w:lang w:eastAsia="zh-CN"/>
              </w:rPr>
            </w:pPr>
            <w:r>
              <w:rPr>
                <w:rStyle w:val="Strong"/>
                <w:rFonts w:ascii="Times New Roman" w:eastAsia="SimSun" w:hAnsi="Times New Roman" w:cs="Times New Roman"/>
                <w:sz w:val="20"/>
                <w:szCs w:val="20"/>
                <w:lang w:bidi="ar"/>
              </w:rPr>
              <w:t>Diabetes</w:t>
            </w:r>
          </w:p>
        </w:tc>
        <w:tc>
          <w:tcPr>
            <w:tcW w:w="1395" w:type="dxa"/>
            <w:tcBorders>
              <w:top w:val="nil"/>
              <w:left w:val="nil"/>
              <w:bottom w:val="nil"/>
              <w:right w:val="nil"/>
            </w:tcBorders>
            <w:vAlign w:val="center"/>
            <w:hideMark/>
          </w:tcPr>
          <w:p w:rsidR="00C73A5E" w:rsidRDefault="00C73A5E">
            <w:pPr>
              <w:keepNext/>
              <w:snapToGrid w:val="0"/>
              <w:rPr>
                <w:rFonts w:ascii="Times New Roman" w:hAnsi="Times New Roman" w:cs="Times New Roman"/>
                <w:kern w:val="2"/>
                <w:sz w:val="20"/>
                <w:szCs w:val="20"/>
                <w:lang w:eastAsia="zh-CN"/>
              </w:rPr>
            </w:pPr>
            <w:r>
              <w:rPr>
                <w:rFonts w:ascii="Times New Roman" w:eastAsia="SimSun" w:hAnsi="Times New Roman" w:cs="Times New Roman"/>
                <w:sz w:val="20"/>
                <w:szCs w:val="20"/>
                <w:lang w:bidi="ar"/>
              </w:rPr>
              <w:t>1.41 (0.56–3.54)</w:t>
            </w:r>
          </w:p>
        </w:tc>
        <w:tc>
          <w:tcPr>
            <w:tcW w:w="910" w:type="dxa"/>
            <w:tcBorders>
              <w:top w:val="nil"/>
              <w:left w:val="nil"/>
              <w:bottom w:val="nil"/>
              <w:right w:val="nil"/>
            </w:tcBorders>
            <w:vAlign w:val="center"/>
            <w:hideMark/>
          </w:tcPr>
          <w:p w:rsidR="00C73A5E" w:rsidRDefault="00C73A5E">
            <w:pPr>
              <w:keepNext/>
              <w:snapToGrid w:val="0"/>
              <w:rPr>
                <w:rFonts w:ascii="Times New Roman" w:hAnsi="Times New Roman" w:cs="Times New Roman"/>
                <w:kern w:val="2"/>
                <w:sz w:val="20"/>
                <w:szCs w:val="20"/>
                <w:lang w:eastAsia="zh-CN"/>
              </w:rPr>
            </w:pPr>
            <w:r>
              <w:rPr>
                <w:rFonts w:ascii="Times New Roman" w:eastAsia="SimSun" w:hAnsi="Times New Roman" w:cs="Times New Roman"/>
                <w:sz w:val="20"/>
                <w:szCs w:val="20"/>
                <w:lang w:bidi="ar"/>
              </w:rPr>
              <w:t>0.468</w:t>
            </w:r>
          </w:p>
        </w:tc>
        <w:tc>
          <w:tcPr>
            <w:tcW w:w="1414" w:type="dxa"/>
            <w:tcBorders>
              <w:top w:val="nil"/>
              <w:left w:val="nil"/>
              <w:bottom w:val="nil"/>
              <w:right w:val="nil"/>
            </w:tcBorders>
            <w:vAlign w:val="center"/>
            <w:hideMark/>
          </w:tcPr>
          <w:p w:rsidR="00C73A5E" w:rsidRDefault="00C73A5E">
            <w:pPr>
              <w:keepNext/>
              <w:snapToGrid w:val="0"/>
              <w:rPr>
                <w:rFonts w:ascii="Times New Roman" w:hAnsi="Times New Roman" w:cs="Times New Roman"/>
                <w:kern w:val="2"/>
                <w:sz w:val="20"/>
                <w:szCs w:val="20"/>
                <w:lang w:eastAsia="zh-CN"/>
              </w:rPr>
            </w:pPr>
            <w:r>
              <w:rPr>
                <w:rFonts w:ascii="Times New Roman" w:eastAsia="SimSun" w:hAnsi="Times New Roman" w:cs="Times New Roman"/>
                <w:sz w:val="20"/>
                <w:szCs w:val="20"/>
                <w:lang w:bidi="ar"/>
              </w:rPr>
              <w:t>1.55 (0.47–5.08)</w:t>
            </w:r>
          </w:p>
        </w:tc>
        <w:tc>
          <w:tcPr>
            <w:tcW w:w="891" w:type="dxa"/>
            <w:tcBorders>
              <w:top w:val="nil"/>
              <w:left w:val="nil"/>
              <w:bottom w:val="nil"/>
              <w:right w:val="nil"/>
            </w:tcBorders>
            <w:vAlign w:val="center"/>
            <w:hideMark/>
          </w:tcPr>
          <w:p w:rsidR="00C73A5E" w:rsidRDefault="00C73A5E">
            <w:pPr>
              <w:keepNext/>
              <w:snapToGrid w:val="0"/>
              <w:rPr>
                <w:rFonts w:ascii="Times New Roman" w:hAnsi="Times New Roman" w:cs="Times New Roman"/>
                <w:kern w:val="2"/>
                <w:sz w:val="20"/>
                <w:szCs w:val="20"/>
                <w:lang w:eastAsia="zh-CN"/>
              </w:rPr>
            </w:pPr>
            <w:r>
              <w:rPr>
                <w:rFonts w:ascii="Times New Roman" w:eastAsia="SimSun" w:hAnsi="Times New Roman" w:cs="Times New Roman"/>
                <w:sz w:val="20"/>
                <w:szCs w:val="20"/>
                <w:lang w:bidi="ar"/>
              </w:rPr>
              <w:t>0.467</w:t>
            </w:r>
          </w:p>
        </w:tc>
        <w:tc>
          <w:tcPr>
            <w:tcW w:w="1395" w:type="dxa"/>
            <w:tcBorders>
              <w:top w:val="nil"/>
              <w:left w:val="nil"/>
              <w:bottom w:val="nil"/>
              <w:right w:val="nil"/>
            </w:tcBorders>
            <w:vAlign w:val="center"/>
            <w:hideMark/>
          </w:tcPr>
          <w:p w:rsidR="00C73A5E" w:rsidRDefault="00C73A5E">
            <w:pPr>
              <w:keepNext/>
              <w:snapToGrid w:val="0"/>
              <w:rPr>
                <w:rFonts w:ascii="Times New Roman" w:hAnsi="Times New Roman" w:cs="Times New Roman"/>
                <w:kern w:val="2"/>
                <w:sz w:val="20"/>
                <w:szCs w:val="20"/>
                <w:lang w:eastAsia="zh-CN"/>
              </w:rPr>
            </w:pPr>
            <w:r>
              <w:rPr>
                <w:rFonts w:ascii="Times New Roman" w:eastAsia="SimSun" w:hAnsi="Times New Roman" w:cs="Times New Roman"/>
                <w:sz w:val="20"/>
                <w:szCs w:val="20"/>
                <w:lang w:bidi="ar"/>
              </w:rPr>
              <w:t>2.00 (0.72–5.53)</w:t>
            </w:r>
          </w:p>
        </w:tc>
        <w:tc>
          <w:tcPr>
            <w:tcW w:w="911" w:type="dxa"/>
            <w:tcBorders>
              <w:top w:val="nil"/>
              <w:left w:val="nil"/>
              <w:bottom w:val="nil"/>
              <w:right w:val="nil"/>
            </w:tcBorders>
            <w:vAlign w:val="center"/>
            <w:hideMark/>
          </w:tcPr>
          <w:p w:rsidR="00C73A5E" w:rsidRDefault="00C73A5E">
            <w:pPr>
              <w:keepNext/>
              <w:snapToGrid w:val="0"/>
              <w:rPr>
                <w:rFonts w:ascii="Times New Roman" w:hAnsi="Times New Roman" w:cs="Times New Roman"/>
                <w:kern w:val="2"/>
                <w:sz w:val="20"/>
                <w:szCs w:val="20"/>
                <w:lang w:eastAsia="zh-CN"/>
              </w:rPr>
            </w:pPr>
            <w:r>
              <w:rPr>
                <w:rFonts w:ascii="Times New Roman" w:eastAsia="SimSun" w:hAnsi="Times New Roman" w:cs="Times New Roman"/>
                <w:sz w:val="20"/>
                <w:szCs w:val="20"/>
                <w:lang w:bidi="ar"/>
              </w:rPr>
              <w:t>0.181</w:t>
            </w:r>
          </w:p>
        </w:tc>
      </w:tr>
      <w:tr w:rsidR="00C73A5E" w:rsidTr="00C73A5E">
        <w:trPr>
          <w:jc w:val="center"/>
        </w:trPr>
        <w:tc>
          <w:tcPr>
            <w:tcW w:w="1606" w:type="dxa"/>
            <w:tcBorders>
              <w:top w:val="nil"/>
              <w:left w:val="nil"/>
              <w:bottom w:val="nil"/>
              <w:right w:val="nil"/>
            </w:tcBorders>
            <w:vAlign w:val="center"/>
            <w:hideMark/>
          </w:tcPr>
          <w:p w:rsidR="00C73A5E" w:rsidRDefault="00C73A5E">
            <w:pPr>
              <w:keepNext/>
              <w:snapToGrid w:val="0"/>
              <w:rPr>
                <w:rFonts w:ascii="Times New Roman" w:hAnsi="Times New Roman" w:cs="Times New Roman"/>
                <w:kern w:val="2"/>
                <w:sz w:val="20"/>
                <w:szCs w:val="20"/>
                <w:lang w:eastAsia="zh-CN"/>
              </w:rPr>
            </w:pPr>
            <w:proofErr w:type="spellStart"/>
            <w:r>
              <w:rPr>
                <w:rStyle w:val="Strong"/>
                <w:rFonts w:ascii="Times New Roman" w:eastAsia="SimSun" w:hAnsi="Times New Roman" w:cs="Times New Roman"/>
                <w:sz w:val="20"/>
                <w:szCs w:val="20"/>
                <w:lang w:bidi="ar"/>
              </w:rPr>
              <w:t>Cardioembolic</w:t>
            </w:r>
            <w:proofErr w:type="spellEnd"/>
            <w:r>
              <w:rPr>
                <w:rStyle w:val="Strong"/>
                <w:rFonts w:ascii="Times New Roman" w:eastAsia="SimSun" w:hAnsi="Times New Roman" w:cs="Times New Roman"/>
                <w:sz w:val="20"/>
                <w:szCs w:val="20"/>
                <w:lang w:bidi="ar"/>
              </w:rPr>
              <w:t xml:space="preserve"> disease</w:t>
            </w:r>
          </w:p>
        </w:tc>
        <w:tc>
          <w:tcPr>
            <w:tcW w:w="1395" w:type="dxa"/>
            <w:tcBorders>
              <w:top w:val="nil"/>
              <w:left w:val="nil"/>
              <w:bottom w:val="nil"/>
              <w:right w:val="nil"/>
            </w:tcBorders>
            <w:vAlign w:val="center"/>
            <w:hideMark/>
          </w:tcPr>
          <w:p w:rsidR="00C73A5E" w:rsidRDefault="00C73A5E">
            <w:pPr>
              <w:keepNext/>
              <w:snapToGrid w:val="0"/>
              <w:rPr>
                <w:rFonts w:ascii="Times New Roman" w:hAnsi="Times New Roman" w:cs="Times New Roman"/>
                <w:kern w:val="2"/>
                <w:sz w:val="20"/>
                <w:szCs w:val="20"/>
                <w:lang w:eastAsia="zh-CN"/>
              </w:rPr>
            </w:pPr>
            <w:r>
              <w:rPr>
                <w:rFonts w:ascii="Times New Roman" w:eastAsia="SimSun" w:hAnsi="Times New Roman" w:cs="Times New Roman"/>
                <w:sz w:val="20"/>
                <w:szCs w:val="20"/>
                <w:lang w:bidi="ar"/>
              </w:rPr>
              <w:t>1.23 (0.61–2.48)</w:t>
            </w:r>
          </w:p>
        </w:tc>
        <w:tc>
          <w:tcPr>
            <w:tcW w:w="910" w:type="dxa"/>
            <w:tcBorders>
              <w:top w:val="nil"/>
              <w:left w:val="nil"/>
              <w:bottom w:val="nil"/>
              <w:right w:val="nil"/>
            </w:tcBorders>
            <w:vAlign w:val="center"/>
            <w:hideMark/>
          </w:tcPr>
          <w:p w:rsidR="00C73A5E" w:rsidRDefault="00C73A5E">
            <w:pPr>
              <w:keepNext/>
              <w:snapToGrid w:val="0"/>
              <w:rPr>
                <w:rFonts w:ascii="Times New Roman" w:hAnsi="Times New Roman" w:cs="Times New Roman"/>
                <w:kern w:val="2"/>
                <w:sz w:val="20"/>
                <w:szCs w:val="20"/>
                <w:lang w:eastAsia="zh-CN"/>
              </w:rPr>
            </w:pPr>
            <w:r>
              <w:rPr>
                <w:rFonts w:ascii="Times New Roman" w:eastAsia="SimSun" w:hAnsi="Times New Roman" w:cs="Times New Roman"/>
                <w:sz w:val="20"/>
                <w:szCs w:val="20"/>
                <w:lang w:bidi="ar"/>
              </w:rPr>
              <w:t>0.558</w:t>
            </w:r>
          </w:p>
        </w:tc>
        <w:tc>
          <w:tcPr>
            <w:tcW w:w="1414" w:type="dxa"/>
            <w:tcBorders>
              <w:top w:val="nil"/>
              <w:left w:val="nil"/>
              <w:bottom w:val="nil"/>
              <w:right w:val="nil"/>
            </w:tcBorders>
            <w:vAlign w:val="center"/>
            <w:hideMark/>
          </w:tcPr>
          <w:p w:rsidR="00C73A5E" w:rsidRDefault="00C73A5E">
            <w:pPr>
              <w:keepNext/>
              <w:snapToGrid w:val="0"/>
              <w:rPr>
                <w:rFonts w:ascii="Times New Roman" w:hAnsi="Times New Roman" w:cs="Times New Roman"/>
                <w:kern w:val="2"/>
                <w:sz w:val="20"/>
                <w:szCs w:val="20"/>
                <w:lang w:eastAsia="zh-CN"/>
              </w:rPr>
            </w:pPr>
            <w:r>
              <w:rPr>
                <w:rFonts w:ascii="Times New Roman" w:eastAsia="SimSun" w:hAnsi="Times New Roman" w:cs="Times New Roman"/>
                <w:sz w:val="20"/>
                <w:szCs w:val="20"/>
                <w:lang w:bidi="ar"/>
              </w:rPr>
              <w:t>1.25 (0.55–2.85)</w:t>
            </w:r>
          </w:p>
        </w:tc>
        <w:tc>
          <w:tcPr>
            <w:tcW w:w="891" w:type="dxa"/>
            <w:tcBorders>
              <w:top w:val="nil"/>
              <w:left w:val="nil"/>
              <w:bottom w:val="nil"/>
              <w:right w:val="nil"/>
            </w:tcBorders>
            <w:vAlign w:val="center"/>
            <w:hideMark/>
          </w:tcPr>
          <w:p w:rsidR="00C73A5E" w:rsidRDefault="00C73A5E">
            <w:pPr>
              <w:keepNext/>
              <w:snapToGrid w:val="0"/>
              <w:rPr>
                <w:rFonts w:ascii="Times New Roman" w:hAnsi="Times New Roman" w:cs="Times New Roman"/>
                <w:kern w:val="2"/>
                <w:sz w:val="20"/>
                <w:szCs w:val="20"/>
                <w:lang w:eastAsia="zh-CN"/>
              </w:rPr>
            </w:pPr>
            <w:r>
              <w:rPr>
                <w:rFonts w:ascii="Times New Roman" w:eastAsia="SimSun" w:hAnsi="Times New Roman" w:cs="Times New Roman"/>
                <w:sz w:val="20"/>
                <w:szCs w:val="20"/>
                <w:lang w:bidi="ar"/>
              </w:rPr>
              <w:t>0.594</w:t>
            </w:r>
          </w:p>
        </w:tc>
        <w:tc>
          <w:tcPr>
            <w:tcW w:w="1395" w:type="dxa"/>
            <w:tcBorders>
              <w:top w:val="nil"/>
              <w:left w:val="nil"/>
              <w:bottom w:val="nil"/>
              <w:right w:val="nil"/>
            </w:tcBorders>
            <w:vAlign w:val="center"/>
            <w:hideMark/>
          </w:tcPr>
          <w:p w:rsidR="00C73A5E" w:rsidRDefault="00C73A5E">
            <w:pPr>
              <w:keepNext/>
              <w:snapToGrid w:val="0"/>
              <w:rPr>
                <w:rFonts w:ascii="Times New Roman" w:hAnsi="Times New Roman" w:cs="Times New Roman"/>
                <w:kern w:val="2"/>
                <w:sz w:val="20"/>
                <w:szCs w:val="20"/>
                <w:lang w:eastAsia="zh-CN"/>
              </w:rPr>
            </w:pPr>
            <w:r>
              <w:rPr>
                <w:rFonts w:ascii="Times New Roman" w:eastAsia="SimSun" w:hAnsi="Times New Roman" w:cs="Times New Roman"/>
                <w:sz w:val="20"/>
                <w:szCs w:val="20"/>
                <w:lang w:bidi="ar"/>
              </w:rPr>
              <w:t>1.32 (0.61–2.86)</w:t>
            </w:r>
          </w:p>
        </w:tc>
        <w:tc>
          <w:tcPr>
            <w:tcW w:w="911" w:type="dxa"/>
            <w:tcBorders>
              <w:top w:val="nil"/>
              <w:left w:val="nil"/>
              <w:bottom w:val="nil"/>
              <w:right w:val="nil"/>
            </w:tcBorders>
            <w:vAlign w:val="center"/>
            <w:hideMark/>
          </w:tcPr>
          <w:p w:rsidR="00C73A5E" w:rsidRDefault="00C73A5E">
            <w:pPr>
              <w:keepNext/>
              <w:snapToGrid w:val="0"/>
              <w:rPr>
                <w:rFonts w:ascii="Times New Roman" w:hAnsi="Times New Roman" w:cs="Times New Roman"/>
                <w:kern w:val="2"/>
                <w:sz w:val="20"/>
                <w:szCs w:val="20"/>
                <w:lang w:eastAsia="zh-CN"/>
              </w:rPr>
            </w:pPr>
            <w:r>
              <w:rPr>
                <w:rFonts w:ascii="Times New Roman" w:eastAsia="SimSun" w:hAnsi="Times New Roman" w:cs="Times New Roman"/>
                <w:sz w:val="20"/>
                <w:szCs w:val="20"/>
                <w:lang w:bidi="ar"/>
              </w:rPr>
              <w:t>0.480</w:t>
            </w:r>
          </w:p>
        </w:tc>
      </w:tr>
      <w:tr w:rsidR="00C73A5E" w:rsidTr="00C73A5E">
        <w:trPr>
          <w:jc w:val="center"/>
        </w:trPr>
        <w:tc>
          <w:tcPr>
            <w:tcW w:w="1606" w:type="dxa"/>
            <w:tcBorders>
              <w:top w:val="nil"/>
              <w:left w:val="nil"/>
              <w:bottom w:val="single" w:sz="4" w:space="0" w:color="auto"/>
              <w:right w:val="nil"/>
            </w:tcBorders>
            <w:vAlign w:val="center"/>
            <w:hideMark/>
          </w:tcPr>
          <w:p w:rsidR="00C73A5E" w:rsidRDefault="00C73A5E">
            <w:pPr>
              <w:keepNext/>
              <w:snapToGrid w:val="0"/>
              <w:rPr>
                <w:rFonts w:ascii="Times New Roman" w:hAnsi="Times New Roman" w:cs="Times New Roman"/>
                <w:kern w:val="2"/>
                <w:sz w:val="20"/>
                <w:szCs w:val="20"/>
                <w:lang w:eastAsia="zh-CN"/>
              </w:rPr>
            </w:pPr>
            <w:r>
              <w:rPr>
                <w:rStyle w:val="Strong"/>
                <w:rFonts w:ascii="Times New Roman" w:eastAsia="SimSun" w:hAnsi="Times New Roman" w:cs="Times New Roman"/>
                <w:sz w:val="20"/>
                <w:szCs w:val="20"/>
                <w:lang w:bidi="ar"/>
              </w:rPr>
              <w:t>DPT &gt;12 h</w:t>
            </w:r>
          </w:p>
        </w:tc>
        <w:tc>
          <w:tcPr>
            <w:tcW w:w="1395" w:type="dxa"/>
            <w:tcBorders>
              <w:top w:val="nil"/>
              <w:left w:val="nil"/>
              <w:bottom w:val="single" w:sz="4" w:space="0" w:color="auto"/>
              <w:right w:val="nil"/>
            </w:tcBorders>
            <w:vAlign w:val="center"/>
            <w:hideMark/>
          </w:tcPr>
          <w:p w:rsidR="00C73A5E" w:rsidRDefault="00C73A5E">
            <w:pPr>
              <w:keepNext/>
              <w:snapToGrid w:val="0"/>
              <w:rPr>
                <w:rFonts w:ascii="Times New Roman" w:hAnsi="Times New Roman" w:cs="Times New Roman"/>
                <w:kern w:val="2"/>
                <w:sz w:val="20"/>
                <w:szCs w:val="20"/>
                <w:lang w:eastAsia="zh-CN"/>
              </w:rPr>
            </w:pPr>
            <w:r>
              <w:rPr>
                <w:rFonts w:ascii="Times New Roman" w:eastAsia="SimSun" w:hAnsi="Times New Roman" w:cs="Times New Roman"/>
                <w:sz w:val="20"/>
                <w:szCs w:val="20"/>
                <w:lang w:bidi="ar"/>
              </w:rPr>
              <w:t>0.45 (0.12–1.66)</w:t>
            </w:r>
          </w:p>
        </w:tc>
        <w:tc>
          <w:tcPr>
            <w:tcW w:w="910" w:type="dxa"/>
            <w:tcBorders>
              <w:top w:val="nil"/>
              <w:left w:val="nil"/>
              <w:bottom w:val="single" w:sz="4" w:space="0" w:color="auto"/>
              <w:right w:val="nil"/>
            </w:tcBorders>
            <w:vAlign w:val="center"/>
            <w:hideMark/>
          </w:tcPr>
          <w:p w:rsidR="00C73A5E" w:rsidRDefault="00C73A5E">
            <w:pPr>
              <w:keepNext/>
              <w:snapToGrid w:val="0"/>
              <w:rPr>
                <w:rFonts w:ascii="Times New Roman" w:hAnsi="Times New Roman" w:cs="Times New Roman"/>
                <w:kern w:val="2"/>
                <w:sz w:val="20"/>
                <w:szCs w:val="20"/>
                <w:lang w:eastAsia="zh-CN"/>
              </w:rPr>
            </w:pPr>
            <w:r>
              <w:rPr>
                <w:rFonts w:ascii="Times New Roman" w:eastAsia="SimSun" w:hAnsi="Times New Roman" w:cs="Times New Roman"/>
                <w:sz w:val="20"/>
                <w:szCs w:val="20"/>
                <w:lang w:bidi="ar"/>
              </w:rPr>
              <w:t>0.229</w:t>
            </w:r>
          </w:p>
        </w:tc>
        <w:tc>
          <w:tcPr>
            <w:tcW w:w="1414" w:type="dxa"/>
            <w:tcBorders>
              <w:top w:val="nil"/>
              <w:left w:val="nil"/>
              <w:bottom w:val="single" w:sz="4" w:space="0" w:color="auto"/>
              <w:right w:val="nil"/>
            </w:tcBorders>
            <w:vAlign w:val="center"/>
            <w:hideMark/>
          </w:tcPr>
          <w:p w:rsidR="00C73A5E" w:rsidRDefault="00C73A5E">
            <w:pPr>
              <w:keepNext/>
              <w:snapToGrid w:val="0"/>
              <w:rPr>
                <w:rFonts w:ascii="Times New Roman" w:hAnsi="Times New Roman" w:cs="Times New Roman"/>
                <w:kern w:val="2"/>
                <w:sz w:val="20"/>
                <w:szCs w:val="20"/>
                <w:lang w:eastAsia="zh-CN"/>
              </w:rPr>
            </w:pPr>
            <w:r>
              <w:rPr>
                <w:rFonts w:ascii="Times New Roman" w:eastAsia="SimSun" w:hAnsi="Times New Roman" w:cs="Times New Roman"/>
                <w:sz w:val="20"/>
                <w:szCs w:val="20"/>
                <w:lang w:bidi="ar"/>
              </w:rPr>
              <w:t>0.75 (0.19–2.90)</w:t>
            </w:r>
          </w:p>
        </w:tc>
        <w:tc>
          <w:tcPr>
            <w:tcW w:w="891" w:type="dxa"/>
            <w:tcBorders>
              <w:top w:val="nil"/>
              <w:left w:val="nil"/>
              <w:bottom w:val="single" w:sz="4" w:space="0" w:color="auto"/>
              <w:right w:val="nil"/>
            </w:tcBorders>
            <w:vAlign w:val="center"/>
            <w:hideMark/>
          </w:tcPr>
          <w:p w:rsidR="00C73A5E" w:rsidRDefault="00C73A5E">
            <w:pPr>
              <w:keepNext/>
              <w:snapToGrid w:val="0"/>
              <w:rPr>
                <w:rFonts w:ascii="Times New Roman" w:hAnsi="Times New Roman" w:cs="Times New Roman"/>
                <w:kern w:val="2"/>
                <w:sz w:val="20"/>
                <w:szCs w:val="20"/>
                <w:lang w:eastAsia="zh-CN"/>
              </w:rPr>
            </w:pPr>
            <w:r>
              <w:rPr>
                <w:rFonts w:ascii="Times New Roman" w:eastAsia="SimSun" w:hAnsi="Times New Roman" w:cs="Times New Roman"/>
                <w:sz w:val="20"/>
                <w:szCs w:val="20"/>
                <w:lang w:bidi="ar"/>
              </w:rPr>
              <w:t>0.674</w:t>
            </w:r>
          </w:p>
        </w:tc>
        <w:tc>
          <w:tcPr>
            <w:tcW w:w="1395" w:type="dxa"/>
            <w:tcBorders>
              <w:top w:val="nil"/>
              <w:left w:val="nil"/>
              <w:bottom w:val="single" w:sz="4" w:space="0" w:color="auto"/>
              <w:right w:val="nil"/>
            </w:tcBorders>
            <w:vAlign w:val="center"/>
            <w:hideMark/>
          </w:tcPr>
          <w:p w:rsidR="00C73A5E" w:rsidRDefault="00C73A5E">
            <w:pPr>
              <w:keepNext/>
              <w:snapToGrid w:val="0"/>
              <w:rPr>
                <w:rFonts w:ascii="Times New Roman" w:hAnsi="Times New Roman" w:cs="Times New Roman"/>
                <w:kern w:val="2"/>
                <w:sz w:val="20"/>
                <w:szCs w:val="20"/>
                <w:lang w:eastAsia="zh-CN"/>
              </w:rPr>
            </w:pPr>
            <w:r>
              <w:rPr>
                <w:rFonts w:ascii="Times New Roman" w:eastAsia="SimSun" w:hAnsi="Times New Roman" w:cs="Times New Roman"/>
                <w:sz w:val="20"/>
                <w:szCs w:val="20"/>
                <w:lang w:bidi="ar"/>
              </w:rPr>
              <w:t>0.35 (0.07–1.70)</w:t>
            </w:r>
          </w:p>
        </w:tc>
        <w:tc>
          <w:tcPr>
            <w:tcW w:w="911" w:type="dxa"/>
            <w:tcBorders>
              <w:top w:val="nil"/>
              <w:left w:val="nil"/>
              <w:bottom w:val="single" w:sz="4" w:space="0" w:color="auto"/>
              <w:right w:val="nil"/>
            </w:tcBorders>
            <w:vAlign w:val="center"/>
            <w:hideMark/>
          </w:tcPr>
          <w:p w:rsidR="00C73A5E" w:rsidRDefault="00C73A5E">
            <w:pPr>
              <w:keepNext/>
              <w:snapToGrid w:val="0"/>
              <w:rPr>
                <w:rFonts w:ascii="Times New Roman" w:hAnsi="Times New Roman" w:cs="Times New Roman"/>
                <w:kern w:val="2"/>
                <w:sz w:val="20"/>
                <w:szCs w:val="20"/>
                <w:lang w:eastAsia="zh-CN"/>
              </w:rPr>
            </w:pPr>
            <w:r>
              <w:rPr>
                <w:rFonts w:ascii="Times New Roman" w:eastAsia="SimSun" w:hAnsi="Times New Roman" w:cs="Times New Roman"/>
                <w:sz w:val="20"/>
                <w:szCs w:val="20"/>
                <w:lang w:bidi="ar"/>
              </w:rPr>
              <w:t>0.193</w:t>
            </w:r>
          </w:p>
        </w:tc>
      </w:tr>
    </w:tbl>
    <w:p w:rsidR="00C73A5E" w:rsidRDefault="00C73A5E" w:rsidP="00C73A5E">
      <w:pPr>
        <w:rPr>
          <w:rFonts w:ascii="Times New Roman" w:eastAsia="SimSun" w:hAnsi="Times New Roman" w:cs="Times New Roman"/>
          <w:kern w:val="2"/>
          <w:sz w:val="24"/>
          <w:lang w:eastAsia="zh-CN"/>
        </w:rPr>
      </w:pPr>
      <w:r>
        <w:rPr>
          <w:rFonts w:ascii="Times New Roman" w:eastAsia="SimSun" w:hAnsi="Times New Roman" w:cs="Times New Roman"/>
          <w:sz w:val="24"/>
        </w:rPr>
        <w:t>*Standard ENI definition: NIHSS decrease ≥8 points or NIHSS ≤1 at 1 week.</w:t>
      </w:r>
    </w:p>
    <w:p w:rsidR="00C73A5E" w:rsidRDefault="00C73A5E">
      <w:pPr>
        <w:jc w:val="center"/>
        <w:rPr>
          <w:b/>
          <w:bCs/>
        </w:rPr>
      </w:pPr>
    </w:p>
    <w:p w:rsidR="00C73A5E" w:rsidRDefault="00C73A5E">
      <w:pPr>
        <w:jc w:val="center"/>
        <w:rPr>
          <w:b/>
          <w:bCs/>
        </w:rPr>
      </w:pPr>
    </w:p>
    <w:p w:rsidR="00C73A5E" w:rsidRDefault="00C73A5E" w:rsidP="00C73A5E">
      <w:proofErr w:type="gramStart"/>
      <w:r>
        <w:rPr>
          <w:b/>
        </w:rPr>
        <w:t>Supplementary Table S2.</w:t>
      </w:r>
      <w:proofErr w:type="gramEnd"/>
      <w:r>
        <w:rPr>
          <w:b/>
        </w:rPr>
        <w:t xml:space="preserve"> Performance metrics with bootstrap internal validation</w:t>
      </w:r>
    </w:p>
    <w:p w:rsidR="00C73A5E" w:rsidRDefault="00C73A5E" w:rsidP="00C73A5E">
      <w:pPr>
        <w:rPr>
          <w:sz w:val="18"/>
        </w:rPr>
      </w:pPr>
      <w:r>
        <w:rPr>
          <w:sz w:val="18"/>
        </w:rPr>
        <w:t>Notes: App. = apparent performance on the development cohort. Corr. = optimism-corrected performance estimated by 1,000 bootstrap resamples. Calibration intercept and slope are obtained by regressing the observed outcome on the model logit(predicted risk).Supplementary Table S2 reports apparent performance and optimism-corrected estimates obtained from 1,000 bootstrap resamples (AUC, Brier score, calibration intercept and slope) for the full model, simplified score, and NIHSS-only model.</w:t>
      </w:r>
    </w:p>
    <w:tbl>
      <w:tblPr>
        <w:tblStyle w:val="TableGrid"/>
        <w:tblW w:w="0" w:type="auto"/>
        <w:jc w:val="center"/>
        <w:tblLook w:val="04A0" w:firstRow="1" w:lastRow="0" w:firstColumn="1" w:lastColumn="0" w:noHBand="0" w:noVBand="1"/>
      </w:tblPr>
      <w:tblGrid>
        <w:gridCol w:w="1024"/>
        <w:gridCol w:w="888"/>
        <w:gridCol w:w="934"/>
        <w:gridCol w:w="888"/>
        <w:gridCol w:w="934"/>
        <w:gridCol w:w="1166"/>
        <w:gridCol w:w="1166"/>
        <w:gridCol w:w="888"/>
        <w:gridCol w:w="934"/>
        <w:gridCol w:w="1330"/>
      </w:tblGrid>
      <w:tr w:rsidR="00C73A5E" w:rsidTr="00281199">
        <w:trPr>
          <w:jc w:val="center"/>
        </w:trPr>
        <w:tc>
          <w:tcPr>
            <w:tcW w:w="1414" w:type="dxa"/>
            <w:vAlign w:val="center"/>
          </w:tcPr>
          <w:p w:rsidR="00C73A5E" w:rsidRDefault="00C73A5E" w:rsidP="00281199">
            <w:pPr>
              <w:spacing w:after="0" w:line="240" w:lineRule="auto"/>
              <w:jc w:val="center"/>
            </w:pPr>
            <w:r>
              <w:rPr>
                <w:b/>
              </w:rPr>
              <w:t>Model</w:t>
            </w:r>
          </w:p>
        </w:tc>
        <w:tc>
          <w:tcPr>
            <w:tcW w:w="1414" w:type="dxa"/>
            <w:vAlign w:val="center"/>
          </w:tcPr>
          <w:p w:rsidR="00C73A5E" w:rsidRDefault="00C73A5E" w:rsidP="00281199">
            <w:pPr>
              <w:spacing w:after="0" w:line="240" w:lineRule="auto"/>
              <w:jc w:val="center"/>
            </w:pPr>
            <w:r>
              <w:rPr>
                <w:b/>
              </w:rPr>
              <w:t>AUC (App.)</w:t>
            </w:r>
          </w:p>
        </w:tc>
        <w:tc>
          <w:tcPr>
            <w:tcW w:w="1414" w:type="dxa"/>
            <w:vAlign w:val="center"/>
          </w:tcPr>
          <w:p w:rsidR="00C73A5E" w:rsidRDefault="00C73A5E" w:rsidP="00281199">
            <w:pPr>
              <w:spacing w:after="0" w:line="240" w:lineRule="auto"/>
              <w:jc w:val="center"/>
            </w:pPr>
            <w:r>
              <w:rPr>
                <w:b/>
              </w:rPr>
              <w:t>AUC (Corr.)</w:t>
            </w:r>
          </w:p>
        </w:tc>
        <w:tc>
          <w:tcPr>
            <w:tcW w:w="1414" w:type="dxa"/>
            <w:vAlign w:val="center"/>
          </w:tcPr>
          <w:p w:rsidR="00C73A5E" w:rsidRDefault="00C73A5E" w:rsidP="00281199">
            <w:pPr>
              <w:spacing w:after="0" w:line="240" w:lineRule="auto"/>
              <w:jc w:val="center"/>
            </w:pPr>
            <w:r>
              <w:rPr>
                <w:b/>
              </w:rPr>
              <w:t>Brier (App.)</w:t>
            </w:r>
          </w:p>
        </w:tc>
        <w:tc>
          <w:tcPr>
            <w:tcW w:w="1414" w:type="dxa"/>
            <w:vAlign w:val="center"/>
          </w:tcPr>
          <w:p w:rsidR="00C73A5E" w:rsidRDefault="00C73A5E" w:rsidP="00281199">
            <w:pPr>
              <w:spacing w:after="0" w:line="240" w:lineRule="auto"/>
              <w:jc w:val="center"/>
            </w:pPr>
            <w:r>
              <w:rPr>
                <w:b/>
              </w:rPr>
              <w:t>Brier (Corr.)</w:t>
            </w:r>
          </w:p>
        </w:tc>
        <w:tc>
          <w:tcPr>
            <w:tcW w:w="1414" w:type="dxa"/>
            <w:vAlign w:val="center"/>
          </w:tcPr>
          <w:p w:rsidR="00C73A5E" w:rsidRDefault="00C73A5E" w:rsidP="00281199">
            <w:pPr>
              <w:spacing w:after="0" w:line="240" w:lineRule="auto"/>
              <w:jc w:val="center"/>
            </w:pPr>
            <w:r>
              <w:rPr>
                <w:b/>
              </w:rPr>
              <w:t>Cal intercept (App.)</w:t>
            </w:r>
          </w:p>
        </w:tc>
        <w:tc>
          <w:tcPr>
            <w:tcW w:w="1414" w:type="dxa"/>
            <w:vAlign w:val="center"/>
          </w:tcPr>
          <w:p w:rsidR="00C73A5E" w:rsidRDefault="00C73A5E" w:rsidP="00281199">
            <w:pPr>
              <w:spacing w:after="0" w:line="240" w:lineRule="auto"/>
              <w:jc w:val="center"/>
            </w:pPr>
            <w:r>
              <w:rPr>
                <w:b/>
              </w:rPr>
              <w:t>Cal intercept (Corr.)</w:t>
            </w:r>
          </w:p>
        </w:tc>
        <w:tc>
          <w:tcPr>
            <w:tcW w:w="1414" w:type="dxa"/>
            <w:vAlign w:val="center"/>
          </w:tcPr>
          <w:p w:rsidR="00C73A5E" w:rsidRDefault="00C73A5E" w:rsidP="00281199">
            <w:pPr>
              <w:spacing w:after="0" w:line="240" w:lineRule="auto"/>
              <w:jc w:val="center"/>
            </w:pPr>
            <w:r>
              <w:rPr>
                <w:b/>
              </w:rPr>
              <w:t>Cal slope (App.)</w:t>
            </w:r>
          </w:p>
        </w:tc>
        <w:tc>
          <w:tcPr>
            <w:tcW w:w="1414" w:type="dxa"/>
            <w:vAlign w:val="center"/>
          </w:tcPr>
          <w:p w:rsidR="00C73A5E" w:rsidRDefault="00C73A5E" w:rsidP="00281199">
            <w:pPr>
              <w:spacing w:after="0" w:line="240" w:lineRule="auto"/>
              <w:jc w:val="center"/>
            </w:pPr>
            <w:r>
              <w:rPr>
                <w:b/>
              </w:rPr>
              <w:t>Cal slope (Corr.)</w:t>
            </w:r>
          </w:p>
        </w:tc>
        <w:tc>
          <w:tcPr>
            <w:tcW w:w="1414" w:type="dxa"/>
            <w:vAlign w:val="center"/>
          </w:tcPr>
          <w:p w:rsidR="00C73A5E" w:rsidRDefault="00C73A5E" w:rsidP="00281199">
            <w:pPr>
              <w:spacing w:after="0" w:line="240" w:lineRule="auto"/>
              <w:jc w:val="center"/>
            </w:pPr>
            <w:r>
              <w:rPr>
                <w:b/>
              </w:rPr>
              <w:t>Bootstraps (n)</w:t>
            </w:r>
          </w:p>
        </w:tc>
      </w:tr>
      <w:tr w:rsidR="00C73A5E" w:rsidTr="00281199">
        <w:trPr>
          <w:jc w:val="center"/>
        </w:trPr>
        <w:tc>
          <w:tcPr>
            <w:tcW w:w="1414" w:type="dxa"/>
            <w:vAlign w:val="center"/>
          </w:tcPr>
          <w:p w:rsidR="00C73A5E" w:rsidRDefault="00C73A5E" w:rsidP="00281199">
            <w:pPr>
              <w:spacing w:after="0" w:line="240" w:lineRule="auto"/>
            </w:pPr>
            <w:r>
              <w:rPr>
                <w:sz w:val="18"/>
              </w:rPr>
              <w:t>Full model (Model 2)</w:t>
            </w:r>
          </w:p>
        </w:tc>
        <w:tc>
          <w:tcPr>
            <w:tcW w:w="1414" w:type="dxa"/>
            <w:vAlign w:val="center"/>
          </w:tcPr>
          <w:p w:rsidR="00C73A5E" w:rsidRDefault="00C73A5E" w:rsidP="00281199">
            <w:pPr>
              <w:spacing w:after="0" w:line="240" w:lineRule="auto"/>
              <w:jc w:val="center"/>
            </w:pPr>
            <w:r>
              <w:rPr>
                <w:sz w:val="18"/>
              </w:rPr>
              <w:t>0.706</w:t>
            </w:r>
          </w:p>
        </w:tc>
        <w:tc>
          <w:tcPr>
            <w:tcW w:w="1414" w:type="dxa"/>
            <w:vAlign w:val="center"/>
          </w:tcPr>
          <w:p w:rsidR="00C73A5E" w:rsidRDefault="00C73A5E" w:rsidP="00281199">
            <w:pPr>
              <w:spacing w:after="0" w:line="240" w:lineRule="auto"/>
              <w:jc w:val="center"/>
            </w:pPr>
            <w:r>
              <w:rPr>
                <w:sz w:val="18"/>
              </w:rPr>
              <w:t>0.657</w:t>
            </w:r>
          </w:p>
        </w:tc>
        <w:tc>
          <w:tcPr>
            <w:tcW w:w="1414" w:type="dxa"/>
            <w:vAlign w:val="center"/>
          </w:tcPr>
          <w:p w:rsidR="00C73A5E" w:rsidRDefault="00C73A5E" w:rsidP="00281199">
            <w:pPr>
              <w:spacing w:after="0" w:line="240" w:lineRule="auto"/>
              <w:jc w:val="center"/>
            </w:pPr>
            <w:r>
              <w:rPr>
                <w:sz w:val="18"/>
              </w:rPr>
              <w:t>0.181</w:t>
            </w:r>
          </w:p>
        </w:tc>
        <w:tc>
          <w:tcPr>
            <w:tcW w:w="1414" w:type="dxa"/>
            <w:vAlign w:val="center"/>
          </w:tcPr>
          <w:p w:rsidR="00C73A5E" w:rsidRDefault="00C73A5E" w:rsidP="00281199">
            <w:pPr>
              <w:spacing w:after="0" w:line="240" w:lineRule="auto"/>
              <w:jc w:val="center"/>
            </w:pPr>
            <w:r>
              <w:rPr>
                <w:sz w:val="18"/>
              </w:rPr>
              <w:t>0.197</w:t>
            </w:r>
          </w:p>
        </w:tc>
        <w:tc>
          <w:tcPr>
            <w:tcW w:w="1414" w:type="dxa"/>
            <w:vAlign w:val="center"/>
          </w:tcPr>
          <w:p w:rsidR="00C73A5E" w:rsidRDefault="00C73A5E" w:rsidP="00281199">
            <w:pPr>
              <w:spacing w:after="0" w:line="240" w:lineRule="auto"/>
              <w:jc w:val="center"/>
            </w:pPr>
            <w:r>
              <w:rPr>
                <w:sz w:val="18"/>
              </w:rPr>
              <w:t>-0.001</w:t>
            </w:r>
          </w:p>
        </w:tc>
        <w:tc>
          <w:tcPr>
            <w:tcW w:w="1414" w:type="dxa"/>
            <w:vAlign w:val="center"/>
          </w:tcPr>
          <w:p w:rsidR="00C73A5E" w:rsidRDefault="00C73A5E" w:rsidP="00281199">
            <w:pPr>
              <w:spacing w:after="0" w:line="240" w:lineRule="auto"/>
              <w:jc w:val="center"/>
            </w:pPr>
            <w:r>
              <w:rPr>
                <w:sz w:val="18"/>
              </w:rPr>
              <w:t>-0.335</w:t>
            </w:r>
          </w:p>
        </w:tc>
        <w:tc>
          <w:tcPr>
            <w:tcW w:w="1414" w:type="dxa"/>
            <w:vAlign w:val="center"/>
          </w:tcPr>
          <w:p w:rsidR="00C73A5E" w:rsidRDefault="00C73A5E" w:rsidP="00281199">
            <w:pPr>
              <w:spacing w:after="0" w:line="240" w:lineRule="auto"/>
              <w:jc w:val="center"/>
            </w:pPr>
            <w:r>
              <w:rPr>
                <w:sz w:val="18"/>
              </w:rPr>
              <w:t>1.000</w:t>
            </w:r>
          </w:p>
        </w:tc>
        <w:tc>
          <w:tcPr>
            <w:tcW w:w="1414" w:type="dxa"/>
            <w:vAlign w:val="center"/>
          </w:tcPr>
          <w:p w:rsidR="00C73A5E" w:rsidRDefault="00C73A5E" w:rsidP="00281199">
            <w:pPr>
              <w:spacing w:after="0" w:line="240" w:lineRule="auto"/>
              <w:jc w:val="center"/>
            </w:pPr>
            <w:r>
              <w:rPr>
                <w:sz w:val="18"/>
              </w:rPr>
              <w:t>0.591</w:t>
            </w:r>
          </w:p>
        </w:tc>
        <w:tc>
          <w:tcPr>
            <w:tcW w:w="1414" w:type="dxa"/>
            <w:vAlign w:val="center"/>
          </w:tcPr>
          <w:p w:rsidR="00C73A5E" w:rsidRDefault="00C73A5E" w:rsidP="00281199">
            <w:pPr>
              <w:spacing w:after="0" w:line="240" w:lineRule="auto"/>
              <w:jc w:val="center"/>
            </w:pPr>
            <w:r>
              <w:rPr>
                <w:sz w:val="18"/>
              </w:rPr>
              <w:t>1000</w:t>
            </w:r>
          </w:p>
        </w:tc>
      </w:tr>
      <w:tr w:rsidR="00C73A5E" w:rsidTr="00281199">
        <w:trPr>
          <w:jc w:val="center"/>
        </w:trPr>
        <w:tc>
          <w:tcPr>
            <w:tcW w:w="1414" w:type="dxa"/>
            <w:vAlign w:val="center"/>
          </w:tcPr>
          <w:p w:rsidR="00C73A5E" w:rsidRDefault="00C73A5E" w:rsidP="00281199">
            <w:pPr>
              <w:spacing w:after="0" w:line="240" w:lineRule="auto"/>
            </w:pPr>
            <w:r>
              <w:rPr>
                <w:sz w:val="18"/>
              </w:rPr>
              <w:t>Simplified bedside score (score logistic)</w:t>
            </w:r>
          </w:p>
        </w:tc>
        <w:tc>
          <w:tcPr>
            <w:tcW w:w="1414" w:type="dxa"/>
            <w:vAlign w:val="center"/>
          </w:tcPr>
          <w:p w:rsidR="00C73A5E" w:rsidRDefault="00C73A5E" w:rsidP="00281199">
            <w:pPr>
              <w:spacing w:after="0" w:line="240" w:lineRule="auto"/>
              <w:jc w:val="center"/>
            </w:pPr>
            <w:r>
              <w:rPr>
                <w:sz w:val="18"/>
              </w:rPr>
              <w:t>0.677</w:t>
            </w:r>
          </w:p>
        </w:tc>
        <w:tc>
          <w:tcPr>
            <w:tcW w:w="1414" w:type="dxa"/>
            <w:vAlign w:val="center"/>
          </w:tcPr>
          <w:p w:rsidR="00C73A5E" w:rsidRDefault="00C73A5E" w:rsidP="00281199">
            <w:pPr>
              <w:spacing w:after="0" w:line="240" w:lineRule="auto"/>
              <w:jc w:val="center"/>
            </w:pPr>
            <w:r>
              <w:rPr>
                <w:sz w:val="18"/>
              </w:rPr>
              <w:t>0.677</w:t>
            </w:r>
          </w:p>
        </w:tc>
        <w:tc>
          <w:tcPr>
            <w:tcW w:w="1414" w:type="dxa"/>
            <w:vAlign w:val="center"/>
          </w:tcPr>
          <w:p w:rsidR="00C73A5E" w:rsidRDefault="00C73A5E" w:rsidP="00281199">
            <w:pPr>
              <w:spacing w:after="0" w:line="240" w:lineRule="auto"/>
              <w:jc w:val="center"/>
            </w:pPr>
            <w:r>
              <w:rPr>
                <w:sz w:val="18"/>
              </w:rPr>
              <w:t>0.186</w:t>
            </w:r>
          </w:p>
        </w:tc>
        <w:tc>
          <w:tcPr>
            <w:tcW w:w="1414" w:type="dxa"/>
            <w:vAlign w:val="center"/>
          </w:tcPr>
          <w:p w:rsidR="00C73A5E" w:rsidRDefault="00C73A5E" w:rsidP="00281199">
            <w:pPr>
              <w:spacing w:after="0" w:line="240" w:lineRule="auto"/>
              <w:jc w:val="center"/>
            </w:pPr>
            <w:r>
              <w:rPr>
                <w:sz w:val="18"/>
              </w:rPr>
              <w:t>0.191</w:t>
            </w:r>
          </w:p>
        </w:tc>
        <w:tc>
          <w:tcPr>
            <w:tcW w:w="1414" w:type="dxa"/>
            <w:vAlign w:val="center"/>
          </w:tcPr>
          <w:p w:rsidR="00C73A5E" w:rsidRDefault="00C73A5E" w:rsidP="00281199">
            <w:pPr>
              <w:spacing w:after="0" w:line="240" w:lineRule="auto"/>
              <w:jc w:val="center"/>
            </w:pPr>
            <w:r>
              <w:rPr>
                <w:sz w:val="18"/>
              </w:rPr>
              <w:t>0.000</w:t>
            </w:r>
          </w:p>
        </w:tc>
        <w:tc>
          <w:tcPr>
            <w:tcW w:w="1414" w:type="dxa"/>
            <w:vAlign w:val="center"/>
          </w:tcPr>
          <w:p w:rsidR="00C73A5E" w:rsidRDefault="00C73A5E" w:rsidP="00281199">
            <w:pPr>
              <w:spacing w:after="0" w:line="240" w:lineRule="auto"/>
              <w:jc w:val="center"/>
            </w:pPr>
            <w:r>
              <w:rPr>
                <w:sz w:val="18"/>
              </w:rPr>
              <w:t>-0.108</w:t>
            </w:r>
          </w:p>
        </w:tc>
        <w:tc>
          <w:tcPr>
            <w:tcW w:w="1414" w:type="dxa"/>
            <w:vAlign w:val="center"/>
          </w:tcPr>
          <w:p w:rsidR="00C73A5E" w:rsidRDefault="00C73A5E" w:rsidP="00281199">
            <w:pPr>
              <w:spacing w:after="0" w:line="240" w:lineRule="auto"/>
              <w:jc w:val="center"/>
            </w:pPr>
            <w:r>
              <w:rPr>
                <w:sz w:val="18"/>
              </w:rPr>
              <w:t>1.000</w:t>
            </w:r>
          </w:p>
        </w:tc>
        <w:tc>
          <w:tcPr>
            <w:tcW w:w="1414" w:type="dxa"/>
            <w:vAlign w:val="center"/>
          </w:tcPr>
          <w:p w:rsidR="00C73A5E" w:rsidRDefault="00C73A5E" w:rsidP="00281199">
            <w:pPr>
              <w:spacing w:after="0" w:line="240" w:lineRule="auto"/>
              <w:jc w:val="center"/>
            </w:pPr>
            <w:r>
              <w:rPr>
                <w:sz w:val="18"/>
              </w:rPr>
              <w:t>0.893</w:t>
            </w:r>
          </w:p>
        </w:tc>
        <w:tc>
          <w:tcPr>
            <w:tcW w:w="1414" w:type="dxa"/>
            <w:vAlign w:val="center"/>
          </w:tcPr>
          <w:p w:rsidR="00C73A5E" w:rsidRDefault="00C73A5E" w:rsidP="00281199">
            <w:pPr>
              <w:spacing w:after="0" w:line="240" w:lineRule="auto"/>
              <w:jc w:val="center"/>
            </w:pPr>
            <w:r>
              <w:rPr>
                <w:sz w:val="18"/>
              </w:rPr>
              <w:t>1000</w:t>
            </w:r>
          </w:p>
        </w:tc>
      </w:tr>
      <w:tr w:rsidR="00C73A5E" w:rsidTr="00281199">
        <w:trPr>
          <w:jc w:val="center"/>
        </w:trPr>
        <w:tc>
          <w:tcPr>
            <w:tcW w:w="1414" w:type="dxa"/>
            <w:vAlign w:val="center"/>
          </w:tcPr>
          <w:p w:rsidR="00C73A5E" w:rsidRDefault="00C73A5E" w:rsidP="00281199">
            <w:pPr>
              <w:spacing w:after="0" w:line="240" w:lineRule="auto"/>
            </w:pPr>
            <w:r>
              <w:rPr>
                <w:sz w:val="18"/>
              </w:rPr>
              <w:t>NIHSS-only</w:t>
            </w:r>
          </w:p>
        </w:tc>
        <w:tc>
          <w:tcPr>
            <w:tcW w:w="1414" w:type="dxa"/>
            <w:vAlign w:val="center"/>
          </w:tcPr>
          <w:p w:rsidR="00C73A5E" w:rsidRDefault="00C73A5E" w:rsidP="00281199">
            <w:pPr>
              <w:spacing w:after="0" w:line="240" w:lineRule="auto"/>
              <w:jc w:val="center"/>
            </w:pPr>
            <w:r>
              <w:rPr>
                <w:sz w:val="18"/>
              </w:rPr>
              <w:t>0.673</w:t>
            </w:r>
          </w:p>
        </w:tc>
        <w:tc>
          <w:tcPr>
            <w:tcW w:w="1414" w:type="dxa"/>
            <w:vAlign w:val="center"/>
          </w:tcPr>
          <w:p w:rsidR="00C73A5E" w:rsidRDefault="00C73A5E" w:rsidP="00281199">
            <w:pPr>
              <w:spacing w:after="0" w:line="240" w:lineRule="auto"/>
              <w:jc w:val="center"/>
            </w:pPr>
            <w:r>
              <w:rPr>
                <w:sz w:val="18"/>
              </w:rPr>
              <w:t>0.674</w:t>
            </w:r>
          </w:p>
        </w:tc>
        <w:tc>
          <w:tcPr>
            <w:tcW w:w="1414" w:type="dxa"/>
            <w:vAlign w:val="center"/>
          </w:tcPr>
          <w:p w:rsidR="00C73A5E" w:rsidRDefault="00C73A5E" w:rsidP="00281199">
            <w:pPr>
              <w:spacing w:after="0" w:line="240" w:lineRule="auto"/>
              <w:jc w:val="center"/>
            </w:pPr>
            <w:r>
              <w:rPr>
                <w:sz w:val="18"/>
              </w:rPr>
              <w:t>0.187</w:t>
            </w:r>
          </w:p>
        </w:tc>
        <w:tc>
          <w:tcPr>
            <w:tcW w:w="1414" w:type="dxa"/>
            <w:vAlign w:val="center"/>
          </w:tcPr>
          <w:p w:rsidR="00C73A5E" w:rsidRDefault="00C73A5E" w:rsidP="00281199">
            <w:pPr>
              <w:spacing w:after="0" w:line="240" w:lineRule="auto"/>
              <w:jc w:val="center"/>
            </w:pPr>
            <w:r>
              <w:rPr>
                <w:sz w:val="18"/>
              </w:rPr>
              <w:t>0.191</w:t>
            </w:r>
          </w:p>
        </w:tc>
        <w:tc>
          <w:tcPr>
            <w:tcW w:w="1414" w:type="dxa"/>
            <w:vAlign w:val="center"/>
          </w:tcPr>
          <w:p w:rsidR="00C73A5E" w:rsidRDefault="00C73A5E" w:rsidP="00281199">
            <w:pPr>
              <w:spacing w:after="0" w:line="240" w:lineRule="auto"/>
              <w:jc w:val="center"/>
            </w:pPr>
            <w:r>
              <w:rPr>
                <w:sz w:val="18"/>
              </w:rPr>
              <w:t>-0.000</w:t>
            </w:r>
          </w:p>
        </w:tc>
        <w:tc>
          <w:tcPr>
            <w:tcW w:w="1414" w:type="dxa"/>
            <w:vAlign w:val="center"/>
          </w:tcPr>
          <w:p w:rsidR="00C73A5E" w:rsidRDefault="00C73A5E" w:rsidP="00281199">
            <w:pPr>
              <w:spacing w:after="0" w:line="240" w:lineRule="auto"/>
              <w:jc w:val="center"/>
            </w:pPr>
            <w:r>
              <w:rPr>
                <w:sz w:val="18"/>
              </w:rPr>
              <w:t>0.170</w:t>
            </w:r>
          </w:p>
        </w:tc>
        <w:tc>
          <w:tcPr>
            <w:tcW w:w="1414" w:type="dxa"/>
            <w:vAlign w:val="center"/>
          </w:tcPr>
          <w:p w:rsidR="00C73A5E" w:rsidRDefault="00C73A5E" w:rsidP="00281199">
            <w:pPr>
              <w:spacing w:after="0" w:line="240" w:lineRule="auto"/>
              <w:jc w:val="center"/>
            </w:pPr>
            <w:r>
              <w:rPr>
                <w:sz w:val="18"/>
              </w:rPr>
              <w:t>1.000</w:t>
            </w:r>
          </w:p>
        </w:tc>
        <w:tc>
          <w:tcPr>
            <w:tcW w:w="1414" w:type="dxa"/>
            <w:vAlign w:val="center"/>
          </w:tcPr>
          <w:p w:rsidR="00C73A5E" w:rsidRDefault="00C73A5E" w:rsidP="00281199">
            <w:pPr>
              <w:spacing w:after="0" w:line="240" w:lineRule="auto"/>
              <w:jc w:val="center"/>
            </w:pPr>
            <w:r>
              <w:rPr>
                <w:sz w:val="18"/>
              </w:rPr>
              <w:t>1.190</w:t>
            </w:r>
          </w:p>
        </w:tc>
        <w:tc>
          <w:tcPr>
            <w:tcW w:w="1414" w:type="dxa"/>
            <w:vAlign w:val="center"/>
          </w:tcPr>
          <w:p w:rsidR="00C73A5E" w:rsidRDefault="00C73A5E" w:rsidP="00281199">
            <w:pPr>
              <w:spacing w:after="0" w:line="240" w:lineRule="auto"/>
              <w:jc w:val="center"/>
            </w:pPr>
            <w:r>
              <w:rPr>
                <w:sz w:val="18"/>
              </w:rPr>
              <w:t>1000</w:t>
            </w:r>
          </w:p>
        </w:tc>
      </w:tr>
    </w:tbl>
    <w:p w:rsidR="00C73A5E" w:rsidRDefault="00C73A5E" w:rsidP="00C73A5E"/>
    <w:p w:rsidR="00C73A5E" w:rsidRDefault="00C73A5E" w:rsidP="00C73A5E">
      <w:pPr>
        <w:rPr>
          <w:b/>
          <w:bCs/>
        </w:rPr>
      </w:pPr>
    </w:p>
    <w:p w:rsidR="00C73A5E" w:rsidRDefault="00C73A5E" w:rsidP="00C73A5E">
      <w:pPr>
        <w:rPr>
          <w:b/>
          <w:bCs/>
        </w:rPr>
      </w:pPr>
    </w:p>
    <w:p w:rsidR="00C73A5E" w:rsidRDefault="00C73A5E" w:rsidP="00C73A5E">
      <w:pPr>
        <w:rPr>
          <w:b/>
          <w:bCs/>
        </w:rPr>
      </w:pPr>
    </w:p>
    <w:p w:rsidR="00C73A5E" w:rsidRDefault="00C73A5E" w:rsidP="00C73A5E">
      <w:pPr>
        <w:rPr>
          <w:b/>
          <w:bCs/>
        </w:rPr>
      </w:pPr>
    </w:p>
    <w:p w:rsidR="00903124" w:rsidRDefault="00C73A5E">
      <w:pPr>
        <w:jc w:val="center"/>
        <w:rPr>
          <w:b/>
          <w:bCs/>
        </w:rPr>
      </w:pPr>
      <w:r>
        <w:rPr>
          <w:b/>
          <w:bCs/>
        </w:rPr>
        <w:t>Supplementary Table S3</w:t>
      </w:r>
    </w:p>
    <w:p w:rsidR="00903124" w:rsidRDefault="00C73A5E">
      <w:pPr>
        <w:jc w:val="center"/>
      </w:pPr>
      <w:r>
        <w:t>Extent and pattern of missing data in the study database</w:t>
      </w:r>
    </w:p>
    <w:p w:rsidR="00903124" w:rsidRDefault="00C73A5E">
      <w:pPr>
        <w:spacing w:after="120"/>
      </w:pPr>
      <w:proofErr w:type="gramStart"/>
      <w:r>
        <w:rPr>
          <w:b/>
        </w:rPr>
        <w:t>Table note.</w:t>
      </w:r>
      <w:proofErr w:type="gramEnd"/>
      <w:r>
        <w:rPr>
          <w:b/>
        </w:rPr>
        <w:t xml:space="preserve"> </w:t>
      </w:r>
      <w:proofErr w:type="spellStart"/>
      <w:r>
        <w:rPr>
          <w:i/>
        </w:rPr>
        <w:t>Missingness</w:t>
      </w:r>
      <w:proofErr w:type="spellEnd"/>
      <w:r>
        <w:rPr>
          <w:i/>
        </w:rPr>
        <w:t xml:space="preserve"> was concentrated in follow-up neurological assessment variables, particularly 1-week NIHSS, whereas most baseline demographic and clinical predictors </w:t>
      </w:r>
      <w:r>
        <w:rPr>
          <w:i/>
        </w:rPr>
        <w:t>had low levels of missing data.</w:t>
      </w:r>
    </w:p>
    <w:tbl>
      <w:tblPr>
        <w:tblW w:w="0" w:type="auto"/>
        <w:jc w:val="center"/>
        <w:tblLayout w:type="fixed"/>
        <w:tblLook w:val="04A0" w:firstRow="1" w:lastRow="0" w:firstColumn="1" w:lastColumn="0" w:noHBand="0" w:noVBand="1"/>
      </w:tblPr>
      <w:tblGrid>
        <w:gridCol w:w="4706"/>
        <w:gridCol w:w="2484"/>
        <w:gridCol w:w="2484"/>
        <w:gridCol w:w="2484"/>
      </w:tblGrid>
      <w:tr w:rsidR="00903124">
        <w:trPr>
          <w:jc w:val="center"/>
        </w:trPr>
        <w:tc>
          <w:tcPr>
            <w:tcW w:w="4706" w:type="dxa"/>
            <w:tcBorders>
              <w:top w:val="single" w:sz="12" w:space="0" w:color="000000"/>
              <w:left w:val="nil"/>
              <w:bottom w:val="single" w:sz="8" w:space="0" w:color="000000"/>
              <w:right w:val="nil"/>
            </w:tcBorders>
            <w:shd w:val="clear" w:color="auto" w:fill="EAF2F8"/>
            <w:vAlign w:val="center"/>
          </w:tcPr>
          <w:p w:rsidR="00903124" w:rsidRDefault="00C73A5E">
            <w:pPr>
              <w:spacing w:before="40" w:after="40"/>
              <w:jc w:val="center"/>
            </w:pPr>
            <w:r>
              <w:rPr>
                <w:b/>
                <w:sz w:val="21"/>
              </w:rPr>
              <w:t>Variable</w:t>
            </w:r>
          </w:p>
        </w:tc>
        <w:tc>
          <w:tcPr>
            <w:tcW w:w="1361" w:type="dxa"/>
            <w:tcBorders>
              <w:top w:val="single" w:sz="12" w:space="0" w:color="000000"/>
              <w:left w:val="nil"/>
              <w:bottom w:val="single" w:sz="8" w:space="0" w:color="000000"/>
              <w:right w:val="nil"/>
            </w:tcBorders>
            <w:shd w:val="clear" w:color="auto" w:fill="EAF2F8"/>
            <w:vAlign w:val="center"/>
          </w:tcPr>
          <w:p w:rsidR="00903124" w:rsidRDefault="00C73A5E">
            <w:pPr>
              <w:spacing w:before="40" w:after="40"/>
              <w:jc w:val="center"/>
            </w:pPr>
            <w:r>
              <w:rPr>
                <w:b/>
                <w:sz w:val="21"/>
              </w:rPr>
              <w:t>Total N</w:t>
            </w:r>
          </w:p>
        </w:tc>
        <w:tc>
          <w:tcPr>
            <w:tcW w:w="1928" w:type="dxa"/>
            <w:tcBorders>
              <w:top w:val="single" w:sz="12" w:space="0" w:color="000000"/>
              <w:left w:val="nil"/>
              <w:bottom w:val="single" w:sz="8" w:space="0" w:color="000000"/>
              <w:right w:val="nil"/>
            </w:tcBorders>
            <w:shd w:val="clear" w:color="auto" w:fill="EAF2F8"/>
            <w:vAlign w:val="center"/>
          </w:tcPr>
          <w:p w:rsidR="00903124" w:rsidRDefault="00C73A5E">
            <w:pPr>
              <w:spacing w:before="40" w:after="40"/>
              <w:jc w:val="center"/>
            </w:pPr>
            <w:r>
              <w:rPr>
                <w:b/>
                <w:sz w:val="21"/>
              </w:rPr>
              <w:t>Number missing</w:t>
            </w:r>
          </w:p>
        </w:tc>
        <w:tc>
          <w:tcPr>
            <w:tcW w:w="1247" w:type="dxa"/>
            <w:tcBorders>
              <w:top w:val="single" w:sz="12" w:space="0" w:color="000000"/>
              <w:left w:val="nil"/>
              <w:bottom w:val="single" w:sz="8" w:space="0" w:color="000000"/>
              <w:right w:val="nil"/>
            </w:tcBorders>
            <w:shd w:val="clear" w:color="auto" w:fill="EAF2F8"/>
            <w:vAlign w:val="center"/>
          </w:tcPr>
          <w:p w:rsidR="00903124" w:rsidRDefault="00C73A5E">
            <w:pPr>
              <w:spacing w:before="40" w:after="40"/>
              <w:jc w:val="center"/>
            </w:pPr>
            <w:r>
              <w:rPr>
                <w:b/>
                <w:sz w:val="21"/>
              </w:rPr>
              <w:t>% missing</w:t>
            </w:r>
          </w:p>
        </w:tc>
      </w:tr>
      <w:tr w:rsidR="00903124">
        <w:trPr>
          <w:jc w:val="center"/>
        </w:trPr>
        <w:tc>
          <w:tcPr>
            <w:tcW w:w="2484" w:type="dxa"/>
            <w:tcBorders>
              <w:top w:val="nil"/>
              <w:left w:val="nil"/>
              <w:bottom w:val="nil"/>
              <w:right w:val="nil"/>
            </w:tcBorders>
            <w:vAlign w:val="center"/>
          </w:tcPr>
          <w:p w:rsidR="00903124" w:rsidRDefault="00C73A5E">
            <w:pPr>
              <w:spacing w:before="40" w:after="40"/>
            </w:pPr>
            <w:r>
              <w:rPr>
                <w:sz w:val="21"/>
              </w:rPr>
              <w:t>Age</w:t>
            </w:r>
          </w:p>
        </w:tc>
        <w:tc>
          <w:tcPr>
            <w:tcW w:w="2484" w:type="dxa"/>
            <w:tcBorders>
              <w:top w:val="nil"/>
              <w:left w:val="nil"/>
              <w:bottom w:val="nil"/>
              <w:right w:val="nil"/>
            </w:tcBorders>
            <w:vAlign w:val="center"/>
          </w:tcPr>
          <w:p w:rsidR="00903124" w:rsidRDefault="00C73A5E">
            <w:pPr>
              <w:spacing w:before="40" w:after="40"/>
              <w:jc w:val="center"/>
            </w:pPr>
            <w:r>
              <w:rPr>
                <w:sz w:val="21"/>
              </w:rPr>
              <w:t>253</w:t>
            </w:r>
          </w:p>
        </w:tc>
        <w:tc>
          <w:tcPr>
            <w:tcW w:w="2484" w:type="dxa"/>
            <w:tcBorders>
              <w:top w:val="nil"/>
              <w:left w:val="nil"/>
              <w:bottom w:val="nil"/>
              <w:right w:val="nil"/>
            </w:tcBorders>
            <w:vAlign w:val="center"/>
          </w:tcPr>
          <w:p w:rsidR="00903124" w:rsidRDefault="00C73A5E">
            <w:pPr>
              <w:spacing w:before="40" w:after="40"/>
              <w:jc w:val="center"/>
            </w:pPr>
            <w:r>
              <w:rPr>
                <w:sz w:val="21"/>
              </w:rPr>
              <w:t>0</w:t>
            </w:r>
          </w:p>
        </w:tc>
        <w:tc>
          <w:tcPr>
            <w:tcW w:w="2484" w:type="dxa"/>
            <w:tcBorders>
              <w:top w:val="nil"/>
              <w:left w:val="nil"/>
              <w:bottom w:val="nil"/>
              <w:right w:val="nil"/>
            </w:tcBorders>
            <w:vAlign w:val="center"/>
          </w:tcPr>
          <w:p w:rsidR="00903124" w:rsidRDefault="00C73A5E">
            <w:pPr>
              <w:spacing w:before="40" w:after="40"/>
              <w:jc w:val="center"/>
            </w:pPr>
            <w:r>
              <w:rPr>
                <w:sz w:val="21"/>
              </w:rPr>
              <w:t>0.0</w:t>
            </w:r>
          </w:p>
        </w:tc>
      </w:tr>
      <w:tr w:rsidR="00903124">
        <w:trPr>
          <w:jc w:val="center"/>
        </w:trPr>
        <w:tc>
          <w:tcPr>
            <w:tcW w:w="2484" w:type="dxa"/>
            <w:tcBorders>
              <w:top w:val="nil"/>
              <w:left w:val="nil"/>
              <w:bottom w:val="nil"/>
              <w:right w:val="nil"/>
            </w:tcBorders>
            <w:vAlign w:val="center"/>
          </w:tcPr>
          <w:p w:rsidR="00903124" w:rsidRDefault="00C73A5E">
            <w:pPr>
              <w:spacing w:before="40" w:after="40"/>
            </w:pPr>
            <w:r>
              <w:rPr>
                <w:sz w:val="21"/>
              </w:rPr>
              <w:t>Sex</w:t>
            </w:r>
          </w:p>
        </w:tc>
        <w:tc>
          <w:tcPr>
            <w:tcW w:w="2484" w:type="dxa"/>
            <w:tcBorders>
              <w:top w:val="nil"/>
              <w:left w:val="nil"/>
              <w:bottom w:val="nil"/>
              <w:right w:val="nil"/>
            </w:tcBorders>
            <w:vAlign w:val="center"/>
          </w:tcPr>
          <w:p w:rsidR="00903124" w:rsidRDefault="00C73A5E">
            <w:pPr>
              <w:spacing w:before="40" w:after="40"/>
              <w:jc w:val="center"/>
            </w:pPr>
            <w:r>
              <w:rPr>
                <w:sz w:val="21"/>
              </w:rPr>
              <w:t>253</w:t>
            </w:r>
          </w:p>
        </w:tc>
        <w:tc>
          <w:tcPr>
            <w:tcW w:w="2484" w:type="dxa"/>
            <w:tcBorders>
              <w:top w:val="nil"/>
              <w:left w:val="nil"/>
              <w:bottom w:val="nil"/>
              <w:right w:val="nil"/>
            </w:tcBorders>
            <w:vAlign w:val="center"/>
          </w:tcPr>
          <w:p w:rsidR="00903124" w:rsidRDefault="00C73A5E">
            <w:pPr>
              <w:spacing w:before="40" w:after="40"/>
              <w:jc w:val="center"/>
            </w:pPr>
            <w:r>
              <w:rPr>
                <w:sz w:val="21"/>
              </w:rPr>
              <w:t>0</w:t>
            </w:r>
          </w:p>
        </w:tc>
        <w:tc>
          <w:tcPr>
            <w:tcW w:w="2484" w:type="dxa"/>
            <w:tcBorders>
              <w:top w:val="nil"/>
              <w:left w:val="nil"/>
              <w:bottom w:val="nil"/>
              <w:right w:val="nil"/>
            </w:tcBorders>
            <w:vAlign w:val="center"/>
          </w:tcPr>
          <w:p w:rsidR="00903124" w:rsidRDefault="00C73A5E">
            <w:pPr>
              <w:spacing w:before="40" w:after="40"/>
              <w:jc w:val="center"/>
            </w:pPr>
            <w:r>
              <w:rPr>
                <w:sz w:val="21"/>
              </w:rPr>
              <w:t>0.0</w:t>
            </w:r>
          </w:p>
        </w:tc>
      </w:tr>
      <w:tr w:rsidR="00903124">
        <w:trPr>
          <w:jc w:val="center"/>
        </w:trPr>
        <w:tc>
          <w:tcPr>
            <w:tcW w:w="2484" w:type="dxa"/>
            <w:tcBorders>
              <w:top w:val="nil"/>
              <w:left w:val="nil"/>
              <w:bottom w:val="nil"/>
              <w:right w:val="nil"/>
            </w:tcBorders>
            <w:vAlign w:val="center"/>
          </w:tcPr>
          <w:p w:rsidR="00903124" w:rsidRDefault="00C73A5E">
            <w:pPr>
              <w:spacing w:before="40" w:after="40"/>
            </w:pPr>
            <w:r>
              <w:rPr>
                <w:sz w:val="21"/>
              </w:rPr>
              <w:t>Baseline NIHSS</w:t>
            </w:r>
          </w:p>
        </w:tc>
        <w:tc>
          <w:tcPr>
            <w:tcW w:w="2484" w:type="dxa"/>
            <w:tcBorders>
              <w:top w:val="nil"/>
              <w:left w:val="nil"/>
              <w:bottom w:val="nil"/>
              <w:right w:val="nil"/>
            </w:tcBorders>
            <w:vAlign w:val="center"/>
          </w:tcPr>
          <w:p w:rsidR="00903124" w:rsidRDefault="00C73A5E">
            <w:pPr>
              <w:spacing w:before="40" w:after="40"/>
              <w:jc w:val="center"/>
            </w:pPr>
            <w:r>
              <w:rPr>
                <w:sz w:val="21"/>
              </w:rPr>
              <w:t>253</w:t>
            </w:r>
          </w:p>
        </w:tc>
        <w:tc>
          <w:tcPr>
            <w:tcW w:w="2484" w:type="dxa"/>
            <w:tcBorders>
              <w:top w:val="nil"/>
              <w:left w:val="nil"/>
              <w:bottom w:val="nil"/>
              <w:right w:val="nil"/>
            </w:tcBorders>
            <w:vAlign w:val="center"/>
          </w:tcPr>
          <w:p w:rsidR="00903124" w:rsidRDefault="00C73A5E">
            <w:pPr>
              <w:spacing w:before="40" w:after="40"/>
              <w:jc w:val="center"/>
            </w:pPr>
            <w:r>
              <w:rPr>
                <w:sz w:val="21"/>
              </w:rPr>
              <w:t>1</w:t>
            </w:r>
          </w:p>
        </w:tc>
        <w:tc>
          <w:tcPr>
            <w:tcW w:w="2484" w:type="dxa"/>
            <w:tcBorders>
              <w:top w:val="nil"/>
              <w:left w:val="nil"/>
              <w:bottom w:val="nil"/>
              <w:right w:val="nil"/>
            </w:tcBorders>
            <w:vAlign w:val="center"/>
          </w:tcPr>
          <w:p w:rsidR="00903124" w:rsidRDefault="00C73A5E">
            <w:pPr>
              <w:spacing w:before="40" w:after="40"/>
              <w:jc w:val="center"/>
            </w:pPr>
            <w:r>
              <w:rPr>
                <w:sz w:val="21"/>
              </w:rPr>
              <w:t>0.4</w:t>
            </w:r>
          </w:p>
        </w:tc>
      </w:tr>
      <w:tr w:rsidR="00903124">
        <w:trPr>
          <w:jc w:val="center"/>
        </w:trPr>
        <w:tc>
          <w:tcPr>
            <w:tcW w:w="2484" w:type="dxa"/>
            <w:tcBorders>
              <w:top w:val="nil"/>
              <w:left w:val="nil"/>
              <w:bottom w:val="nil"/>
              <w:right w:val="nil"/>
            </w:tcBorders>
            <w:vAlign w:val="center"/>
          </w:tcPr>
          <w:p w:rsidR="00903124" w:rsidRDefault="00C73A5E">
            <w:pPr>
              <w:spacing w:before="40" w:after="40"/>
            </w:pPr>
            <w:r>
              <w:rPr>
                <w:sz w:val="21"/>
              </w:rPr>
              <w:t>48h NIHSS</w:t>
            </w:r>
          </w:p>
        </w:tc>
        <w:tc>
          <w:tcPr>
            <w:tcW w:w="2484" w:type="dxa"/>
            <w:tcBorders>
              <w:top w:val="nil"/>
              <w:left w:val="nil"/>
              <w:bottom w:val="nil"/>
              <w:right w:val="nil"/>
            </w:tcBorders>
            <w:vAlign w:val="center"/>
          </w:tcPr>
          <w:p w:rsidR="00903124" w:rsidRDefault="00C73A5E">
            <w:pPr>
              <w:spacing w:before="40" w:after="40"/>
              <w:jc w:val="center"/>
            </w:pPr>
            <w:r>
              <w:rPr>
                <w:sz w:val="21"/>
              </w:rPr>
              <w:t>253</w:t>
            </w:r>
          </w:p>
        </w:tc>
        <w:tc>
          <w:tcPr>
            <w:tcW w:w="2484" w:type="dxa"/>
            <w:tcBorders>
              <w:top w:val="nil"/>
              <w:left w:val="nil"/>
              <w:bottom w:val="nil"/>
              <w:right w:val="nil"/>
            </w:tcBorders>
            <w:vAlign w:val="center"/>
          </w:tcPr>
          <w:p w:rsidR="00903124" w:rsidRDefault="00C73A5E">
            <w:pPr>
              <w:spacing w:before="40" w:after="40"/>
              <w:jc w:val="center"/>
            </w:pPr>
            <w:r>
              <w:rPr>
                <w:sz w:val="21"/>
              </w:rPr>
              <w:t>30</w:t>
            </w:r>
          </w:p>
        </w:tc>
        <w:tc>
          <w:tcPr>
            <w:tcW w:w="2484" w:type="dxa"/>
            <w:tcBorders>
              <w:top w:val="nil"/>
              <w:left w:val="nil"/>
              <w:bottom w:val="nil"/>
              <w:right w:val="nil"/>
            </w:tcBorders>
            <w:vAlign w:val="center"/>
          </w:tcPr>
          <w:p w:rsidR="00903124" w:rsidRDefault="00C73A5E">
            <w:pPr>
              <w:spacing w:before="40" w:after="40"/>
              <w:jc w:val="center"/>
            </w:pPr>
            <w:r>
              <w:rPr>
                <w:sz w:val="21"/>
              </w:rPr>
              <w:t>11.9</w:t>
            </w:r>
          </w:p>
        </w:tc>
      </w:tr>
      <w:tr w:rsidR="00903124">
        <w:trPr>
          <w:jc w:val="center"/>
        </w:trPr>
        <w:tc>
          <w:tcPr>
            <w:tcW w:w="2484" w:type="dxa"/>
            <w:tcBorders>
              <w:top w:val="nil"/>
              <w:left w:val="nil"/>
              <w:bottom w:val="nil"/>
              <w:right w:val="nil"/>
            </w:tcBorders>
            <w:vAlign w:val="center"/>
          </w:tcPr>
          <w:p w:rsidR="00903124" w:rsidRDefault="00C73A5E">
            <w:pPr>
              <w:spacing w:before="40" w:after="40"/>
            </w:pPr>
            <w:r>
              <w:rPr>
                <w:sz w:val="21"/>
              </w:rPr>
              <w:t>1-week NIHSS</w:t>
            </w:r>
          </w:p>
        </w:tc>
        <w:tc>
          <w:tcPr>
            <w:tcW w:w="2484" w:type="dxa"/>
            <w:tcBorders>
              <w:top w:val="nil"/>
              <w:left w:val="nil"/>
              <w:bottom w:val="nil"/>
              <w:right w:val="nil"/>
            </w:tcBorders>
            <w:vAlign w:val="center"/>
          </w:tcPr>
          <w:p w:rsidR="00903124" w:rsidRDefault="00C73A5E">
            <w:pPr>
              <w:spacing w:before="40" w:after="40"/>
              <w:jc w:val="center"/>
            </w:pPr>
            <w:r>
              <w:rPr>
                <w:sz w:val="21"/>
              </w:rPr>
              <w:t>253</w:t>
            </w:r>
          </w:p>
        </w:tc>
        <w:tc>
          <w:tcPr>
            <w:tcW w:w="2484" w:type="dxa"/>
            <w:tcBorders>
              <w:top w:val="nil"/>
              <w:left w:val="nil"/>
              <w:bottom w:val="nil"/>
              <w:right w:val="nil"/>
            </w:tcBorders>
            <w:vAlign w:val="center"/>
          </w:tcPr>
          <w:p w:rsidR="00903124" w:rsidRDefault="00C73A5E">
            <w:pPr>
              <w:spacing w:before="40" w:after="40"/>
              <w:jc w:val="center"/>
            </w:pPr>
            <w:r>
              <w:rPr>
                <w:sz w:val="21"/>
              </w:rPr>
              <w:t>68</w:t>
            </w:r>
          </w:p>
        </w:tc>
        <w:tc>
          <w:tcPr>
            <w:tcW w:w="2484" w:type="dxa"/>
            <w:tcBorders>
              <w:top w:val="nil"/>
              <w:left w:val="nil"/>
              <w:bottom w:val="nil"/>
              <w:right w:val="nil"/>
            </w:tcBorders>
            <w:vAlign w:val="center"/>
          </w:tcPr>
          <w:p w:rsidR="00903124" w:rsidRDefault="00C73A5E">
            <w:pPr>
              <w:spacing w:before="40" w:after="40"/>
              <w:jc w:val="center"/>
            </w:pPr>
            <w:r>
              <w:rPr>
                <w:sz w:val="21"/>
              </w:rPr>
              <w:t>26.9</w:t>
            </w:r>
          </w:p>
        </w:tc>
      </w:tr>
      <w:tr w:rsidR="00903124">
        <w:trPr>
          <w:jc w:val="center"/>
        </w:trPr>
        <w:tc>
          <w:tcPr>
            <w:tcW w:w="2484" w:type="dxa"/>
            <w:tcBorders>
              <w:top w:val="nil"/>
              <w:left w:val="nil"/>
              <w:bottom w:val="nil"/>
              <w:right w:val="nil"/>
            </w:tcBorders>
            <w:vAlign w:val="center"/>
          </w:tcPr>
          <w:p w:rsidR="00903124" w:rsidRDefault="00C73A5E">
            <w:pPr>
              <w:spacing w:before="40" w:after="40"/>
            </w:pPr>
            <w:r>
              <w:rPr>
                <w:sz w:val="21"/>
              </w:rPr>
              <w:t>Hypertension</w:t>
            </w:r>
          </w:p>
        </w:tc>
        <w:tc>
          <w:tcPr>
            <w:tcW w:w="2484" w:type="dxa"/>
            <w:tcBorders>
              <w:top w:val="nil"/>
              <w:left w:val="nil"/>
              <w:bottom w:val="nil"/>
              <w:right w:val="nil"/>
            </w:tcBorders>
            <w:vAlign w:val="center"/>
          </w:tcPr>
          <w:p w:rsidR="00903124" w:rsidRDefault="00C73A5E">
            <w:pPr>
              <w:spacing w:before="40" w:after="40"/>
              <w:jc w:val="center"/>
            </w:pPr>
            <w:r>
              <w:rPr>
                <w:sz w:val="21"/>
              </w:rPr>
              <w:t>253</w:t>
            </w:r>
          </w:p>
        </w:tc>
        <w:tc>
          <w:tcPr>
            <w:tcW w:w="2484" w:type="dxa"/>
            <w:tcBorders>
              <w:top w:val="nil"/>
              <w:left w:val="nil"/>
              <w:bottom w:val="nil"/>
              <w:right w:val="nil"/>
            </w:tcBorders>
            <w:vAlign w:val="center"/>
          </w:tcPr>
          <w:p w:rsidR="00903124" w:rsidRDefault="00C73A5E">
            <w:pPr>
              <w:spacing w:before="40" w:after="40"/>
              <w:jc w:val="center"/>
            </w:pPr>
            <w:r>
              <w:rPr>
                <w:sz w:val="21"/>
              </w:rPr>
              <w:t>0</w:t>
            </w:r>
          </w:p>
        </w:tc>
        <w:tc>
          <w:tcPr>
            <w:tcW w:w="2484" w:type="dxa"/>
            <w:tcBorders>
              <w:top w:val="nil"/>
              <w:left w:val="nil"/>
              <w:bottom w:val="nil"/>
              <w:right w:val="nil"/>
            </w:tcBorders>
            <w:vAlign w:val="center"/>
          </w:tcPr>
          <w:p w:rsidR="00903124" w:rsidRDefault="00C73A5E">
            <w:pPr>
              <w:spacing w:before="40" w:after="40"/>
              <w:jc w:val="center"/>
            </w:pPr>
            <w:r>
              <w:rPr>
                <w:sz w:val="21"/>
              </w:rPr>
              <w:t>0.0</w:t>
            </w:r>
          </w:p>
        </w:tc>
      </w:tr>
      <w:tr w:rsidR="00903124">
        <w:trPr>
          <w:jc w:val="center"/>
        </w:trPr>
        <w:tc>
          <w:tcPr>
            <w:tcW w:w="2484" w:type="dxa"/>
            <w:tcBorders>
              <w:top w:val="nil"/>
              <w:left w:val="nil"/>
              <w:bottom w:val="nil"/>
              <w:right w:val="nil"/>
            </w:tcBorders>
            <w:vAlign w:val="center"/>
          </w:tcPr>
          <w:p w:rsidR="00903124" w:rsidRDefault="00C73A5E">
            <w:pPr>
              <w:spacing w:before="40" w:after="40"/>
            </w:pPr>
            <w:r>
              <w:rPr>
                <w:sz w:val="21"/>
              </w:rPr>
              <w:t>Diabetes</w:t>
            </w:r>
          </w:p>
        </w:tc>
        <w:tc>
          <w:tcPr>
            <w:tcW w:w="2484" w:type="dxa"/>
            <w:tcBorders>
              <w:top w:val="nil"/>
              <w:left w:val="nil"/>
              <w:bottom w:val="nil"/>
              <w:right w:val="nil"/>
            </w:tcBorders>
            <w:vAlign w:val="center"/>
          </w:tcPr>
          <w:p w:rsidR="00903124" w:rsidRDefault="00C73A5E">
            <w:pPr>
              <w:spacing w:before="40" w:after="40"/>
              <w:jc w:val="center"/>
            </w:pPr>
            <w:r>
              <w:rPr>
                <w:sz w:val="21"/>
              </w:rPr>
              <w:t>253</w:t>
            </w:r>
          </w:p>
        </w:tc>
        <w:tc>
          <w:tcPr>
            <w:tcW w:w="2484" w:type="dxa"/>
            <w:tcBorders>
              <w:top w:val="nil"/>
              <w:left w:val="nil"/>
              <w:bottom w:val="nil"/>
              <w:right w:val="nil"/>
            </w:tcBorders>
            <w:vAlign w:val="center"/>
          </w:tcPr>
          <w:p w:rsidR="00903124" w:rsidRDefault="00C73A5E">
            <w:pPr>
              <w:spacing w:before="40" w:after="40"/>
              <w:jc w:val="center"/>
            </w:pPr>
            <w:r>
              <w:rPr>
                <w:sz w:val="21"/>
              </w:rPr>
              <w:t>0</w:t>
            </w:r>
          </w:p>
        </w:tc>
        <w:tc>
          <w:tcPr>
            <w:tcW w:w="2484" w:type="dxa"/>
            <w:tcBorders>
              <w:top w:val="nil"/>
              <w:left w:val="nil"/>
              <w:bottom w:val="nil"/>
              <w:right w:val="nil"/>
            </w:tcBorders>
            <w:vAlign w:val="center"/>
          </w:tcPr>
          <w:p w:rsidR="00903124" w:rsidRDefault="00C73A5E">
            <w:pPr>
              <w:spacing w:before="40" w:after="40"/>
              <w:jc w:val="center"/>
            </w:pPr>
            <w:r>
              <w:rPr>
                <w:sz w:val="21"/>
              </w:rPr>
              <w:t>0.0</w:t>
            </w:r>
          </w:p>
        </w:tc>
      </w:tr>
      <w:tr w:rsidR="00903124">
        <w:trPr>
          <w:jc w:val="center"/>
        </w:trPr>
        <w:tc>
          <w:tcPr>
            <w:tcW w:w="2484" w:type="dxa"/>
            <w:tcBorders>
              <w:top w:val="nil"/>
              <w:left w:val="nil"/>
              <w:bottom w:val="nil"/>
              <w:right w:val="nil"/>
            </w:tcBorders>
            <w:vAlign w:val="center"/>
          </w:tcPr>
          <w:p w:rsidR="00903124" w:rsidRDefault="00C73A5E">
            <w:pPr>
              <w:spacing w:before="40" w:after="40"/>
            </w:pPr>
            <w:proofErr w:type="spellStart"/>
            <w:r>
              <w:rPr>
                <w:sz w:val="21"/>
              </w:rPr>
              <w:t>Cardioembolic</w:t>
            </w:r>
            <w:proofErr w:type="spellEnd"/>
            <w:r>
              <w:rPr>
                <w:sz w:val="21"/>
              </w:rPr>
              <w:t xml:space="preserve"> </w:t>
            </w:r>
            <w:proofErr w:type="spellStart"/>
            <w:r>
              <w:rPr>
                <w:sz w:val="21"/>
              </w:rPr>
              <w:t>aetiology</w:t>
            </w:r>
            <w:proofErr w:type="spellEnd"/>
          </w:p>
        </w:tc>
        <w:tc>
          <w:tcPr>
            <w:tcW w:w="2484" w:type="dxa"/>
            <w:tcBorders>
              <w:top w:val="nil"/>
              <w:left w:val="nil"/>
              <w:bottom w:val="nil"/>
              <w:right w:val="nil"/>
            </w:tcBorders>
            <w:vAlign w:val="center"/>
          </w:tcPr>
          <w:p w:rsidR="00903124" w:rsidRDefault="00C73A5E">
            <w:pPr>
              <w:spacing w:before="40" w:after="40"/>
              <w:jc w:val="center"/>
            </w:pPr>
            <w:r>
              <w:rPr>
                <w:sz w:val="21"/>
              </w:rPr>
              <w:t>253</w:t>
            </w:r>
          </w:p>
        </w:tc>
        <w:tc>
          <w:tcPr>
            <w:tcW w:w="2484" w:type="dxa"/>
            <w:tcBorders>
              <w:top w:val="nil"/>
              <w:left w:val="nil"/>
              <w:bottom w:val="nil"/>
              <w:right w:val="nil"/>
            </w:tcBorders>
            <w:vAlign w:val="center"/>
          </w:tcPr>
          <w:p w:rsidR="00903124" w:rsidRDefault="00C73A5E">
            <w:pPr>
              <w:spacing w:before="40" w:after="40"/>
              <w:jc w:val="center"/>
            </w:pPr>
            <w:r>
              <w:rPr>
                <w:sz w:val="21"/>
              </w:rPr>
              <w:t>0</w:t>
            </w:r>
          </w:p>
        </w:tc>
        <w:tc>
          <w:tcPr>
            <w:tcW w:w="2484" w:type="dxa"/>
            <w:tcBorders>
              <w:top w:val="nil"/>
              <w:left w:val="nil"/>
              <w:bottom w:val="nil"/>
              <w:right w:val="nil"/>
            </w:tcBorders>
            <w:vAlign w:val="center"/>
          </w:tcPr>
          <w:p w:rsidR="00903124" w:rsidRDefault="00C73A5E">
            <w:pPr>
              <w:spacing w:before="40" w:after="40"/>
              <w:jc w:val="center"/>
            </w:pPr>
            <w:r>
              <w:rPr>
                <w:sz w:val="21"/>
              </w:rPr>
              <w:t>0.0</w:t>
            </w:r>
          </w:p>
        </w:tc>
      </w:tr>
      <w:tr w:rsidR="00903124">
        <w:trPr>
          <w:jc w:val="center"/>
        </w:trPr>
        <w:tc>
          <w:tcPr>
            <w:tcW w:w="2484" w:type="dxa"/>
            <w:tcBorders>
              <w:top w:val="nil"/>
              <w:left w:val="nil"/>
              <w:bottom w:val="nil"/>
              <w:right w:val="nil"/>
            </w:tcBorders>
            <w:vAlign w:val="center"/>
          </w:tcPr>
          <w:p w:rsidR="00903124" w:rsidRDefault="00C73A5E">
            <w:pPr>
              <w:spacing w:before="40" w:after="40"/>
            </w:pPr>
            <w:r>
              <w:rPr>
                <w:sz w:val="21"/>
              </w:rPr>
              <w:t>Prior CVD</w:t>
            </w:r>
          </w:p>
        </w:tc>
        <w:tc>
          <w:tcPr>
            <w:tcW w:w="2484" w:type="dxa"/>
            <w:tcBorders>
              <w:top w:val="nil"/>
              <w:left w:val="nil"/>
              <w:bottom w:val="nil"/>
              <w:right w:val="nil"/>
            </w:tcBorders>
            <w:vAlign w:val="center"/>
          </w:tcPr>
          <w:p w:rsidR="00903124" w:rsidRDefault="00C73A5E">
            <w:pPr>
              <w:spacing w:before="40" w:after="40"/>
              <w:jc w:val="center"/>
            </w:pPr>
            <w:r>
              <w:rPr>
                <w:sz w:val="21"/>
              </w:rPr>
              <w:t>253</w:t>
            </w:r>
          </w:p>
        </w:tc>
        <w:tc>
          <w:tcPr>
            <w:tcW w:w="2484" w:type="dxa"/>
            <w:tcBorders>
              <w:top w:val="nil"/>
              <w:left w:val="nil"/>
              <w:bottom w:val="nil"/>
              <w:right w:val="nil"/>
            </w:tcBorders>
            <w:vAlign w:val="center"/>
          </w:tcPr>
          <w:p w:rsidR="00903124" w:rsidRDefault="00C73A5E">
            <w:pPr>
              <w:spacing w:before="40" w:after="40"/>
              <w:jc w:val="center"/>
            </w:pPr>
            <w:r>
              <w:rPr>
                <w:sz w:val="21"/>
              </w:rPr>
              <w:t>0</w:t>
            </w:r>
          </w:p>
        </w:tc>
        <w:tc>
          <w:tcPr>
            <w:tcW w:w="2484" w:type="dxa"/>
            <w:tcBorders>
              <w:top w:val="nil"/>
              <w:left w:val="nil"/>
              <w:bottom w:val="nil"/>
              <w:right w:val="nil"/>
            </w:tcBorders>
            <w:vAlign w:val="center"/>
          </w:tcPr>
          <w:p w:rsidR="00903124" w:rsidRDefault="00C73A5E">
            <w:pPr>
              <w:spacing w:before="40" w:after="40"/>
              <w:jc w:val="center"/>
            </w:pPr>
            <w:r>
              <w:rPr>
                <w:sz w:val="21"/>
              </w:rPr>
              <w:t>0.0</w:t>
            </w:r>
          </w:p>
        </w:tc>
      </w:tr>
      <w:tr w:rsidR="00903124">
        <w:trPr>
          <w:jc w:val="center"/>
        </w:trPr>
        <w:tc>
          <w:tcPr>
            <w:tcW w:w="2484" w:type="dxa"/>
            <w:tcBorders>
              <w:top w:val="nil"/>
              <w:left w:val="nil"/>
              <w:bottom w:val="nil"/>
              <w:right w:val="nil"/>
            </w:tcBorders>
            <w:vAlign w:val="center"/>
          </w:tcPr>
          <w:p w:rsidR="00903124" w:rsidRDefault="00C73A5E">
            <w:pPr>
              <w:spacing w:before="40" w:after="40"/>
            </w:pPr>
            <w:r>
              <w:rPr>
                <w:sz w:val="21"/>
              </w:rPr>
              <w:t>DPT</w:t>
            </w:r>
          </w:p>
        </w:tc>
        <w:tc>
          <w:tcPr>
            <w:tcW w:w="2484" w:type="dxa"/>
            <w:tcBorders>
              <w:top w:val="nil"/>
              <w:left w:val="nil"/>
              <w:bottom w:val="nil"/>
              <w:right w:val="nil"/>
            </w:tcBorders>
            <w:vAlign w:val="center"/>
          </w:tcPr>
          <w:p w:rsidR="00903124" w:rsidRDefault="00C73A5E">
            <w:pPr>
              <w:spacing w:before="40" w:after="40"/>
              <w:jc w:val="center"/>
            </w:pPr>
            <w:r>
              <w:rPr>
                <w:sz w:val="21"/>
              </w:rPr>
              <w:t>253</w:t>
            </w:r>
          </w:p>
        </w:tc>
        <w:tc>
          <w:tcPr>
            <w:tcW w:w="2484" w:type="dxa"/>
            <w:tcBorders>
              <w:top w:val="nil"/>
              <w:left w:val="nil"/>
              <w:bottom w:val="nil"/>
              <w:right w:val="nil"/>
            </w:tcBorders>
            <w:vAlign w:val="center"/>
          </w:tcPr>
          <w:p w:rsidR="00903124" w:rsidRDefault="00C73A5E">
            <w:pPr>
              <w:spacing w:before="40" w:after="40"/>
              <w:jc w:val="center"/>
            </w:pPr>
            <w:r>
              <w:rPr>
                <w:sz w:val="21"/>
              </w:rPr>
              <w:t>69</w:t>
            </w:r>
          </w:p>
        </w:tc>
        <w:tc>
          <w:tcPr>
            <w:tcW w:w="2484" w:type="dxa"/>
            <w:tcBorders>
              <w:top w:val="nil"/>
              <w:left w:val="nil"/>
              <w:bottom w:val="nil"/>
              <w:right w:val="nil"/>
            </w:tcBorders>
            <w:vAlign w:val="center"/>
          </w:tcPr>
          <w:p w:rsidR="00903124" w:rsidRDefault="00C73A5E">
            <w:pPr>
              <w:spacing w:before="40" w:after="40"/>
              <w:jc w:val="center"/>
            </w:pPr>
            <w:r>
              <w:rPr>
                <w:sz w:val="21"/>
              </w:rPr>
              <w:t>27.3</w:t>
            </w:r>
          </w:p>
        </w:tc>
      </w:tr>
      <w:tr w:rsidR="00903124">
        <w:trPr>
          <w:jc w:val="center"/>
        </w:trPr>
        <w:tc>
          <w:tcPr>
            <w:tcW w:w="2484" w:type="dxa"/>
            <w:tcBorders>
              <w:top w:val="nil"/>
              <w:left w:val="nil"/>
              <w:bottom w:val="nil"/>
              <w:right w:val="nil"/>
            </w:tcBorders>
            <w:vAlign w:val="center"/>
          </w:tcPr>
          <w:p w:rsidR="00903124" w:rsidRDefault="00C73A5E">
            <w:pPr>
              <w:spacing w:before="40" w:after="40"/>
            </w:pPr>
            <w:r>
              <w:rPr>
                <w:sz w:val="21"/>
              </w:rPr>
              <w:t>Glucose</w:t>
            </w:r>
          </w:p>
        </w:tc>
        <w:tc>
          <w:tcPr>
            <w:tcW w:w="2484" w:type="dxa"/>
            <w:tcBorders>
              <w:top w:val="nil"/>
              <w:left w:val="nil"/>
              <w:bottom w:val="nil"/>
              <w:right w:val="nil"/>
            </w:tcBorders>
            <w:vAlign w:val="center"/>
          </w:tcPr>
          <w:p w:rsidR="00903124" w:rsidRDefault="00C73A5E">
            <w:pPr>
              <w:spacing w:before="40" w:after="40"/>
              <w:jc w:val="center"/>
            </w:pPr>
            <w:r>
              <w:rPr>
                <w:sz w:val="21"/>
              </w:rPr>
              <w:t>253</w:t>
            </w:r>
          </w:p>
        </w:tc>
        <w:tc>
          <w:tcPr>
            <w:tcW w:w="2484" w:type="dxa"/>
            <w:tcBorders>
              <w:top w:val="nil"/>
              <w:left w:val="nil"/>
              <w:bottom w:val="nil"/>
              <w:right w:val="nil"/>
            </w:tcBorders>
            <w:vAlign w:val="center"/>
          </w:tcPr>
          <w:p w:rsidR="00903124" w:rsidRDefault="00C73A5E">
            <w:pPr>
              <w:spacing w:before="40" w:after="40"/>
              <w:jc w:val="center"/>
            </w:pPr>
            <w:r>
              <w:rPr>
                <w:sz w:val="21"/>
              </w:rPr>
              <w:t>32</w:t>
            </w:r>
          </w:p>
        </w:tc>
        <w:tc>
          <w:tcPr>
            <w:tcW w:w="2484" w:type="dxa"/>
            <w:tcBorders>
              <w:top w:val="nil"/>
              <w:left w:val="nil"/>
              <w:bottom w:val="nil"/>
              <w:right w:val="nil"/>
            </w:tcBorders>
            <w:vAlign w:val="center"/>
          </w:tcPr>
          <w:p w:rsidR="00903124" w:rsidRDefault="00C73A5E">
            <w:pPr>
              <w:spacing w:before="40" w:after="40"/>
              <w:jc w:val="center"/>
            </w:pPr>
            <w:r>
              <w:rPr>
                <w:sz w:val="21"/>
              </w:rPr>
              <w:t>12.6</w:t>
            </w:r>
          </w:p>
        </w:tc>
      </w:tr>
      <w:tr w:rsidR="00903124">
        <w:trPr>
          <w:jc w:val="center"/>
        </w:trPr>
        <w:tc>
          <w:tcPr>
            <w:tcW w:w="2484" w:type="dxa"/>
            <w:tcBorders>
              <w:top w:val="nil"/>
              <w:left w:val="nil"/>
              <w:bottom w:val="nil"/>
              <w:right w:val="nil"/>
            </w:tcBorders>
            <w:vAlign w:val="center"/>
          </w:tcPr>
          <w:p w:rsidR="00903124" w:rsidRDefault="00C73A5E">
            <w:pPr>
              <w:spacing w:before="40" w:after="40"/>
            </w:pPr>
            <w:r>
              <w:rPr>
                <w:sz w:val="21"/>
              </w:rPr>
              <w:t>LDL</w:t>
            </w:r>
          </w:p>
        </w:tc>
        <w:tc>
          <w:tcPr>
            <w:tcW w:w="2484" w:type="dxa"/>
            <w:tcBorders>
              <w:top w:val="nil"/>
              <w:left w:val="nil"/>
              <w:bottom w:val="nil"/>
              <w:right w:val="nil"/>
            </w:tcBorders>
            <w:vAlign w:val="center"/>
          </w:tcPr>
          <w:p w:rsidR="00903124" w:rsidRDefault="00C73A5E">
            <w:pPr>
              <w:spacing w:before="40" w:after="40"/>
              <w:jc w:val="center"/>
            </w:pPr>
            <w:r>
              <w:rPr>
                <w:sz w:val="21"/>
              </w:rPr>
              <w:t>253</w:t>
            </w:r>
          </w:p>
        </w:tc>
        <w:tc>
          <w:tcPr>
            <w:tcW w:w="2484" w:type="dxa"/>
            <w:tcBorders>
              <w:top w:val="nil"/>
              <w:left w:val="nil"/>
              <w:bottom w:val="nil"/>
              <w:right w:val="nil"/>
            </w:tcBorders>
            <w:vAlign w:val="center"/>
          </w:tcPr>
          <w:p w:rsidR="00903124" w:rsidRDefault="00C73A5E">
            <w:pPr>
              <w:spacing w:before="40" w:after="40"/>
              <w:jc w:val="center"/>
            </w:pPr>
            <w:r>
              <w:rPr>
                <w:sz w:val="21"/>
              </w:rPr>
              <w:t>22</w:t>
            </w:r>
          </w:p>
        </w:tc>
        <w:tc>
          <w:tcPr>
            <w:tcW w:w="2484" w:type="dxa"/>
            <w:tcBorders>
              <w:top w:val="nil"/>
              <w:left w:val="nil"/>
              <w:bottom w:val="nil"/>
              <w:right w:val="nil"/>
            </w:tcBorders>
            <w:vAlign w:val="center"/>
          </w:tcPr>
          <w:p w:rsidR="00903124" w:rsidRDefault="00C73A5E">
            <w:pPr>
              <w:spacing w:before="40" w:after="40"/>
              <w:jc w:val="center"/>
            </w:pPr>
            <w:r>
              <w:rPr>
                <w:sz w:val="21"/>
              </w:rPr>
              <w:t>8.7</w:t>
            </w:r>
          </w:p>
        </w:tc>
      </w:tr>
      <w:tr w:rsidR="00903124">
        <w:trPr>
          <w:jc w:val="center"/>
        </w:trPr>
        <w:tc>
          <w:tcPr>
            <w:tcW w:w="2484" w:type="dxa"/>
            <w:tcBorders>
              <w:top w:val="nil"/>
              <w:left w:val="nil"/>
              <w:bottom w:val="nil"/>
              <w:right w:val="nil"/>
            </w:tcBorders>
            <w:vAlign w:val="center"/>
          </w:tcPr>
          <w:p w:rsidR="00903124" w:rsidRDefault="00C73A5E">
            <w:pPr>
              <w:spacing w:before="40" w:after="40"/>
            </w:pPr>
            <w:r>
              <w:rPr>
                <w:sz w:val="21"/>
              </w:rPr>
              <w:t>HDL</w:t>
            </w:r>
          </w:p>
        </w:tc>
        <w:tc>
          <w:tcPr>
            <w:tcW w:w="2484" w:type="dxa"/>
            <w:tcBorders>
              <w:top w:val="nil"/>
              <w:left w:val="nil"/>
              <w:bottom w:val="nil"/>
              <w:right w:val="nil"/>
            </w:tcBorders>
            <w:vAlign w:val="center"/>
          </w:tcPr>
          <w:p w:rsidR="00903124" w:rsidRDefault="00C73A5E">
            <w:pPr>
              <w:spacing w:before="40" w:after="40"/>
              <w:jc w:val="center"/>
            </w:pPr>
            <w:r>
              <w:rPr>
                <w:sz w:val="21"/>
              </w:rPr>
              <w:t>253</w:t>
            </w:r>
          </w:p>
        </w:tc>
        <w:tc>
          <w:tcPr>
            <w:tcW w:w="2484" w:type="dxa"/>
            <w:tcBorders>
              <w:top w:val="nil"/>
              <w:left w:val="nil"/>
              <w:bottom w:val="nil"/>
              <w:right w:val="nil"/>
            </w:tcBorders>
            <w:vAlign w:val="center"/>
          </w:tcPr>
          <w:p w:rsidR="00903124" w:rsidRDefault="00C73A5E">
            <w:pPr>
              <w:spacing w:before="40" w:after="40"/>
              <w:jc w:val="center"/>
            </w:pPr>
            <w:r>
              <w:rPr>
                <w:sz w:val="21"/>
              </w:rPr>
              <w:t>34</w:t>
            </w:r>
          </w:p>
        </w:tc>
        <w:tc>
          <w:tcPr>
            <w:tcW w:w="2484" w:type="dxa"/>
            <w:tcBorders>
              <w:top w:val="nil"/>
              <w:left w:val="nil"/>
              <w:bottom w:val="nil"/>
              <w:right w:val="nil"/>
            </w:tcBorders>
            <w:vAlign w:val="center"/>
          </w:tcPr>
          <w:p w:rsidR="00903124" w:rsidRDefault="00C73A5E">
            <w:pPr>
              <w:spacing w:before="40" w:after="40"/>
              <w:jc w:val="center"/>
            </w:pPr>
            <w:r>
              <w:rPr>
                <w:sz w:val="21"/>
              </w:rPr>
              <w:t>13.4</w:t>
            </w:r>
          </w:p>
        </w:tc>
      </w:tr>
      <w:tr w:rsidR="00903124">
        <w:trPr>
          <w:jc w:val="center"/>
        </w:trPr>
        <w:tc>
          <w:tcPr>
            <w:tcW w:w="2484" w:type="dxa"/>
            <w:tcBorders>
              <w:top w:val="nil"/>
              <w:left w:val="nil"/>
              <w:bottom w:val="nil"/>
              <w:right w:val="nil"/>
            </w:tcBorders>
            <w:vAlign w:val="center"/>
          </w:tcPr>
          <w:p w:rsidR="00903124" w:rsidRDefault="00C73A5E">
            <w:pPr>
              <w:spacing w:before="40" w:after="40"/>
            </w:pPr>
            <w:r>
              <w:rPr>
                <w:sz w:val="21"/>
              </w:rPr>
              <w:t>WBC</w:t>
            </w:r>
          </w:p>
        </w:tc>
        <w:tc>
          <w:tcPr>
            <w:tcW w:w="2484" w:type="dxa"/>
            <w:tcBorders>
              <w:top w:val="nil"/>
              <w:left w:val="nil"/>
              <w:bottom w:val="nil"/>
              <w:right w:val="nil"/>
            </w:tcBorders>
            <w:vAlign w:val="center"/>
          </w:tcPr>
          <w:p w:rsidR="00903124" w:rsidRDefault="00C73A5E">
            <w:pPr>
              <w:spacing w:before="40" w:after="40"/>
              <w:jc w:val="center"/>
            </w:pPr>
            <w:r>
              <w:rPr>
                <w:sz w:val="21"/>
              </w:rPr>
              <w:t>253</w:t>
            </w:r>
          </w:p>
        </w:tc>
        <w:tc>
          <w:tcPr>
            <w:tcW w:w="2484" w:type="dxa"/>
            <w:tcBorders>
              <w:top w:val="nil"/>
              <w:left w:val="nil"/>
              <w:bottom w:val="nil"/>
              <w:right w:val="nil"/>
            </w:tcBorders>
            <w:vAlign w:val="center"/>
          </w:tcPr>
          <w:p w:rsidR="00903124" w:rsidRDefault="00C73A5E">
            <w:pPr>
              <w:spacing w:before="40" w:after="40"/>
              <w:jc w:val="center"/>
            </w:pPr>
            <w:r>
              <w:rPr>
                <w:sz w:val="21"/>
              </w:rPr>
              <w:t>2</w:t>
            </w:r>
          </w:p>
        </w:tc>
        <w:tc>
          <w:tcPr>
            <w:tcW w:w="2484" w:type="dxa"/>
            <w:tcBorders>
              <w:top w:val="nil"/>
              <w:left w:val="nil"/>
              <w:bottom w:val="nil"/>
              <w:right w:val="nil"/>
            </w:tcBorders>
            <w:vAlign w:val="center"/>
          </w:tcPr>
          <w:p w:rsidR="00903124" w:rsidRDefault="00C73A5E">
            <w:pPr>
              <w:spacing w:before="40" w:after="40"/>
              <w:jc w:val="center"/>
            </w:pPr>
            <w:r>
              <w:rPr>
                <w:sz w:val="21"/>
              </w:rPr>
              <w:t>0.8</w:t>
            </w:r>
          </w:p>
        </w:tc>
      </w:tr>
      <w:tr w:rsidR="00903124">
        <w:trPr>
          <w:jc w:val="center"/>
        </w:trPr>
        <w:tc>
          <w:tcPr>
            <w:tcW w:w="2484" w:type="dxa"/>
            <w:tcBorders>
              <w:top w:val="nil"/>
              <w:left w:val="nil"/>
              <w:bottom w:val="nil"/>
              <w:right w:val="nil"/>
            </w:tcBorders>
            <w:vAlign w:val="center"/>
          </w:tcPr>
          <w:p w:rsidR="00903124" w:rsidRDefault="00C73A5E">
            <w:pPr>
              <w:spacing w:before="40" w:after="40"/>
            </w:pPr>
            <w:r>
              <w:rPr>
                <w:sz w:val="21"/>
              </w:rPr>
              <w:t>Creatinine</w:t>
            </w:r>
          </w:p>
        </w:tc>
        <w:tc>
          <w:tcPr>
            <w:tcW w:w="2484" w:type="dxa"/>
            <w:tcBorders>
              <w:top w:val="nil"/>
              <w:left w:val="nil"/>
              <w:bottom w:val="nil"/>
              <w:right w:val="nil"/>
            </w:tcBorders>
            <w:vAlign w:val="center"/>
          </w:tcPr>
          <w:p w:rsidR="00903124" w:rsidRDefault="00C73A5E">
            <w:pPr>
              <w:spacing w:before="40" w:after="40"/>
              <w:jc w:val="center"/>
            </w:pPr>
            <w:r>
              <w:rPr>
                <w:sz w:val="21"/>
              </w:rPr>
              <w:t>253</w:t>
            </w:r>
          </w:p>
        </w:tc>
        <w:tc>
          <w:tcPr>
            <w:tcW w:w="2484" w:type="dxa"/>
            <w:tcBorders>
              <w:top w:val="nil"/>
              <w:left w:val="nil"/>
              <w:bottom w:val="nil"/>
              <w:right w:val="nil"/>
            </w:tcBorders>
            <w:vAlign w:val="center"/>
          </w:tcPr>
          <w:p w:rsidR="00903124" w:rsidRDefault="00C73A5E">
            <w:pPr>
              <w:spacing w:before="40" w:after="40"/>
              <w:jc w:val="center"/>
            </w:pPr>
            <w:r>
              <w:rPr>
                <w:sz w:val="21"/>
              </w:rPr>
              <w:t>5</w:t>
            </w:r>
          </w:p>
        </w:tc>
        <w:tc>
          <w:tcPr>
            <w:tcW w:w="2484" w:type="dxa"/>
            <w:tcBorders>
              <w:top w:val="nil"/>
              <w:left w:val="nil"/>
              <w:bottom w:val="nil"/>
              <w:right w:val="nil"/>
            </w:tcBorders>
            <w:vAlign w:val="center"/>
          </w:tcPr>
          <w:p w:rsidR="00903124" w:rsidRDefault="00C73A5E">
            <w:pPr>
              <w:spacing w:before="40" w:after="40"/>
              <w:jc w:val="center"/>
            </w:pPr>
            <w:r>
              <w:rPr>
                <w:sz w:val="21"/>
              </w:rPr>
              <w:t>2.0</w:t>
            </w:r>
          </w:p>
        </w:tc>
      </w:tr>
      <w:tr w:rsidR="00903124">
        <w:trPr>
          <w:jc w:val="center"/>
        </w:trPr>
        <w:tc>
          <w:tcPr>
            <w:tcW w:w="2484" w:type="dxa"/>
            <w:tcBorders>
              <w:top w:val="nil"/>
              <w:left w:val="nil"/>
              <w:bottom w:val="nil"/>
              <w:right w:val="nil"/>
            </w:tcBorders>
            <w:vAlign w:val="center"/>
          </w:tcPr>
          <w:p w:rsidR="00903124" w:rsidRDefault="00C73A5E">
            <w:pPr>
              <w:spacing w:before="40" w:after="40"/>
            </w:pPr>
            <w:r>
              <w:rPr>
                <w:sz w:val="21"/>
              </w:rPr>
              <w:t>Urea</w:t>
            </w:r>
          </w:p>
        </w:tc>
        <w:tc>
          <w:tcPr>
            <w:tcW w:w="2484" w:type="dxa"/>
            <w:tcBorders>
              <w:top w:val="nil"/>
              <w:left w:val="nil"/>
              <w:bottom w:val="nil"/>
              <w:right w:val="nil"/>
            </w:tcBorders>
            <w:vAlign w:val="center"/>
          </w:tcPr>
          <w:p w:rsidR="00903124" w:rsidRDefault="00C73A5E">
            <w:pPr>
              <w:spacing w:before="40" w:after="40"/>
              <w:jc w:val="center"/>
            </w:pPr>
            <w:r>
              <w:rPr>
                <w:sz w:val="21"/>
              </w:rPr>
              <w:t>253</w:t>
            </w:r>
          </w:p>
        </w:tc>
        <w:tc>
          <w:tcPr>
            <w:tcW w:w="2484" w:type="dxa"/>
            <w:tcBorders>
              <w:top w:val="nil"/>
              <w:left w:val="nil"/>
              <w:bottom w:val="nil"/>
              <w:right w:val="nil"/>
            </w:tcBorders>
            <w:vAlign w:val="center"/>
          </w:tcPr>
          <w:p w:rsidR="00903124" w:rsidRDefault="00C73A5E">
            <w:pPr>
              <w:spacing w:before="40" w:after="40"/>
              <w:jc w:val="center"/>
            </w:pPr>
            <w:r>
              <w:rPr>
                <w:sz w:val="21"/>
              </w:rPr>
              <w:t>4</w:t>
            </w:r>
          </w:p>
        </w:tc>
        <w:tc>
          <w:tcPr>
            <w:tcW w:w="2484" w:type="dxa"/>
            <w:tcBorders>
              <w:top w:val="nil"/>
              <w:left w:val="nil"/>
              <w:bottom w:val="nil"/>
              <w:right w:val="nil"/>
            </w:tcBorders>
            <w:vAlign w:val="center"/>
          </w:tcPr>
          <w:p w:rsidR="00903124" w:rsidRDefault="00C73A5E">
            <w:pPr>
              <w:spacing w:before="40" w:after="40"/>
              <w:jc w:val="center"/>
            </w:pPr>
            <w:r>
              <w:rPr>
                <w:sz w:val="21"/>
              </w:rPr>
              <w:t>1.6</w:t>
            </w:r>
          </w:p>
        </w:tc>
      </w:tr>
      <w:tr w:rsidR="00903124">
        <w:trPr>
          <w:jc w:val="center"/>
        </w:trPr>
        <w:tc>
          <w:tcPr>
            <w:tcW w:w="2484" w:type="dxa"/>
            <w:tcBorders>
              <w:top w:val="nil"/>
              <w:left w:val="nil"/>
              <w:bottom w:val="nil"/>
              <w:right w:val="nil"/>
            </w:tcBorders>
            <w:vAlign w:val="center"/>
          </w:tcPr>
          <w:p w:rsidR="00903124" w:rsidRDefault="00C73A5E">
            <w:pPr>
              <w:spacing w:before="40" w:after="40"/>
            </w:pPr>
            <w:r>
              <w:rPr>
                <w:sz w:val="21"/>
              </w:rPr>
              <w:t>Length of stay</w:t>
            </w:r>
          </w:p>
        </w:tc>
        <w:tc>
          <w:tcPr>
            <w:tcW w:w="2484" w:type="dxa"/>
            <w:tcBorders>
              <w:top w:val="nil"/>
              <w:left w:val="nil"/>
              <w:bottom w:val="nil"/>
              <w:right w:val="nil"/>
            </w:tcBorders>
            <w:vAlign w:val="center"/>
          </w:tcPr>
          <w:p w:rsidR="00903124" w:rsidRDefault="00C73A5E">
            <w:pPr>
              <w:spacing w:before="40" w:after="40"/>
              <w:jc w:val="center"/>
            </w:pPr>
            <w:r>
              <w:rPr>
                <w:sz w:val="21"/>
              </w:rPr>
              <w:t>253</w:t>
            </w:r>
          </w:p>
        </w:tc>
        <w:tc>
          <w:tcPr>
            <w:tcW w:w="2484" w:type="dxa"/>
            <w:tcBorders>
              <w:top w:val="nil"/>
              <w:left w:val="nil"/>
              <w:bottom w:val="nil"/>
              <w:right w:val="nil"/>
            </w:tcBorders>
            <w:vAlign w:val="center"/>
          </w:tcPr>
          <w:p w:rsidR="00903124" w:rsidRDefault="00C73A5E">
            <w:pPr>
              <w:spacing w:before="40" w:after="40"/>
              <w:jc w:val="center"/>
            </w:pPr>
            <w:r>
              <w:rPr>
                <w:sz w:val="21"/>
              </w:rPr>
              <w:t>3</w:t>
            </w:r>
          </w:p>
        </w:tc>
        <w:tc>
          <w:tcPr>
            <w:tcW w:w="2484" w:type="dxa"/>
            <w:tcBorders>
              <w:top w:val="nil"/>
              <w:left w:val="nil"/>
              <w:bottom w:val="nil"/>
              <w:right w:val="nil"/>
            </w:tcBorders>
            <w:vAlign w:val="center"/>
          </w:tcPr>
          <w:p w:rsidR="00903124" w:rsidRDefault="00C73A5E">
            <w:pPr>
              <w:spacing w:before="40" w:after="40"/>
              <w:jc w:val="center"/>
            </w:pPr>
            <w:r>
              <w:rPr>
                <w:sz w:val="21"/>
              </w:rPr>
              <w:t>1.2</w:t>
            </w:r>
          </w:p>
        </w:tc>
      </w:tr>
      <w:tr w:rsidR="00903124">
        <w:trPr>
          <w:jc w:val="center"/>
        </w:trPr>
        <w:tc>
          <w:tcPr>
            <w:tcW w:w="2484" w:type="dxa"/>
            <w:tcBorders>
              <w:top w:val="nil"/>
              <w:left w:val="nil"/>
              <w:bottom w:val="single" w:sz="12" w:space="0" w:color="000000"/>
              <w:right w:val="nil"/>
            </w:tcBorders>
            <w:vAlign w:val="center"/>
          </w:tcPr>
          <w:p w:rsidR="00903124" w:rsidRDefault="00C73A5E">
            <w:pPr>
              <w:spacing w:before="40" w:after="40"/>
            </w:pPr>
            <w:r>
              <w:rPr>
                <w:sz w:val="21"/>
              </w:rPr>
              <w:t>Discharge outcome</w:t>
            </w:r>
          </w:p>
        </w:tc>
        <w:tc>
          <w:tcPr>
            <w:tcW w:w="2484" w:type="dxa"/>
            <w:tcBorders>
              <w:top w:val="nil"/>
              <w:left w:val="nil"/>
              <w:bottom w:val="single" w:sz="12" w:space="0" w:color="000000"/>
              <w:right w:val="nil"/>
            </w:tcBorders>
            <w:vAlign w:val="center"/>
          </w:tcPr>
          <w:p w:rsidR="00903124" w:rsidRDefault="00C73A5E">
            <w:pPr>
              <w:spacing w:before="40" w:after="40"/>
              <w:jc w:val="center"/>
            </w:pPr>
            <w:r>
              <w:rPr>
                <w:sz w:val="21"/>
              </w:rPr>
              <w:t>253</w:t>
            </w:r>
          </w:p>
        </w:tc>
        <w:tc>
          <w:tcPr>
            <w:tcW w:w="2484" w:type="dxa"/>
            <w:tcBorders>
              <w:top w:val="nil"/>
              <w:left w:val="nil"/>
              <w:bottom w:val="single" w:sz="12" w:space="0" w:color="000000"/>
              <w:right w:val="nil"/>
            </w:tcBorders>
            <w:vAlign w:val="center"/>
          </w:tcPr>
          <w:p w:rsidR="00903124" w:rsidRDefault="00C73A5E">
            <w:pPr>
              <w:spacing w:before="40" w:after="40"/>
              <w:jc w:val="center"/>
            </w:pPr>
            <w:r>
              <w:rPr>
                <w:sz w:val="21"/>
              </w:rPr>
              <w:t>0</w:t>
            </w:r>
          </w:p>
        </w:tc>
        <w:tc>
          <w:tcPr>
            <w:tcW w:w="2484" w:type="dxa"/>
            <w:tcBorders>
              <w:top w:val="nil"/>
              <w:left w:val="nil"/>
              <w:bottom w:val="single" w:sz="12" w:space="0" w:color="000000"/>
              <w:right w:val="nil"/>
            </w:tcBorders>
            <w:vAlign w:val="center"/>
          </w:tcPr>
          <w:p w:rsidR="00903124" w:rsidRDefault="00C73A5E">
            <w:pPr>
              <w:spacing w:before="40" w:after="40"/>
              <w:jc w:val="center"/>
            </w:pPr>
            <w:r>
              <w:rPr>
                <w:sz w:val="21"/>
              </w:rPr>
              <w:t>0.0</w:t>
            </w:r>
          </w:p>
        </w:tc>
      </w:tr>
    </w:tbl>
    <w:p w:rsidR="00903124" w:rsidRDefault="00903124"/>
    <w:p w:rsidR="00903124" w:rsidRDefault="00C73A5E">
      <w:pPr>
        <w:spacing w:before="60" w:after="0"/>
      </w:pPr>
      <w:r>
        <w:rPr>
          <w:b/>
        </w:rPr>
        <w:t xml:space="preserve">Abbreviations: </w:t>
      </w:r>
      <w:r>
        <w:t xml:space="preserve">NIHSS, National Institutes of </w:t>
      </w:r>
      <w:r>
        <w:t>Health Stroke Scale; CVD, cerebrovascular disease; DPT, door-to-puncture time; LDL, low-density lipoprotein; HDL, high-density lipoprotein; WBC, white blood cell count.</w:t>
      </w:r>
    </w:p>
    <w:p w:rsidR="00903124" w:rsidRDefault="00C73A5E">
      <w:pPr>
        <w:spacing w:before="40" w:after="0"/>
      </w:pPr>
      <w:r>
        <w:t>Percentages were calculated using the total number of patients in the available study d</w:t>
      </w:r>
      <w:r>
        <w:t>atabase (N = 253) as the denominator.</w:t>
      </w:r>
    </w:p>
    <w:p w:rsidR="00903124" w:rsidRDefault="00C73A5E">
      <w:r>
        <w:br w:type="page"/>
      </w:r>
    </w:p>
    <w:p w:rsidR="00903124" w:rsidRDefault="00C73A5E" w:rsidP="00C73A5E">
      <w:pPr>
        <w:rPr>
          <w:b/>
          <w:bCs/>
        </w:rPr>
      </w:pPr>
      <w:r>
        <w:rPr>
          <w:b/>
          <w:bCs/>
        </w:rPr>
        <w:lastRenderedPageBreak/>
        <w:t>Supplementary Table S4</w:t>
      </w:r>
    </w:p>
    <w:p w:rsidR="00903124" w:rsidRDefault="00C73A5E">
      <w:pPr>
        <w:jc w:val="center"/>
      </w:pPr>
      <w:r>
        <w:t>Comparison between patients included in the primary complete-case analysis and those excluded from the analytical cohort within the final study database</w:t>
      </w:r>
    </w:p>
    <w:p w:rsidR="00903124" w:rsidRDefault="00903124"/>
    <w:tbl>
      <w:tblPr>
        <w:tblW w:w="0" w:type="auto"/>
        <w:jc w:val="center"/>
        <w:tblBorders>
          <w:top w:val="single" w:sz="10" w:space="0" w:color="000000"/>
          <w:bottom w:val="single" w:sz="10" w:space="0" w:color="000000"/>
        </w:tblBorders>
        <w:tblLayout w:type="fixed"/>
        <w:tblLook w:val="04A0" w:firstRow="1" w:lastRow="0" w:firstColumn="1" w:lastColumn="0" w:noHBand="0" w:noVBand="1"/>
      </w:tblPr>
      <w:tblGrid>
        <w:gridCol w:w="4252"/>
        <w:gridCol w:w="2721"/>
        <w:gridCol w:w="2721"/>
        <w:gridCol w:w="1020"/>
      </w:tblGrid>
      <w:tr w:rsidR="00903124">
        <w:trPr>
          <w:jc w:val="center"/>
        </w:trPr>
        <w:tc>
          <w:tcPr>
            <w:tcW w:w="4252" w:type="dxa"/>
            <w:tcBorders>
              <w:bottom w:val="single" w:sz="8" w:space="0" w:color="000000"/>
            </w:tcBorders>
            <w:tcMar>
              <w:top w:w="90" w:type="dxa"/>
              <w:left w:w="100" w:type="dxa"/>
              <w:bottom w:w="90" w:type="dxa"/>
              <w:right w:w="100" w:type="dxa"/>
            </w:tcMar>
            <w:vAlign w:val="center"/>
          </w:tcPr>
          <w:p w:rsidR="00903124" w:rsidRDefault="00C73A5E">
            <w:pPr>
              <w:jc w:val="center"/>
            </w:pPr>
            <w:r>
              <w:rPr>
                <w:rFonts w:ascii="Times New Roman" w:eastAsia="Times New Roman" w:hAnsi="Times New Roman"/>
                <w:b/>
                <w:sz w:val="18"/>
              </w:rPr>
              <w:t>Variable</w:t>
            </w:r>
          </w:p>
        </w:tc>
        <w:tc>
          <w:tcPr>
            <w:tcW w:w="2721" w:type="dxa"/>
            <w:tcBorders>
              <w:bottom w:val="single" w:sz="8" w:space="0" w:color="000000"/>
            </w:tcBorders>
            <w:tcMar>
              <w:top w:w="90" w:type="dxa"/>
              <w:left w:w="100" w:type="dxa"/>
              <w:bottom w:w="90" w:type="dxa"/>
              <w:right w:w="100" w:type="dxa"/>
            </w:tcMar>
            <w:vAlign w:val="center"/>
          </w:tcPr>
          <w:p w:rsidR="00903124" w:rsidRDefault="00C73A5E">
            <w:pPr>
              <w:jc w:val="center"/>
            </w:pPr>
            <w:r>
              <w:rPr>
                <w:rFonts w:ascii="Times New Roman" w:eastAsia="Times New Roman" w:hAnsi="Times New Roman"/>
                <w:b/>
                <w:sz w:val="18"/>
              </w:rPr>
              <w:t>Included in primary complete-c</w:t>
            </w:r>
            <w:r>
              <w:rPr>
                <w:rFonts w:ascii="Times New Roman" w:eastAsia="Times New Roman" w:hAnsi="Times New Roman"/>
                <w:b/>
                <w:sz w:val="18"/>
              </w:rPr>
              <w:t>ase analysis (n=185)</w:t>
            </w:r>
          </w:p>
        </w:tc>
        <w:tc>
          <w:tcPr>
            <w:tcW w:w="2721" w:type="dxa"/>
            <w:tcBorders>
              <w:bottom w:val="single" w:sz="8" w:space="0" w:color="000000"/>
            </w:tcBorders>
            <w:tcMar>
              <w:top w:w="90" w:type="dxa"/>
              <w:left w:w="100" w:type="dxa"/>
              <w:bottom w:w="90" w:type="dxa"/>
              <w:right w:w="100" w:type="dxa"/>
            </w:tcMar>
            <w:vAlign w:val="center"/>
          </w:tcPr>
          <w:p w:rsidR="00903124" w:rsidRDefault="00C73A5E">
            <w:pPr>
              <w:jc w:val="center"/>
            </w:pPr>
            <w:r>
              <w:rPr>
                <w:rFonts w:ascii="Times New Roman" w:eastAsia="Times New Roman" w:hAnsi="Times New Roman"/>
                <w:b/>
                <w:sz w:val="18"/>
              </w:rPr>
              <w:t>Excluded from analytical cohort (n=68)</w:t>
            </w:r>
          </w:p>
        </w:tc>
        <w:tc>
          <w:tcPr>
            <w:tcW w:w="1020" w:type="dxa"/>
            <w:tcBorders>
              <w:bottom w:val="single" w:sz="8" w:space="0" w:color="000000"/>
            </w:tcBorders>
            <w:tcMar>
              <w:top w:w="90" w:type="dxa"/>
              <w:left w:w="100" w:type="dxa"/>
              <w:bottom w:w="90" w:type="dxa"/>
              <w:right w:w="100" w:type="dxa"/>
            </w:tcMar>
            <w:vAlign w:val="center"/>
          </w:tcPr>
          <w:p w:rsidR="00903124" w:rsidRDefault="00C73A5E">
            <w:pPr>
              <w:jc w:val="center"/>
            </w:pPr>
            <w:r>
              <w:rPr>
                <w:rFonts w:ascii="Times New Roman" w:eastAsia="Times New Roman" w:hAnsi="Times New Roman"/>
                <w:b/>
                <w:sz w:val="18"/>
              </w:rPr>
              <w:t>P value</w:t>
            </w:r>
          </w:p>
        </w:tc>
      </w:tr>
      <w:tr w:rsidR="00903124">
        <w:trPr>
          <w:jc w:val="center"/>
        </w:trPr>
        <w:tc>
          <w:tcPr>
            <w:tcW w:w="4252" w:type="dxa"/>
            <w:tcMar>
              <w:top w:w="90" w:type="dxa"/>
              <w:left w:w="100" w:type="dxa"/>
              <w:bottom w:w="90" w:type="dxa"/>
              <w:right w:w="100" w:type="dxa"/>
            </w:tcMar>
            <w:vAlign w:val="center"/>
          </w:tcPr>
          <w:p w:rsidR="00903124" w:rsidRDefault="00C73A5E">
            <w:r>
              <w:rPr>
                <w:rFonts w:ascii="Times New Roman" w:eastAsia="Times New Roman" w:hAnsi="Times New Roman"/>
                <w:sz w:val="18"/>
              </w:rPr>
              <w:t>Age, years</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61.9 ± 13.2</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60.9 ± 12.8</w:t>
            </w:r>
          </w:p>
        </w:tc>
        <w:tc>
          <w:tcPr>
            <w:tcW w:w="1020"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0.598</w:t>
            </w:r>
          </w:p>
        </w:tc>
      </w:tr>
      <w:tr w:rsidR="00903124">
        <w:trPr>
          <w:jc w:val="center"/>
        </w:trPr>
        <w:tc>
          <w:tcPr>
            <w:tcW w:w="4252" w:type="dxa"/>
            <w:tcMar>
              <w:top w:w="90" w:type="dxa"/>
              <w:left w:w="100" w:type="dxa"/>
              <w:bottom w:w="90" w:type="dxa"/>
              <w:right w:w="100" w:type="dxa"/>
            </w:tcMar>
            <w:vAlign w:val="center"/>
          </w:tcPr>
          <w:p w:rsidR="00903124" w:rsidRDefault="00C73A5E">
            <w:r>
              <w:rPr>
                <w:rFonts w:ascii="Times New Roman" w:eastAsia="Times New Roman" w:hAnsi="Times New Roman"/>
                <w:sz w:val="18"/>
              </w:rPr>
              <w:t>Male sex, n (%)</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125 (67.6%)</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44 (64.7%)</w:t>
            </w:r>
          </w:p>
        </w:tc>
        <w:tc>
          <w:tcPr>
            <w:tcW w:w="1020"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0.781</w:t>
            </w:r>
          </w:p>
        </w:tc>
      </w:tr>
      <w:tr w:rsidR="00903124">
        <w:trPr>
          <w:jc w:val="center"/>
        </w:trPr>
        <w:tc>
          <w:tcPr>
            <w:tcW w:w="4252" w:type="dxa"/>
            <w:tcMar>
              <w:top w:w="90" w:type="dxa"/>
              <w:left w:w="100" w:type="dxa"/>
              <w:bottom w:w="90" w:type="dxa"/>
              <w:right w:w="100" w:type="dxa"/>
            </w:tcMar>
            <w:vAlign w:val="center"/>
          </w:tcPr>
          <w:p w:rsidR="00903124" w:rsidRDefault="00C73A5E">
            <w:r>
              <w:rPr>
                <w:rFonts w:ascii="Times New Roman" w:eastAsia="Times New Roman" w:hAnsi="Times New Roman"/>
                <w:sz w:val="18"/>
              </w:rPr>
              <w:t>Baseline NIHSS</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14.0 (11.0–19.0)</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18.0 (11.0–22.0)</w:t>
            </w:r>
          </w:p>
        </w:tc>
        <w:tc>
          <w:tcPr>
            <w:tcW w:w="1020"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0.042</w:t>
            </w:r>
          </w:p>
        </w:tc>
      </w:tr>
      <w:tr w:rsidR="00903124">
        <w:trPr>
          <w:jc w:val="center"/>
        </w:trPr>
        <w:tc>
          <w:tcPr>
            <w:tcW w:w="4252" w:type="dxa"/>
            <w:tcMar>
              <w:top w:w="90" w:type="dxa"/>
              <w:left w:w="100" w:type="dxa"/>
              <w:bottom w:w="90" w:type="dxa"/>
              <w:right w:w="100" w:type="dxa"/>
            </w:tcMar>
            <w:vAlign w:val="center"/>
          </w:tcPr>
          <w:p w:rsidR="00903124" w:rsidRDefault="00C73A5E">
            <w:r>
              <w:rPr>
                <w:rFonts w:ascii="Times New Roman" w:eastAsia="Times New Roman" w:hAnsi="Times New Roman"/>
                <w:sz w:val="18"/>
              </w:rPr>
              <w:t>Hypertension, n (%)</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101 (54.6%)</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39 (57.4%)</w:t>
            </w:r>
          </w:p>
        </w:tc>
        <w:tc>
          <w:tcPr>
            <w:tcW w:w="1020"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0.804</w:t>
            </w:r>
          </w:p>
        </w:tc>
      </w:tr>
      <w:tr w:rsidR="00903124">
        <w:trPr>
          <w:jc w:val="center"/>
        </w:trPr>
        <w:tc>
          <w:tcPr>
            <w:tcW w:w="4252" w:type="dxa"/>
            <w:tcMar>
              <w:top w:w="90" w:type="dxa"/>
              <w:left w:w="100" w:type="dxa"/>
              <w:bottom w:w="90" w:type="dxa"/>
              <w:right w:w="100" w:type="dxa"/>
            </w:tcMar>
            <w:vAlign w:val="center"/>
          </w:tcPr>
          <w:p w:rsidR="00903124" w:rsidRDefault="00C73A5E">
            <w:r>
              <w:rPr>
                <w:rFonts w:ascii="Times New Roman" w:eastAsia="Times New Roman" w:hAnsi="Times New Roman"/>
                <w:sz w:val="18"/>
              </w:rPr>
              <w:t>Diabetes, n (%)</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27 (14.6%)</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12 (17.6%)</w:t>
            </w:r>
          </w:p>
        </w:tc>
        <w:tc>
          <w:tcPr>
            <w:tcW w:w="1020"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0.689</w:t>
            </w:r>
          </w:p>
        </w:tc>
      </w:tr>
      <w:tr w:rsidR="00903124">
        <w:trPr>
          <w:jc w:val="center"/>
        </w:trPr>
        <w:tc>
          <w:tcPr>
            <w:tcW w:w="4252" w:type="dxa"/>
            <w:tcMar>
              <w:top w:w="90" w:type="dxa"/>
              <w:left w:w="100" w:type="dxa"/>
              <w:bottom w:w="90" w:type="dxa"/>
              <w:right w:w="100" w:type="dxa"/>
            </w:tcMar>
            <w:vAlign w:val="center"/>
          </w:tcPr>
          <w:p w:rsidR="00903124" w:rsidRDefault="00C73A5E">
            <w:proofErr w:type="spellStart"/>
            <w:r>
              <w:rPr>
                <w:rFonts w:ascii="Times New Roman" w:eastAsia="Times New Roman" w:hAnsi="Times New Roman"/>
                <w:sz w:val="18"/>
              </w:rPr>
              <w:t>Cardioembolic</w:t>
            </w:r>
            <w:proofErr w:type="spellEnd"/>
            <w:r>
              <w:rPr>
                <w:rFonts w:ascii="Times New Roman" w:eastAsia="Times New Roman" w:hAnsi="Times New Roman"/>
                <w:sz w:val="18"/>
              </w:rPr>
              <w:t xml:space="preserve"> </w:t>
            </w:r>
            <w:proofErr w:type="spellStart"/>
            <w:r>
              <w:rPr>
                <w:rFonts w:ascii="Times New Roman" w:eastAsia="Times New Roman" w:hAnsi="Times New Roman"/>
                <w:sz w:val="18"/>
              </w:rPr>
              <w:t>aetiology</w:t>
            </w:r>
            <w:proofErr w:type="spellEnd"/>
            <w:r>
              <w:rPr>
                <w:rFonts w:ascii="Times New Roman" w:eastAsia="Times New Roman" w:hAnsi="Times New Roman"/>
                <w:sz w:val="18"/>
              </w:rPr>
              <w:t>, n (%)</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64 (34.6%)</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18 (26.5%)</w:t>
            </w:r>
          </w:p>
        </w:tc>
        <w:tc>
          <w:tcPr>
            <w:tcW w:w="1020"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0.284</w:t>
            </w:r>
          </w:p>
        </w:tc>
      </w:tr>
      <w:tr w:rsidR="00903124">
        <w:trPr>
          <w:jc w:val="center"/>
        </w:trPr>
        <w:tc>
          <w:tcPr>
            <w:tcW w:w="4252" w:type="dxa"/>
            <w:tcMar>
              <w:top w:w="90" w:type="dxa"/>
              <w:left w:w="100" w:type="dxa"/>
              <w:bottom w:w="90" w:type="dxa"/>
              <w:right w:w="100" w:type="dxa"/>
            </w:tcMar>
            <w:vAlign w:val="center"/>
          </w:tcPr>
          <w:p w:rsidR="00903124" w:rsidRDefault="00C73A5E">
            <w:r>
              <w:rPr>
                <w:rFonts w:ascii="Times New Roman" w:eastAsia="Times New Roman" w:hAnsi="Times New Roman"/>
                <w:sz w:val="18"/>
              </w:rPr>
              <w:t>Prior cerebrovascular disease, n (%)</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34 (18.4%)</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13 (19.1%)</w:t>
            </w:r>
          </w:p>
        </w:tc>
        <w:tc>
          <w:tcPr>
            <w:tcW w:w="1020"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1.000</w:t>
            </w:r>
          </w:p>
        </w:tc>
      </w:tr>
      <w:tr w:rsidR="00903124">
        <w:trPr>
          <w:jc w:val="center"/>
        </w:trPr>
        <w:tc>
          <w:tcPr>
            <w:tcW w:w="4252" w:type="dxa"/>
            <w:tcMar>
              <w:top w:w="90" w:type="dxa"/>
              <w:left w:w="100" w:type="dxa"/>
              <w:bottom w:w="90" w:type="dxa"/>
              <w:right w:w="100" w:type="dxa"/>
            </w:tcMar>
            <w:vAlign w:val="center"/>
          </w:tcPr>
          <w:p w:rsidR="00903124" w:rsidRDefault="00C73A5E">
            <w:r>
              <w:rPr>
                <w:rFonts w:ascii="Times New Roman" w:eastAsia="Times New Roman" w:hAnsi="Times New Roman"/>
                <w:sz w:val="18"/>
              </w:rPr>
              <w:t>Door-to-puncture time, h</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8.0 (5.0–11.0)</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8.0 (5.6–11.8)</w:t>
            </w:r>
          </w:p>
        </w:tc>
        <w:tc>
          <w:tcPr>
            <w:tcW w:w="1020"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0.474</w:t>
            </w:r>
          </w:p>
        </w:tc>
      </w:tr>
      <w:tr w:rsidR="00903124">
        <w:trPr>
          <w:jc w:val="center"/>
        </w:trPr>
        <w:tc>
          <w:tcPr>
            <w:tcW w:w="4252" w:type="dxa"/>
            <w:tcMar>
              <w:top w:w="90" w:type="dxa"/>
              <w:left w:w="100" w:type="dxa"/>
              <w:bottom w:w="90" w:type="dxa"/>
              <w:right w:w="100" w:type="dxa"/>
            </w:tcMar>
            <w:vAlign w:val="center"/>
          </w:tcPr>
          <w:p w:rsidR="00903124" w:rsidRDefault="00C73A5E">
            <w:r>
              <w:rPr>
                <w:rFonts w:ascii="Times New Roman" w:eastAsia="Times New Roman" w:hAnsi="Times New Roman"/>
                <w:sz w:val="18"/>
              </w:rPr>
              <w:t xml:space="preserve">Length of stay, </w:t>
            </w:r>
            <w:r>
              <w:rPr>
                <w:rFonts w:ascii="Times New Roman" w:eastAsia="Times New Roman" w:hAnsi="Times New Roman"/>
                <w:sz w:val="18"/>
              </w:rPr>
              <w:t>days</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16.0 (13.0–23.0)</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4.0 (1.8–16.0)</w:t>
            </w:r>
          </w:p>
        </w:tc>
        <w:tc>
          <w:tcPr>
            <w:tcW w:w="1020"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&lt;0.001</w:t>
            </w:r>
          </w:p>
        </w:tc>
      </w:tr>
      <w:tr w:rsidR="00903124">
        <w:trPr>
          <w:jc w:val="center"/>
        </w:trPr>
        <w:tc>
          <w:tcPr>
            <w:tcW w:w="4252" w:type="dxa"/>
            <w:tcMar>
              <w:top w:w="90" w:type="dxa"/>
              <w:left w:w="100" w:type="dxa"/>
              <w:bottom w:w="90" w:type="dxa"/>
              <w:right w:w="100" w:type="dxa"/>
            </w:tcMar>
            <w:vAlign w:val="center"/>
          </w:tcPr>
          <w:p w:rsidR="00903124" w:rsidRDefault="00C73A5E">
            <w:r>
              <w:rPr>
                <w:rFonts w:ascii="Times New Roman" w:eastAsia="Times New Roman" w:hAnsi="Times New Roman"/>
                <w:sz w:val="18"/>
              </w:rPr>
              <w:t xml:space="preserve">Admission glucose, </w:t>
            </w:r>
            <w:proofErr w:type="spellStart"/>
            <w:r>
              <w:rPr>
                <w:rFonts w:ascii="Times New Roman" w:eastAsia="Times New Roman" w:hAnsi="Times New Roman"/>
                <w:sz w:val="18"/>
              </w:rPr>
              <w:t>mmol</w:t>
            </w:r>
            <w:proofErr w:type="spellEnd"/>
            <w:r>
              <w:rPr>
                <w:rFonts w:ascii="Times New Roman" w:eastAsia="Times New Roman" w:hAnsi="Times New Roman"/>
                <w:sz w:val="18"/>
              </w:rPr>
              <w:t>/L</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6.9 (6.0–8.4)</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8.5 (6.2–9.5)</w:t>
            </w:r>
          </w:p>
        </w:tc>
        <w:tc>
          <w:tcPr>
            <w:tcW w:w="1020"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0.014</w:t>
            </w:r>
          </w:p>
        </w:tc>
      </w:tr>
      <w:tr w:rsidR="00903124">
        <w:trPr>
          <w:jc w:val="center"/>
        </w:trPr>
        <w:tc>
          <w:tcPr>
            <w:tcW w:w="4252" w:type="dxa"/>
            <w:tcMar>
              <w:top w:w="90" w:type="dxa"/>
              <w:left w:w="100" w:type="dxa"/>
              <w:bottom w:w="90" w:type="dxa"/>
              <w:right w:w="100" w:type="dxa"/>
            </w:tcMar>
            <w:vAlign w:val="center"/>
          </w:tcPr>
          <w:p w:rsidR="00903124" w:rsidRDefault="00C73A5E">
            <w:r>
              <w:rPr>
                <w:rFonts w:ascii="Times New Roman" w:eastAsia="Times New Roman" w:hAnsi="Times New Roman"/>
                <w:sz w:val="18"/>
              </w:rPr>
              <w:t xml:space="preserve">LDL cholesterol, </w:t>
            </w:r>
            <w:proofErr w:type="spellStart"/>
            <w:r>
              <w:rPr>
                <w:rFonts w:ascii="Times New Roman" w:eastAsia="Times New Roman" w:hAnsi="Times New Roman"/>
                <w:sz w:val="18"/>
              </w:rPr>
              <w:t>mmol</w:t>
            </w:r>
            <w:proofErr w:type="spellEnd"/>
            <w:r>
              <w:rPr>
                <w:rFonts w:ascii="Times New Roman" w:eastAsia="Times New Roman" w:hAnsi="Times New Roman"/>
                <w:sz w:val="18"/>
              </w:rPr>
              <w:t>/L</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2.7 (2.1–3.3)</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2.7 (2.0–3.3)</w:t>
            </w:r>
          </w:p>
        </w:tc>
        <w:tc>
          <w:tcPr>
            <w:tcW w:w="1020"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0.842</w:t>
            </w:r>
          </w:p>
        </w:tc>
      </w:tr>
      <w:tr w:rsidR="00903124">
        <w:trPr>
          <w:jc w:val="center"/>
        </w:trPr>
        <w:tc>
          <w:tcPr>
            <w:tcW w:w="4252" w:type="dxa"/>
            <w:tcMar>
              <w:top w:w="90" w:type="dxa"/>
              <w:left w:w="100" w:type="dxa"/>
              <w:bottom w:w="90" w:type="dxa"/>
              <w:right w:w="100" w:type="dxa"/>
            </w:tcMar>
            <w:vAlign w:val="center"/>
          </w:tcPr>
          <w:p w:rsidR="00903124" w:rsidRDefault="00C73A5E">
            <w:r>
              <w:rPr>
                <w:rFonts w:ascii="Times New Roman" w:eastAsia="Times New Roman" w:hAnsi="Times New Roman"/>
                <w:sz w:val="18"/>
              </w:rPr>
              <w:t xml:space="preserve">HDL cholesterol, </w:t>
            </w:r>
            <w:proofErr w:type="spellStart"/>
            <w:r>
              <w:rPr>
                <w:rFonts w:ascii="Times New Roman" w:eastAsia="Times New Roman" w:hAnsi="Times New Roman"/>
                <w:sz w:val="18"/>
              </w:rPr>
              <w:t>mmol</w:t>
            </w:r>
            <w:proofErr w:type="spellEnd"/>
            <w:r>
              <w:rPr>
                <w:rFonts w:ascii="Times New Roman" w:eastAsia="Times New Roman" w:hAnsi="Times New Roman"/>
                <w:sz w:val="18"/>
              </w:rPr>
              <w:t>/L</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1.1 (0.9–1.3)</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1.1 (0.9–1.3)</w:t>
            </w:r>
          </w:p>
        </w:tc>
        <w:tc>
          <w:tcPr>
            <w:tcW w:w="1020"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0.749</w:t>
            </w:r>
          </w:p>
        </w:tc>
      </w:tr>
      <w:tr w:rsidR="00903124">
        <w:trPr>
          <w:jc w:val="center"/>
        </w:trPr>
        <w:tc>
          <w:tcPr>
            <w:tcW w:w="4252" w:type="dxa"/>
            <w:tcMar>
              <w:top w:w="90" w:type="dxa"/>
              <w:left w:w="100" w:type="dxa"/>
              <w:bottom w:w="90" w:type="dxa"/>
              <w:right w:w="100" w:type="dxa"/>
            </w:tcMar>
            <w:vAlign w:val="center"/>
          </w:tcPr>
          <w:p w:rsidR="00903124" w:rsidRDefault="00C73A5E">
            <w:r>
              <w:rPr>
                <w:rFonts w:ascii="Times New Roman" w:eastAsia="Times New Roman" w:hAnsi="Times New Roman"/>
                <w:sz w:val="18"/>
              </w:rPr>
              <w:t>WBC, ×10^9/L</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9.2 (7.1–12.0)</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 xml:space="preserve">9.9 </w:t>
            </w:r>
            <w:r>
              <w:rPr>
                <w:rFonts w:ascii="Times New Roman" w:eastAsia="Times New Roman" w:hAnsi="Times New Roman"/>
                <w:sz w:val="18"/>
              </w:rPr>
              <w:t>(7.7–12.3)</w:t>
            </w:r>
          </w:p>
        </w:tc>
        <w:tc>
          <w:tcPr>
            <w:tcW w:w="1020"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0.176</w:t>
            </w:r>
          </w:p>
        </w:tc>
      </w:tr>
      <w:tr w:rsidR="00903124">
        <w:trPr>
          <w:jc w:val="center"/>
        </w:trPr>
        <w:tc>
          <w:tcPr>
            <w:tcW w:w="4252" w:type="dxa"/>
            <w:tcMar>
              <w:top w:w="90" w:type="dxa"/>
              <w:left w:w="100" w:type="dxa"/>
              <w:bottom w:w="90" w:type="dxa"/>
              <w:right w:w="100" w:type="dxa"/>
            </w:tcMar>
            <w:vAlign w:val="center"/>
          </w:tcPr>
          <w:p w:rsidR="00903124" w:rsidRDefault="00C73A5E">
            <w:r>
              <w:rPr>
                <w:rFonts w:ascii="Times New Roman" w:eastAsia="Times New Roman" w:hAnsi="Times New Roman"/>
                <w:sz w:val="18"/>
              </w:rPr>
              <w:t xml:space="preserve">Creatinine, </w:t>
            </w:r>
            <w:proofErr w:type="spellStart"/>
            <w:r>
              <w:rPr>
                <w:rFonts w:ascii="Times New Roman" w:eastAsia="Times New Roman" w:hAnsi="Times New Roman"/>
                <w:sz w:val="18"/>
              </w:rPr>
              <w:t>μmol</w:t>
            </w:r>
            <w:proofErr w:type="spellEnd"/>
            <w:r>
              <w:rPr>
                <w:rFonts w:ascii="Times New Roman" w:eastAsia="Times New Roman" w:hAnsi="Times New Roman"/>
                <w:sz w:val="18"/>
              </w:rPr>
              <w:t>/L</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63.4 (54.1–74.5)</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69.2 (56.7–82.9)</w:t>
            </w:r>
          </w:p>
        </w:tc>
        <w:tc>
          <w:tcPr>
            <w:tcW w:w="1020"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0.081</w:t>
            </w:r>
          </w:p>
        </w:tc>
      </w:tr>
      <w:tr w:rsidR="00903124">
        <w:trPr>
          <w:jc w:val="center"/>
        </w:trPr>
        <w:tc>
          <w:tcPr>
            <w:tcW w:w="4252" w:type="dxa"/>
            <w:tcMar>
              <w:top w:w="90" w:type="dxa"/>
              <w:left w:w="100" w:type="dxa"/>
              <w:bottom w:w="90" w:type="dxa"/>
              <w:right w:w="100" w:type="dxa"/>
            </w:tcMar>
            <w:vAlign w:val="center"/>
          </w:tcPr>
          <w:p w:rsidR="00903124" w:rsidRDefault="00C73A5E">
            <w:r>
              <w:rPr>
                <w:rFonts w:ascii="Times New Roman" w:eastAsia="Times New Roman" w:hAnsi="Times New Roman"/>
                <w:sz w:val="18"/>
              </w:rPr>
              <w:t xml:space="preserve">Urea, </w:t>
            </w:r>
            <w:proofErr w:type="spellStart"/>
            <w:r>
              <w:rPr>
                <w:rFonts w:ascii="Times New Roman" w:eastAsia="Times New Roman" w:hAnsi="Times New Roman"/>
                <w:sz w:val="18"/>
              </w:rPr>
              <w:t>mmol</w:t>
            </w:r>
            <w:proofErr w:type="spellEnd"/>
            <w:r>
              <w:rPr>
                <w:rFonts w:ascii="Times New Roman" w:eastAsia="Times New Roman" w:hAnsi="Times New Roman"/>
                <w:sz w:val="18"/>
              </w:rPr>
              <w:t>/L</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5.3 (4.3–6.3)</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5.2 (3.7–6.6)</w:t>
            </w:r>
          </w:p>
        </w:tc>
        <w:tc>
          <w:tcPr>
            <w:tcW w:w="1020"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0.672</w:t>
            </w:r>
          </w:p>
        </w:tc>
      </w:tr>
      <w:tr w:rsidR="00903124">
        <w:trPr>
          <w:jc w:val="center"/>
        </w:trPr>
        <w:tc>
          <w:tcPr>
            <w:tcW w:w="4252" w:type="dxa"/>
            <w:tcMar>
              <w:top w:w="90" w:type="dxa"/>
              <w:left w:w="100" w:type="dxa"/>
              <w:bottom w:w="90" w:type="dxa"/>
              <w:right w:w="100" w:type="dxa"/>
            </w:tcMar>
            <w:vAlign w:val="center"/>
          </w:tcPr>
          <w:p w:rsidR="00903124" w:rsidRDefault="00C73A5E">
            <w:r>
              <w:rPr>
                <w:rFonts w:ascii="Times New Roman" w:eastAsia="Times New Roman" w:hAnsi="Times New Roman"/>
                <w:sz w:val="18"/>
              </w:rPr>
              <w:t>48h NIHSS available, n (%)</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185 (100.0%)</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38 (55.9%)</w:t>
            </w:r>
          </w:p>
        </w:tc>
        <w:tc>
          <w:tcPr>
            <w:tcW w:w="1020"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&lt;0.001</w:t>
            </w:r>
          </w:p>
        </w:tc>
      </w:tr>
      <w:tr w:rsidR="00903124">
        <w:trPr>
          <w:jc w:val="center"/>
        </w:trPr>
        <w:tc>
          <w:tcPr>
            <w:tcW w:w="4252" w:type="dxa"/>
            <w:tcMar>
              <w:top w:w="90" w:type="dxa"/>
              <w:left w:w="100" w:type="dxa"/>
              <w:bottom w:w="90" w:type="dxa"/>
              <w:right w:w="100" w:type="dxa"/>
            </w:tcMar>
            <w:vAlign w:val="center"/>
          </w:tcPr>
          <w:p w:rsidR="00903124" w:rsidRDefault="00C73A5E">
            <w:r>
              <w:rPr>
                <w:rFonts w:ascii="Times New Roman" w:eastAsia="Times New Roman" w:hAnsi="Times New Roman"/>
                <w:sz w:val="18"/>
              </w:rPr>
              <w:t>Discharge outcome, n (%)</w:t>
            </w:r>
          </w:p>
        </w:tc>
        <w:tc>
          <w:tcPr>
            <w:tcW w:w="2721" w:type="dxa"/>
            <w:tcMar>
              <w:top w:w="90" w:type="dxa"/>
              <w:left w:w="100" w:type="dxa"/>
              <w:bottom w:w="90" w:type="dxa"/>
              <w:right w:w="100" w:type="dxa"/>
            </w:tcMar>
            <w:vAlign w:val="center"/>
          </w:tcPr>
          <w:p w:rsidR="00903124" w:rsidRDefault="00903124">
            <w:pPr>
              <w:jc w:val="center"/>
            </w:pPr>
          </w:p>
        </w:tc>
        <w:tc>
          <w:tcPr>
            <w:tcW w:w="2721" w:type="dxa"/>
            <w:tcMar>
              <w:top w:w="90" w:type="dxa"/>
              <w:left w:w="100" w:type="dxa"/>
              <w:bottom w:w="90" w:type="dxa"/>
              <w:right w:w="100" w:type="dxa"/>
            </w:tcMar>
            <w:vAlign w:val="center"/>
          </w:tcPr>
          <w:p w:rsidR="00903124" w:rsidRDefault="00903124">
            <w:pPr>
              <w:jc w:val="center"/>
            </w:pPr>
          </w:p>
        </w:tc>
        <w:tc>
          <w:tcPr>
            <w:tcW w:w="1020"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&lt;0.001</w:t>
            </w:r>
          </w:p>
        </w:tc>
      </w:tr>
      <w:tr w:rsidR="00903124">
        <w:trPr>
          <w:jc w:val="center"/>
        </w:trPr>
        <w:tc>
          <w:tcPr>
            <w:tcW w:w="4252" w:type="dxa"/>
            <w:tcMar>
              <w:top w:w="90" w:type="dxa"/>
              <w:left w:w="100" w:type="dxa"/>
              <w:bottom w:w="90" w:type="dxa"/>
              <w:right w:w="100" w:type="dxa"/>
            </w:tcMar>
            <w:vAlign w:val="center"/>
          </w:tcPr>
          <w:p w:rsidR="00903124" w:rsidRDefault="00C73A5E">
            <w:r>
              <w:rPr>
                <w:rFonts w:ascii="Times New Roman" w:eastAsia="Times New Roman" w:hAnsi="Times New Roman"/>
                <w:sz w:val="18"/>
              </w:rPr>
              <w:lastRenderedPageBreak/>
              <w:t xml:space="preserve">  Improved</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167 (90.3%)</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30 (44.1%)</w:t>
            </w:r>
          </w:p>
        </w:tc>
        <w:tc>
          <w:tcPr>
            <w:tcW w:w="1020" w:type="dxa"/>
            <w:tcMar>
              <w:top w:w="90" w:type="dxa"/>
              <w:left w:w="100" w:type="dxa"/>
              <w:bottom w:w="90" w:type="dxa"/>
              <w:right w:w="100" w:type="dxa"/>
            </w:tcMar>
            <w:vAlign w:val="center"/>
          </w:tcPr>
          <w:p w:rsidR="00903124" w:rsidRDefault="00903124">
            <w:pPr>
              <w:jc w:val="center"/>
            </w:pPr>
          </w:p>
        </w:tc>
      </w:tr>
      <w:tr w:rsidR="00903124">
        <w:trPr>
          <w:jc w:val="center"/>
        </w:trPr>
        <w:tc>
          <w:tcPr>
            <w:tcW w:w="4252" w:type="dxa"/>
            <w:tcMar>
              <w:top w:w="90" w:type="dxa"/>
              <w:left w:w="100" w:type="dxa"/>
              <w:bottom w:w="90" w:type="dxa"/>
              <w:right w:w="100" w:type="dxa"/>
            </w:tcMar>
            <w:vAlign w:val="center"/>
          </w:tcPr>
          <w:p w:rsidR="00903124" w:rsidRDefault="00C73A5E">
            <w:r>
              <w:rPr>
                <w:rFonts w:ascii="Times New Roman" w:eastAsia="Times New Roman" w:hAnsi="Times New Roman"/>
                <w:sz w:val="18"/>
              </w:rPr>
              <w:t xml:space="preserve">  Death</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18 (9.7%)</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33 (48.5%)</w:t>
            </w:r>
          </w:p>
        </w:tc>
        <w:tc>
          <w:tcPr>
            <w:tcW w:w="1020" w:type="dxa"/>
            <w:tcMar>
              <w:top w:w="90" w:type="dxa"/>
              <w:left w:w="100" w:type="dxa"/>
              <w:bottom w:w="90" w:type="dxa"/>
              <w:right w:w="100" w:type="dxa"/>
            </w:tcMar>
            <w:vAlign w:val="center"/>
          </w:tcPr>
          <w:p w:rsidR="00903124" w:rsidRDefault="00903124">
            <w:pPr>
              <w:jc w:val="center"/>
            </w:pPr>
          </w:p>
        </w:tc>
      </w:tr>
      <w:tr w:rsidR="00903124">
        <w:trPr>
          <w:jc w:val="center"/>
        </w:trPr>
        <w:tc>
          <w:tcPr>
            <w:tcW w:w="4252" w:type="dxa"/>
            <w:tcMar>
              <w:top w:w="90" w:type="dxa"/>
              <w:left w:w="100" w:type="dxa"/>
              <w:bottom w:w="90" w:type="dxa"/>
              <w:right w:w="100" w:type="dxa"/>
            </w:tcMar>
            <w:vAlign w:val="center"/>
          </w:tcPr>
          <w:p w:rsidR="00903124" w:rsidRDefault="00C73A5E">
            <w:r>
              <w:rPr>
                <w:rFonts w:ascii="Times New Roman" w:eastAsia="Times New Roman" w:hAnsi="Times New Roman"/>
                <w:sz w:val="18"/>
              </w:rPr>
              <w:t xml:space="preserve">  Self-discharge/unknown</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 (0.0%)</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5 (7.4%)</w:t>
            </w:r>
          </w:p>
        </w:tc>
        <w:tc>
          <w:tcPr>
            <w:tcW w:w="1020" w:type="dxa"/>
            <w:tcMar>
              <w:top w:w="90" w:type="dxa"/>
              <w:left w:w="100" w:type="dxa"/>
              <w:bottom w:w="90" w:type="dxa"/>
              <w:right w:w="100" w:type="dxa"/>
            </w:tcMar>
            <w:vAlign w:val="center"/>
          </w:tcPr>
          <w:p w:rsidR="00903124" w:rsidRDefault="00903124">
            <w:pPr>
              <w:jc w:val="center"/>
            </w:pPr>
          </w:p>
        </w:tc>
      </w:tr>
    </w:tbl>
    <w:p w:rsidR="00903124" w:rsidRDefault="00903124"/>
    <w:p w:rsidR="00903124" w:rsidRDefault="00C73A5E">
      <w:r>
        <w:rPr>
          <w:rFonts w:ascii="Times New Roman" w:eastAsia="Times New Roman" w:hAnsi="Times New Roman"/>
          <w:sz w:val="18"/>
        </w:rPr>
        <w:t xml:space="preserve">Abbreviations: NIHSS, National Institutes of Health Stroke Scale; DPT, door-to-puncture time; CVD, cerebrovascular disease; LDL, low-density lipoprotein; HDL, high-density </w:t>
      </w:r>
      <w:r>
        <w:rPr>
          <w:rFonts w:ascii="Times New Roman" w:eastAsia="Times New Roman" w:hAnsi="Times New Roman"/>
          <w:sz w:val="18"/>
        </w:rPr>
        <w:t>lipoprotein; WBC, white blood cell count. This corrected table aligns the coding of hypertension and diabetes with the combined history variable used in the main manuscript table. The table summarizes differences between patients included in the primary co</w:t>
      </w:r>
      <w:r>
        <w:rPr>
          <w:rFonts w:ascii="Times New Roman" w:eastAsia="Times New Roman" w:hAnsi="Times New Roman"/>
          <w:sz w:val="18"/>
        </w:rPr>
        <w:t>mplete-case analysis (n = 185) and those excluded from the analytical cohort (n = 68) within the final study database available for variable-level assessment (N = 253), rather than in the initially screened hospital cohort (N = 314). Continuous variables a</w:t>
      </w:r>
      <w:r>
        <w:rPr>
          <w:rFonts w:ascii="Times New Roman" w:eastAsia="Times New Roman" w:hAnsi="Times New Roman"/>
          <w:sz w:val="18"/>
        </w:rPr>
        <w:t>re presented as mean ± standard deviation or median (interquartile range), as appropriate; categorical variables are presented as number (%). P values were calculated using Welch’s t test for age, Mann–Whitney U tests for non-normally distributed continuou</w:t>
      </w:r>
      <w:r>
        <w:rPr>
          <w:rFonts w:ascii="Times New Roman" w:eastAsia="Times New Roman" w:hAnsi="Times New Roman"/>
          <w:sz w:val="18"/>
        </w:rPr>
        <w:t>s variables, Fisher’s exact or chi-square tests for binary categorical variables as appropriate, and a chi-square test for the overall discharge outcome distribution.</w:t>
      </w:r>
    </w:p>
    <w:p w:rsidR="00903124" w:rsidRDefault="00C73A5E">
      <w:r>
        <w:br w:type="page"/>
      </w:r>
      <w:bookmarkStart w:id="0" w:name="_GoBack"/>
      <w:bookmarkEnd w:id="0"/>
    </w:p>
    <w:p w:rsidR="00903124" w:rsidRDefault="00C73A5E">
      <w:pPr>
        <w:jc w:val="center"/>
        <w:rPr>
          <w:b/>
          <w:bCs/>
        </w:rPr>
      </w:pPr>
      <w:r>
        <w:rPr>
          <w:b/>
          <w:bCs/>
        </w:rPr>
        <w:lastRenderedPageBreak/>
        <w:t>Supplementary Table S5</w:t>
      </w:r>
    </w:p>
    <w:p w:rsidR="00903124" w:rsidRDefault="00C73A5E">
      <w:pPr>
        <w:jc w:val="center"/>
      </w:pPr>
      <w:r>
        <w:t>Characteristics associated with missing 1-week NIHSS assessment</w:t>
      </w:r>
    </w:p>
    <w:p w:rsidR="00903124" w:rsidRDefault="00903124"/>
    <w:tbl>
      <w:tblPr>
        <w:tblW w:w="0" w:type="auto"/>
        <w:jc w:val="center"/>
        <w:tblBorders>
          <w:top w:val="single" w:sz="10" w:space="0" w:color="000000"/>
          <w:bottom w:val="single" w:sz="10" w:space="0" w:color="000000"/>
        </w:tblBorders>
        <w:tblLayout w:type="fixed"/>
        <w:tblLook w:val="04A0" w:firstRow="1" w:lastRow="0" w:firstColumn="1" w:lastColumn="0" w:noHBand="0" w:noVBand="1"/>
      </w:tblPr>
      <w:tblGrid>
        <w:gridCol w:w="4252"/>
        <w:gridCol w:w="2721"/>
        <w:gridCol w:w="2721"/>
        <w:gridCol w:w="1020"/>
      </w:tblGrid>
      <w:tr w:rsidR="00903124">
        <w:trPr>
          <w:jc w:val="center"/>
        </w:trPr>
        <w:tc>
          <w:tcPr>
            <w:tcW w:w="4252" w:type="dxa"/>
            <w:tcBorders>
              <w:bottom w:val="single" w:sz="8" w:space="0" w:color="000000"/>
            </w:tcBorders>
            <w:tcMar>
              <w:top w:w="90" w:type="dxa"/>
              <w:left w:w="100" w:type="dxa"/>
              <w:bottom w:w="90" w:type="dxa"/>
              <w:right w:w="100" w:type="dxa"/>
            </w:tcMar>
            <w:vAlign w:val="center"/>
          </w:tcPr>
          <w:p w:rsidR="00903124" w:rsidRDefault="00C73A5E">
            <w:pPr>
              <w:jc w:val="center"/>
            </w:pPr>
            <w:r>
              <w:rPr>
                <w:rFonts w:ascii="Times New Roman" w:eastAsia="Times New Roman" w:hAnsi="Times New Roman"/>
                <w:b/>
                <w:sz w:val="18"/>
              </w:rPr>
              <w:t>Variable</w:t>
            </w:r>
          </w:p>
        </w:tc>
        <w:tc>
          <w:tcPr>
            <w:tcW w:w="2721" w:type="dxa"/>
            <w:tcBorders>
              <w:bottom w:val="single" w:sz="8" w:space="0" w:color="000000"/>
            </w:tcBorders>
            <w:tcMar>
              <w:top w:w="90" w:type="dxa"/>
              <w:left w:w="100" w:type="dxa"/>
              <w:bottom w:w="90" w:type="dxa"/>
              <w:right w:w="100" w:type="dxa"/>
            </w:tcMar>
            <w:vAlign w:val="center"/>
          </w:tcPr>
          <w:p w:rsidR="00903124" w:rsidRDefault="00C73A5E">
            <w:pPr>
              <w:jc w:val="center"/>
            </w:pPr>
            <w:r>
              <w:rPr>
                <w:rFonts w:ascii="Times New Roman" w:eastAsia="Times New Roman" w:hAnsi="Times New Roman"/>
                <w:b/>
                <w:sz w:val="18"/>
              </w:rPr>
              <w:t>1-week NIHSS available (n=185)</w:t>
            </w:r>
          </w:p>
        </w:tc>
        <w:tc>
          <w:tcPr>
            <w:tcW w:w="2721" w:type="dxa"/>
            <w:tcBorders>
              <w:bottom w:val="single" w:sz="8" w:space="0" w:color="000000"/>
            </w:tcBorders>
            <w:tcMar>
              <w:top w:w="90" w:type="dxa"/>
              <w:left w:w="100" w:type="dxa"/>
              <w:bottom w:w="90" w:type="dxa"/>
              <w:right w:w="100" w:type="dxa"/>
            </w:tcMar>
            <w:vAlign w:val="center"/>
          </w:tcPr>
          <w:p w:rsidR="00903124" w:rsidRDefault="00C73A5E">
            <w:pPr>
              <w:jc w:val="center"/>
            </w:pPr>
            <w:r>
              <w:rPr>
                <w:rFonts w:ascii="Times New Roman" w:eastAsia="Times New Roman" w:hAnsi="Times New Roman"/>
                <w:b/>
                <w:sz w:val="18"/>
              </w:rPr>
              <w:t>1-week NIHSS missing (n=68)</w:t>
            </w:r>
          </w:p>
        </w:tc>
        <w:tc>
          <w:tcPr>
            <w:tcW w:w="1020" w:type="dxa"/>
            <w:tcBorders>
              <w:bottom w:val="single" w:sz="8" w:space="0" w:color="000000"/>
            </w:tcBorders>
            <w:tcMar>
              <w:top w:w="90" w:type="dxa"/>
              <w:left w:w="100" w:type="dxa"/>
              <w:bottom w:w="90" w:type="dxa"/>
              <w:right w:w="100" w:type="dxa"/>
            </w:tcMar>
            <w:vAlign w:val="center"/>
          </w:tcPr>
          <w:p w:rsidR="00903124" w:rsidRDefault="00C73A5E">
            <w:pPr>
              <w:jc w:val="center"/>
            </w:pPr>
            <w:r>
              <w:rPr>
                <w:rFonts w:ascii="Times New Roman" w:eastAsia="Times New Roman" w:hAnsi="Times New Roman"/>
                <w:b/>
                <w:sz w:val="18"/>
              </w:rPr>
              <w:t>P value</w:t>
            </w:r>
          </w:p>
        </w:tc>
      </w:tr>
      <w:tr w:rsidR="00903124">
        <w:trPr>
          <w:jc w:val="center"/>
        </w:trPr>
        <w:tc>
          <w:tcPr>
            <w:tcW w:w="4252" w:type="dxa"/>
            <w:tcMar>
              <w:top w:w="90" w:type="dxa"/>
              <w:left w:w="100" w:type="dxa"/>
              <w:bottom w:w="90" w:type="dxa"/>
              <w:right w:w="100" w:type="dxa"/>
            </w:tcMar>
            <w:vAlign w:val="center"/>
          </w:tcPr>
          <w:p w:rsidR="00903124" w:rsidRDefault="00C73A5E">
            <w:r>
              <w:rPr>
                <w:rFonts w:ascii="Times New Roman" w:eastAsia="Times New Roman" w:hAnsi="Times New Roman"/>
                <w:sz w:val="18"/>
              </w:rPr>
              <w:t>Age, years</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61.9 ± 13.2</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60.9 ± 12.8</w:t>
            </w:r>
          </w:p>
        </w:tc>
        <w:tc>
          <w:tcPr>
            <w:tcW w:w="1020"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0.598</w:t>
            </w:r>
          </w:p>
        </w:tc>
      </w:tr>
      <w:tr w:rsidR="00903124">
        <w:trPr>
          <w:jc w:val="center"/>
        </w:trPr>
        <w:tc>
          <w:tcPr>
            <w:tcW w:w="4252" w:type="dxa"/>
            <w:tcMar>
              <w:top w:w="90" w:type="dxa"/>
              <w:left w:w="100" w:type="dxa"/>
              <w:bottom w:w="90" w:type="dxa"/>
              <w:right w:w="100" w:type="dxa"/>
            </w:tcMar>
            <w:vAlign w:val="center"/>
          </w:tcPr>
          <w:p w:rsidR="00903124" w:rsidRDefault="00C73A5E">
            <w:r>
              <w:rPr>
                <w:rFonts w:ascii="Times New Roman" w:eastAsia="Times New Roman" w:hAnsi="Times New Roman"/>
                <w:sz w:val="18"/>
              </w:rPr>
              <w:t>Male sex, n (%)</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125 (67.6%)</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44 (64.7%)</w:t>
            </w:r>
          </w:p>
        </w:tc>
        <w:tc>
          <w:tcPr>
            <w:tcW w:w="1020"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0.781</w:t>
            </w:r>
          </w:p>
        </w:tc>
      </w:tr>
      <w:tr w:rsidR="00903124">
        <w:trPr>
          <w:jc w:val="center"/>
        </w:trPr>
        <w:tc>
          <w:tcPr>
            <w:tcW w:w="4252" w:type="dxa"/>
            <w:tcMar>
              <w:top w:w="90" w:type="dxa"/>
              <w:left w:w="100" w:type="dxa"/>
              <w:bottom w:w="90" w:type="dxa"/>
              <w:right w:w="100" w:type="dxa"/>
            </w:tcMar>
            <w:vAlign w:val="center"/>
          </w:tcPr>
          <w:p w:rsidR="00903124" w:rsidRDefault="00C73A5E">
            <w:r>
              <w:rPr>
                <w:rFonts w:ascii="Times New Roman" w:eastAsia="Times New Roman" w:hAnsi="Times New Roman"/>
                <w:sz w:val="18"/>
              </w:rPr>
              <w:t>Baseline NIHSS</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14.0 (11.0–19.0)</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18.0 (11.0–22.0)</w:t>
            </w:r>
          </w:p>
        </w:tc>
        <w:tc>
          <w:tcPr>
            <w:tcW w:w="1020"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0.042</w:t>
            </w:r>
          </w:p>
        </w:tc>
      </w:tr>
      <w:tr w:rsidR="00903124">
        <w:trPr>
          <w:jc w:val="center"/>
        </w:trPr>
        <w:tc>
          <w:tcPr>
            <w:tcW w:w="4252" w:type="dxa"/>
            <w:tcMar>
              <w:top w:w="90" w:type="dxa"/>
              <w:left w:w="100" w:type="dxa"/>
              <w:bottom w:w="90" w:type="dxa"/>
              <w:right w:w="100" w:type="dxa"/>
            </w:tcMar>
            <w:vAlign w:val="center"/>
          </w:tcPr>
          <w:p w:rsidR="00903124" w:rsidRDefault="00C73A5E">
            <w:r>
              <w:rPr>
                <w:rFonts w:ascii="Times New Roman" w:eastAsia="Times New Roman" w:hAnsi="Times New Roman"/>
                <w:sz w:val="18"/>
              </w:rPr>
              <w:t>Hypertension, n (%)</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101 (54.6%)</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39</w:t>
            </w:r>
            <w:r>
              <w:rPr>
                <w:rFonts w:ascii="Times New Roman" w:eastAsia="Times New Roman" w:hAnsi="Times New Roman"/>
                <w:sz w:val="18"/>
              </w:rPr>
              <w:t xml:space="preserve"> (57.4%)</w:t>
            </w:r>
          </w:p>
        </w:tc>
        <w:tc>
          <w:tcPr>
            <w:tcW w:w="1020"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0.804</w:t>
            </w:r>
          </w:p>
        </w:tc>
      </w:tr>
      <w:tr w:rsidR="00903124">
        <w:trPr>
          <w:jc w:val="center"/>
        </w:trPr>
        <w:tc>
          <w:tcPr>
            <w:tcW w:w="4252" w:type="dxa"/>
            <w:tcMar>
              <w:top w:w="90" w:type="dxa"/>
              <w:left w:w="100" w:type="dxa"/>
              <w:bottom w:w="90" w:type="dxa"/>
              <w:right w:w="100" w:type="dxa"/>
            </w:tcMar>
            <w:vAlign w:val="center"/>
          </w:tcPr>
          <w:p w:rsidR="00903124" w:rsidRDefault="00C73A5E">
            <w:r>
              <w:rPr>
                <w:rFonts w:ascii="Times New Roman" w:eastAsia="Times New Roman" w:hAnsi="Times New Roman"/>
                <w:sz w:val="18"/>
              </w:rPr>
              <w:t>Diabetes, n (%)</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27 (14.6%)</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12 (17.6%)</w:t>
            </w:r>
          </w:p>
        </w:tc>
        <w:tc>
          <w:tcPr>
            <w:tcW w:w="1020"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0.689</w:t>
            </w:r>
          </w:p>
        </w:tc>
      </w:tr>
      <w:tr w:rsidR="00903124">
        <w:trPr>
          <w:jc w:val="center"/>
        </w:trPr>
        <w:tc>
          <w:tcPr>
            <w:tcW w:w="4252" w:type="dxa"/>
            <w:tcMar>
              <w:top w:w="90" w:type="dxa"/>
              <w:left w:w="100" w:type="dxa"/>
              <w:bottom w:w="90" w:type="dxa"/>
              <w:right w:w="100" w:type="dxa"/>
            </w:tcMar>
            <w:vAlign w:val="center"/>
          </w:tcPr>
          <w:p w:rsidR="00903124" w:rsidRDefault="00C73A5E">
            <w:r>
              <w:rPr>
                <w:rFonts w:ascii="Times New Roman" w:eastAsia="Times New Roman" w:hAnsi="Times New Roman"/>
                <w:sz w:val="18"/>
              </w:rPr>
              <w:t>Prior cerebrovascular disease, n (%)</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34 (18.4%)</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13 (19.1%)</w:t>
            </w:r>
          </w:p>
        </w:tc>
        <w:tc>
          <w:tcPr>
            <w:tcW w:w="1020"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1.000</w:t>
            </w:r>
          </w:p>
        </w:tc>
      </w:tr>
      <w:tr w:rsidR="00903124">
        <w:trPr>
          <w:jc w:val="center"/>
        </w:trPr>
        <w:tc>
          <w:tcPr>
            <w:tcW w:w="4252" w:type="dxa"/>
            <w:tcMar>
              <w:top w:w="90" w:type="dxa"/>
              <w:left w:w="100" w:type="dxa"/>
              <w:bottom w:w="90" w:type="dxa"/>
              <w:right w:w="100" w:type="dxa"/>
            </w:tcMar>
            <w:vAlign w:val="center"/>
          </w:tcPr>
          <w:p w:rsidR="00903124" w:rsidRDefault="00C73A5E">
            <w:proofErr w:type="spellStart"/>
            <w:r>
              <w:rPr>
                <w:rFonts w:ascii="Times New Roman" w:eastAsia="Times New Roman" w:hAnsi="Times New Roman"/>
                <w:sz w:val="18"/>
              </w:rPr>
              <w:t>Cardioembolic</w:t>
            </w:r>
            <w:proofErr w:type="spellEnd"/>
            <w:r>
              <w:rPr>
                <w:rFonts w:ascii="Times New Roman" w:eastAsia="Times New Roman" w:hAnsi="Times New Roman"/>
                <w:sz w:val="18"/>
              </w:rPr>
              <w:t xml:space="preserve"> </w:t>
            </w:r>
            <w:proofErr w:type="spellStart"/>
            <w:r>
              <w:rPr>
                <w:rFonts w:ascii="Times New Roman" w:eastAsia="Times New Roman" w:hAnsi="Times New Roman"/>
                <w:sz w:val="18"/>
              </w:rPr>
              <w:t>aetiology</w:t>
            </w:r>
            <w:proofErr w:type="spellEnd"/>
            <w:r>
              <w:rPr>
                <w:rFonts w:ascii="Times New Roman" w:eastAsia="Times New Roman" w:hAnsi="Times New Roman"/>
                <w:sz w:val="18"/>
              </w:rPr>
              <w:t>, n (%)</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64 (34.6%)</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18 (26.5%)</w:t>
            </w:r>
          </w:p>
        </w:tc>
        <w:tc>
          <w:tcPr>
            <w:tcW w:w="1020"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0.284</w:t>
            </w:r>
          </w:p>
        </w:tc>
      </w:tr>
      <w:tr w:rsidR="00903124">
        <w:trPr>
          <w:jc w:val="center"/>
        </w:trPr>
        <w:tc>
          <w:tcPr>
            <w:tcW w:w="4252" w:type="dxa"/>
            <w:tcMar>
              <w:top w:w="90" w:type="dxa"/>
              <w:left w:w="100" w:type="dxa"/>
              <w:bottom w:w="90" w:type="dxa"/>
              <w:right w:w="100" w:type="dxa"/>
            </w:tcMar>
            <w:vAlign w:val="center"/>
          </w:tcPr>
          <w:p w:rsidR="00903124" w:rsidRDefault="00C73A5E">
            <w:r>
              <w:rPr>
                <w:rFonts w:ascii="Times New Roman" w:eastAsia="Times New Roman" w:hAnsi="Times New Roman"/>
                <w:sz w:val="18"/>
              </w:rPr>
              <w:t xml:space="preserve">Admission glucose, </w:t>
            </w:r>
            <w:proofErr w:type="spellStart"/>
            <w:r>
              <w:rPr>
                <w:rFonts w:ascii="Times New Roman" w:eastAsia="Times New Roman" w:hAnsi="Times New Roman"/>
                <w:sz w:val="18"/>
              </w:rPr>
              <w:t>mmol</w:t>
            </w:r>
            <w:proofErr w:type="spellEnd"/>
            <w:r>
              <w:rPr>
                <w:rFonts w:ascii="Times New Roman" w:eastAsia="Times New Roman" w:hAnsi="Times New Roman"/>
                <w:sz w:val="18"/>
              </w:rPr>
              <w:t>/L</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6.9 (6.0–8.4)</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8.5 (6.2–9.5)</w:t>
            </w:r>
          </w:p>
        </w:tc>
        <w:tc>
          <w:tcPr>
            <w:tcW w:w="1020"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0.014</w:t>
            </w:r>
          </w:p>
        </w:tc>
      </w:tr>
      <w:tr w:rsidR="00903124">
        <w:trPr>
          <w:jc w:val="center"/>
        </w:trPr>
        <w:tc>
          <w:tcPr>
            <w:tcW w:w="4252" w:type="dxa"/>
            <w:tcMar>
              <w:top w:w="90" w:type="dxa"/>
              <w:left w:w="100" w:type="dxa"/>
              <w:bottom w:w="90" w:type="dxa"/>
              <w:right w:w="100" w:type="dxa"/>
            </w:tcMar>
            <w:vAlign w:val="center"/>
          </w:tcPr>
          <w:p w:rsidR="00903124" w:rsidRDefault="00C73A5E">
            <w:r>
              <w:rPr>
                <w:rFonts w:ascii="Times New Roman" w:eastAsia="Times New Roman" w:hAnsi="Times New Roman"/>
                <w:sz w:val="18"/>
              </w:rPr>
              <w:t>Door-to-puncture time, h</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8.0 (5.0–11.0)</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8.0 (5.6–11.8)</w:t>
            </w:r>
          </w:p>
        </w:tc>
        <w:tc>
          <w:tcPr>
            <w:tcW w:w="1020"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0.474</w:t>
            </w:r>
          </w:p>
        </w:tc>
      </w:tr>
      <w:tr w:rsidR="00903124">
        <w:trPr>
          <w:jc w:val="center"/>
        </w:trPr>
        <w:tc>
          <w:tcPr>
            <w:tcW w:w="4252" w:type="dxa"/>
            <w:tcMar>
              <w:top w:w="90" w:type="dxa"/>
              <w:left w:w="100" w:type="dxa"/>
              <w:bottom w:w="90" w:type="dxa"/>
              <w:right w:w="100" w:type="dxa"/>
            </w:tcMar>
            <w:vAlign w:val="center"/>
          </w:tcPr>
          <w:p w:rsidR="00903124" w:rsidRDefault="00C73A5E">
            <w:r>
              <w:rPr>
                <w:rFonts w:ascii="Times New Roman" w:eastAsia="Times New Roman" w:hAnsi="Times New Roman"/>
                <w:sz w:val="18"/>
              </w:rPr>
              <w:t>Length of stay, days</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16.0 (13.0–23.0)</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4.0 (1.8–16.0)</w:t>
            </w:r>
          </w:p>
        </w:tc>
        <w:tc>
          <w:tcPr>
            <w:tcW w:w="1020"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&lt;0.001</w:t>
            </w:r>
          </w:p>
        </w:tc>
      </w:tr>
      <w:tr w:rsidR="00903124">
        <w:trPr>
          <w:jc w:val="center"/>
        </w:trPr>
        <w:tc>
          <w:tcPr>
            <w:tcW w:w="4252" w:type="dxa"/>
            <w:tcMar>
              <w:top w:w="90" w:type="dxa"/>
              <w:left w:w="100" w:type="dxa"/>
              <w:bottom w:w="90" w:type="dxa"/>
              <w:right w:w="100" w:type="dxa"/>
            </w:tcMar>
            <w:vAlign w:val="center"/>
          </w:tcPr>
          <w:p w:rsidR="00903124" w:rsidRDefault="00C73A5E">
            <w:r>
              <w:rPr>
                <w:rFonts w:ascii="Times New Roman" w:eastAsia="Times New Roman" w:hAnsi="Times New Roman"/>
                <w:sz w:val="18"/>
              </w:rPr>
              <w:t>48h NIHSS available, n (%)</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185 (100.0%)</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38 (55.9%)</w:t>
            </w:r>
          </w:p>
        </w:tc>
        <w:tc>
          <w:tcPr>
            <w:tcW w:w="1020"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&lt;0.001</w:t>
            </w:r>
          </w:p>
        </w:tc>
      </w:tr>
      <w:tr w:rsidR="00903124">
        <w:trPr>
          <w:jc w:val="center"/>
        </w:trPr>
        <w:tc>
          <w:tcPr>
            <w:tcW w:w="4252" w:type="dxa"/>
            <w:tcMar>
              <w:top w:w="90" w:type="dxa"/>
              <w:left w:w="100" w:type="dxa"/>
              <w:bottom w:w="90" w:type="dxa"/>
              <w:right w:w="100" w:type="dxa"/>
            </w:tcMar>
            <w:vAlign w:val="center"/>
          </w:tcPr>
          <w:p w:rsidR="00903124" w:rsidRDefault="00C73A5E">
            <w:r>
              <w:rPr>
                <w:rFonts w:ascii="Times New Roman" w:eastAsia="Times New Roman" w:hAnsi="Times New Roman"/>
                <w:sz w:val="18"/>
              </w:rPr>
              <w:t>Discharge outcome: improved, n (%)</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167 (90.3%)</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30 (44.1%)</w:t>
            </w:r>
          </w:p>
        </w:tc>
        <w:tc>
          <w:tcPr>
            <w:tcW w:w="1020"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&lt;0.001</w:t>
            </w:r>
          </w:p>
        </w:tc>
      </w:tr>
      <w:tr w:rsidR="00903124">
        <w:trPr>
          <w:jc w:val="center"/>
        </w:trPr>
        <w:tc>
          <w:tcPr>
            <w:tcW w:w="4252" w:type="dxa"/>
            <w:tcMar>
              <w:top w:w="90" w:type="dxa"/>
              <w:left w:w="100" w:type="dxa"/>
              <w:bottom w:w="90" w:type="dxa"/>
              <w:right w:w="100" w:type="dxa"/>
            </w:tcMar>
            <w:vAlign w:val="center"/>
          </w:tcPr>
          <w:p w:rsidR="00903124" w:rsidRDefault="00C73A5E">
            <w:r>
              <w:rPr>
                <w:rFonts w:ascii="Times New Roman" w:eastAsia="Times New Roman" w:hAnsi="Times New Roman"/>
                <w:sz w:val="18"/>
              </w:rPr>
              <w:t>Discharge outcome: died, n (%)</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18 (9.7%)</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33 (48.5%)</w:t>
            </w:r>
          </w:p>
        </w:tc>
        <w:tc>
          <w:tcPr>
            <w:tcW w:w="1020"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&lt;0.001</w:t>
            </w:r>
          </w:p>
        </w:tc>
      </w:tr>
      <w:tr w:rsidR="00903124">
        <w:trPr>
          <w:jc w:val="center"/>
        </w:trPr>
        <w:tc>
          <w:tcPr>
            <w:tcW w:w="4252" w:type="dxa"/>
            <w:tcMar>
              <w:top w:w="90" w:type="dxa"/>
              <w:left w:w="100" w:type="dxa"/>
              <w:bottom w:w="90" w:type="dxa"/>
              <w:right w:w="100" w:type="dxa"/>
            </w:tcMar>
            <w:vAlign w:val="center"/>
          </w:tcPr>
          <w:p w:rsidR="00903124" w:rsidRDefault="00C73A5E">
            <w:r>
              <w:rPr>
                <w:rFonts w:ascii="Times New Roman" w:eastAsia="Times New Roman" w:hAnsi="Times New Roman"/>
                <w:sz w:val="18"/>
              </w:rPr>
              <w:t>Discharge outcome: self-discharge/other, n (%)</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 (0.0%)</w:t>
            </w:r>
          </w:p>
        </w:tc>
        <w:tc>
          <w:tcPr>
            <w:tcW w:w="272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5 (7.4%)</w:t>
            </w:r>
          </w:p>
        </w:tc>
        <w:tc>
          <w:tcPr>
            <w:tcW w:w="1020"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0.001</w:t>
            </w:r>
          </w:p>
        </w:tc>
      </w:tr>
    </w:tbl>
    <w:p w:rsidR="00903124" w:rsidRDefault="00903124"/>
    <w:p w:rsidR="00903124" w:rsidRDefault="00C73A5E">
      <w:r>
        <w:rPr>
          <w:rFonts w:ascii="Times New Roman" w:eastAsia="Times New Roman" w:hAnsi="Times New Roman"/>
          <w:sz w:val="18"/>
        </w:rPr>
        <w:t xml:space="preserve">Footnote: This corrected table summarizes characteristics associated with missing 1-week NIHSS assessment within the final </w:t>
      </w:r>
      <w:r>
        <w:rPr>
          <w:rFonts w:ascii="Times New Roman" w:eastAsia="Times New Roman" w:hAnsi="Times New Roman"/>
          <w:sz w:val="18"/>
        </w:rPr>
        <w:t xml:space="preserve">study database (N = 253), consistent with the study flow of 314 initially screened, 253 available in the final study database, and 185 in the primary complete-case model. Hypertension and diabetes were coded using the combined baseline history variable to </w:t>
      </w:r>
      <w:r>
        <w:rPr>
          <w:rFonts w:ascii="Times New Roman" w:eastAsia="Times New Roman" w:hAnsi="Times New Roman"/>
          <w:sz w:val="18"/>
        </w:rPr>
        <w:t>match the main manuscript Table 1. Length of stay was parsed from the original hospitalization-duration text field. Continuous variables are presented as mean ± standard deviation or median (interquartile range), as appropriate; categorical variables are p</w:t>
      </w:r>
      <w:r>
        <w:rPr>
          <w:rFonts w:ascii="Times New Roman" w:eastAsia="Times New Roman" w:hAnsi="Times New Roman"/>
          <w:sz w:val="18"/>
        </w:rPr>
        <w:t xml:space="preserve">resented as n (%). P values were calculated using Welch’s t test for age, Mann–Whitney U tests for non-normally distributed continuous variables, and χ² test or Fisher’s exact test for categorical variables, as appropriate. </w:t>
      </w:r>
      <w:proofErr w:type="gramStart"/>
      <w:r>
        <w:rPr>
          <w:rFonts w:ascii="Times New Roman" w:eastAsia="Times New Roman" w:hAnsi="Times New Roman"/>
          <w:sz w:val="18"/>
        </w:rPr>
        <w:t>NIHSS, National Institutes of He</w:t>
      </w:r>
      <w:r>
        <w:rPr>
          <w:rFonts w:ascii="Times New Roman" w:eastAsia="Times New Roman" w:hAnsi="Times New Roman"/>
          <w:sz w:val="18"/>
        </w:rPr>
        <w:t>alth Stroke Scale; DPT, door-to-puncture time; CVD, cerebrovascular disease.</w:t>
      </w:r>
      <w:proofErr w:type="gramEnd"/>
    </w:p>
    <w:p w:rsidR="00903124" w:rsidRDefault="00C73A5E">
      <w:r>
        <w:br w:type="page"/>
      </w:r>
    </w:p>
    <w:p w:rsidR="00903124" w:rsidRDefault="00C73A5E">
      <w:pPr>
        <w:jc w:val="center"/>
        <w:rPr>
          <w:b/>
          <w:bCs/>
        </w:rPr>
      </w:pPr>
      <w:r>
        <w:rPr>
          <w:b/>
          <w:bCs/>
        </w:rPr>
        <w:lastRenderedPageBreak/>
        <w:t>Supplementary Table S6</w:t>
      </w:r>
    </w:p>
    <w:p w:rsidR="00903124" w:rsidRDefault="00C73A5E">
      <w:pPr>
        <w:jc w:val="center"/>
      </w:pPr>
      <w:r>
        <w:t>Multiple imputation sensitivity analysis for incomplete baseline covariates</w:t>
      </w:r>
    </w:p>
    <w:p w:rsidR="00903124" w:rsidRDefault="00903124"/>
    <w:tbl>
      <w:tblPr>
        <w:tblW w:w="0" w:type="auto"/>
        <w:jc w:val="center"/>
        <w:tblBorders>
          <w:top w:val="single" w:sz="10" w:space="0" w:color="000000"/>
          <w:bottom w:val="single" w:sz="10" w:space="0" w:color="000000"/>
        </w:tblBorders>
        <w:tblLayout w:type="fixed"/>
        <w:tblLook w:val="04A0" w:firstRow="1" w:lastRow="0" w:firstColumn="1" w:lastColumn="0" w:noHBand="0" w:noVBand="1"/>
      </w:tblPr>
      <w:tblGrid>
        <w:gridCol w:w="3515"/>
        <w:gridCol w:w="2268"/>
        <w:gridCol w:w="907"/>
        <w:gridCol w:w="2268"/>
        <w:gridCol w:w="907"/>
      </w:tblGrid>
      <w:tr w:rsidR="00903124">
        <w:trPr>
          <w:jc w:val="center"/>
        </w:trPr>
        <w:tc>
          <w:tcPr>
            <w:tcW w:w="3515" w:type="dxa"/>
            <w:tcBorders>
              <w:bottom w:val="single" w:sz="8" w:space="0" w:color="000000"/>
            </w:tcBorders>
            <w:tcMar>
              <w:top w:w="90" w:type="dxa"/>
              <w:left w:w="100" w:type="dxa"/>
              <w:bottom w:w="90" w:type="dxa"/>
              <w:right w:w="100" w:type="dxa"/>
            </w:tcMar>
            <w:vAlign w:val="center"/>
          </w:tcPr>
          <w:p w:rsidR="00903124" w:rsidRDefault="00C73A5E">
            <w:pPr>
              <w:jc w:val="center"/>
            </w:pPr>
            <w:r>
              <w:rPr>
                <w:rFonts w:ascii="Times New Roman" w:eastAsia="Times New Roman" w:hAnsi="Times New Roman"/>
                <w:b/>
                <w:sz w:val="18"/>
              </w:rPr>
              <w:t>Predictor</w:t>
            </w:r>
          </w:p>
        </w:tc>
        <w:tc>
          <w:tcPr>
            <w:tcW w:w="2268" w:type="dxa"/>
            <w:tcBorders>
              <w:bottom w:val="single" w:sz="8" w:space="0" w:color="000000"/>
            </w:tcBorders>
            <w:tcMar>
              <w:top w:w="90" w:type="dxa"/>
              <w:left w:w="100" w:type="dxa"/>
              <w:bottom w:w="90" w:type="dxa"/>
              <w:right w:w="100" w:type="dxa"/>
            </w:tcMar>
            <w:vAlign w:val="center"/>
          </w:tcPr>
          <w:p w:rsidR="00903124" w:rsidRDefault="00C73A5E">
            <w:pPr>
              <w:jc w:val="center"/>
            </w:pPr>
            <w:r>
              <w:rPr>
                <w:rFonts w:ascii="Times New Roman" w:eastAsia="Times New Roman" w:hAnsi="Times New Roman"/>
                <w:b/>
                <w:sz w:val="18"/>
              </w:rPr>
              <w:t>Complete-case OR (95% CI)</w:t>
            </w:r>
          </w:p>
        </w:tc>
        <w:tc>
          <w:tcPr>
            <w:tcW w:w="907" w:type="dxa"/>
            <w:tcBorders>
              <w:bottom w:val="single" w:sz="8" w:space="0" w:color="000000"/>
            </w:tcBorders>
            <w:tcMar>
              <w:top w:w="90" w:type="dxa"/>
              <w:left w:w="100" w:type="dxa"/>
              <w:bottom w:w="90" w:type="dxa"/>
              <w:right w:w="100" w:type="dxa"/>
            </w:tcMar>
            <w:vAlign w:val="center"/>
          </w:tcPr>
          <w:p w:rsidR="00903124" w:rsidRDefault="00C73A5E">
            <w:pPr>
              <w:jc w:val="center"/>
            </w:pPr>
            <w:r>
              <w:rPr>
                <w:rFonts w:ascii="Times New Roman" w:eastAsia="Times New Roman" w:hAnsi="Times New Roman"/>
                <w:b/>
                <w:sz w:val="18"/>
              </w:rPr>
              <w:t>P value</w:t>
            </w:r>
          </w:p>
        </w:tc>
        <w:tc>
          <w:tcPr>
            <w:tcW w:w="2268" w:type="dxa"/>
            <w:tcBorders>
              <w:bottom w:val="single" w:sz="8" w:space="0" w:color="000000"/>
            </w:tcBorders>
            <w:tcMar>
              <w:top w:w="90" w:type="dxa"/>
              <w:left w:w="100" w:type="dxa"/>
              <w:bottom w:w="90" w:type="dxa"/>
              <w:right w:w="100" w:type="dxa"/>
            </w:tcMar>
            <w:vAlign w:val="center"/>
          </w:tcPr>
          <w:p w:rsidR="00903124" w:rsidRDefault="00C73A5E">
            <w:pPr>
              <w:jc w:val="center"/>
            </w:pPr>
            <w:r>
              <w:rPr>
                <w:rFonts w:ascii="Times New Roman" w:eastAsia="Times New Roman" w:hAnsi="Times New Roman"/>
                <w:b/>
                <w:sz w:val="18"/>
              </w:rPr>
              <w:t>MI OR (95% CI)</w:t>
            </w:r>
          </w:p>
        </w:tc>
        <w:tc>
          <w:tcPr>
            <w:tcW w:w="907" w:type="dxa"/>
            <w:tcBorders>
              <w:bottom w:val="single" w:sz="8" w:space="0" w:color="000000"/>
            </w:tcBorders>
            <w:tcMar>
              <w:top w:w="90" w:type="dxa"/>
              <w:left w:w="100" w:type="dxa"/>
              <w:bottom w:w="90" w:type="dxa"/>
              <w:right w:w="100" w:type="dxa"/>
            </w:tcMar>
            <w:vAlign w:val="center"/>
          </w:tcPr>
          <w:p w:rsidR="00903124" w:rsidRDefault="00C73A5E">
            <w:pPr>
              <w:jc w:val="center"/>
            </w:pPr>
            <w:r>
              <w:rPr>
                <w:rFonts w:ascii="Times New Roman" w:eastAsia="Times New Roman" w:hAnsi="Times New Roman"/>
                <w:b/>
                <w:sz w:val="18"/>
              </w:rPr>
              <w:t xml:space="preserve">P value </w:t>
            </w:r>
          </w:p>
        </w:tc>
      </w:tr>
      <w:tr w:rsidR="00903124">
        <w:trPr>
          <w:jc w:val="center"/>
        </w:trPr>
        <w:tc>
          <w:tcPr>
            <w:tcW w:w="3515" w:type="dxa"/>
            <w:tcMar>
              <w:top w:w="90" w:type="dxa"/>
              <w:left w:w="100" w:type="dxa"/>
              <w:bottom w:w="90" w:type="dxa"/>
              <w:right w:w="100" w:type="dxa"/>
            </w:tcMar>
            <w:vAlign w:val="center"/>
          </w:tcPr>
          <w:p w:rsidR="00903124" w:rsidRDefault="00C73A5E">
            <w:r>
              <w:rPr>
                <w:rFonts w:ascii="Times New Roman" w:eastAsia="Times New Roman" w:hAnsi="Times New Roman"/>
                <w:sz w:val="18"/>
              </w:rPr>
              <w:t>Age (per</w:t>
            </w:r>
            <w:r>
              <w:rPr>
                <w:rFonts w:ascii="Times New Roman" w:eastAsia="Times New Roman" w:hAnsi="Times New Roman"/>
                <w:sz w:val="18"/>
              </w:rPr>
              <w:t xml:space="preserve"> 10-year increase)</w:t>
            </w:r>
          </w:p>
        </w:tc>
        <w:tc>
          <w:tcPr>
            <w:tcW w:w="2268"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0.94 (0.68–1.31)</w:t>
            </w:r>
          </w:p>
        </w:tc>
        <w:tc>
          <w:tcPr>
            <w:tcW w:w="90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0.729</w:t>
            </w:r>
          </w:p>
        </w:tc>
        <w:tc>
          <w:tcPr>
            <w:tcW w:w="2268"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0.90 (0.69–1.18)</w:t>
            </w:r>
          </w:p>
        </w:tc>
        <w:tc>
          <w:tcPr>
            <w:tcW w:w="90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0.453</w:t>
            </w:r>
          </w:p>
        </w:tc>
      </w:tr>
      <w:tr w:rsidR="00903124">
        <w:trPr>
          <w:jc w:val="center"/>
        </w:trPr>
        <w:tc>
          <w:tcPr>
            <w:tcW w:w="3515" w:type="dxa"/>
            <w:tcMar>
              <w:top w:w="90" w:type="dxa"/>
              <w:left w:w="100" w:type="dxa"/>
              <w:bottom w:w="90" w:type="dxa"/>
              <w:right w:w="100" w:type="dxa"/>
            </w:tcMar>
            <w:vAlign w:val="center"/>
          </w:tcPr>
          <w:p w:rsidR="00903124" w:rsidRDefault="00C73A5E">
            <w:r>
              <w:rPr>
                <w:rFonts w:ascii="Times New Roman" w:eastAsia="Times New Roman" w:hAnsi="Times New Roman"/>
                <w:sz w:val="18"/>
              </w:rPr>
              <w:t>Male sex</w:t>
            </w:r>
          </w:p>
        </w:tc>
        <w:tc>
          <w:tcPr>
            <w:tcW w:w="2268"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0.55 (0.24–1.23)</w:t>
            </w:r>
          </w:p>
        </w:tc>
        <w:tc>
          <w:tcPr>
            <w:tcW w:w="90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0.144</w:t>
            </w:r>
          </w:p>
        </w:tc>
        <w:tc>
          <w:tcPr>
            <w:tcW w:w="2268"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0.50 (0.24–1.05)</w:t>
            </w:r>
          </w:p>
        </w:tc>
        <w:tc>
          <w:tcPr>
            <w:tcW w:w="90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0.066</w:t>
            </w:r>
          </w:p>
        </w:tc>
      </w:tr>
      <w:tr w:rsidR="00903124">
        <w:trPr>
          <w:jc w:val="center"/>
        </w:trPr>
        <w:tc>
          <w:tcPr>
            <w:tcW w:w="3515" w:type="dxa"/>
            <w:tcMar>
              <w:top w:w="90" w:type="dxa"/>
              <w:left w:w="100" w:type="dxa"/>
              <w:bottom w:w="90" w:type="dxa"/>
              <w:right w:w="100" w:type="dxa"/>
            </w:tcMar>
            <w:vAlign w:val="center"/>
          </w:tcPr>
          <w:p w:rsidR="00903124" w:rsidRDefault="00C73A5E">
            <w:r>
              <w:rPr>
                <w:rFonts w:ascii="Times New Roman" w:eastAsia="Times New Roman" w:hAnsi="Times New Roman"/>
                <w:sz w:val="18"/>
              </w:rPr>
              <w:t>Baseline NIHSS (per 1-point increase)</w:t>
            </w:r>
          </w:p>
        </w:tc>
        <w:tc>
          <w:tcPr>
            <w:tcW w:w="2268"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1.09 (1.01–1.17)</w:t>
            </w:r>
          </w:p>
        </w:tc>
        <w:tc>
          <w:tcPr>
            <w:tcW w:w="90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0.031</w:t>
            </w:r>
          </w:p>
        </w:tc>
        <w:tc>
          <w:tcPr>
            <w:tcW w:w="2268"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1.12 (1.05–1.20)</w:t>
            </w:r>
          </w:p>
        </w:tc>
        <w:tc>
          <w:tcPr>
            <w:tcW w:w="90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0.001</w:t>
            </w:r>
          </w:p>
        </w:tc>
      </w:tr>
      <w:tr w:rsidR="00903124">
        <w:trPr>
          <w:jc w:val="center"/>
        </w:trPr>
        <w:tc>
          <w:tcPr>
            <w:tcW w:w="3515" w:type="dxa"/>
            <w:tcMar>
              <w:top w:w="90" w:type="dxa"/>
              <w:left w:w="100" w:type="dxa"/>
              <w:bottom w:w="90" w:type="dxa"/>
              <w:right w:w="100" w:type="dxa"/>
            </w:tcMar>
            <w:vAlign w:val="center"/>
          </w:tcPr>
          <w:p w:rsidR="00903124" w:rsidRDefault="00C73A5E">
            <w:r>
              <w:rPr>
                <w:rFonts w:ascii="Times New Roman" w:eastAsia="Times New Roman" w:hAnsi="Times New Roman"/>
                <w:sz w:val="18"/>
              </w:rPr>
              <w:t>Diabetes</w:t>
            </w:r>
          </w:p>
        </w:tc>
        <w:tc>
          <w:tcPr>
            <w:tcW w:w="2268"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0.37 (0.04–3.35)</w:t>
            </w:r>
          </w:p>
        </w:tc>
        <w:tc>
          <w:tcPr>
            <w:tcW w:w="90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0.376</w:t>
            </w:r>
          </w:p>
        </w:tc>
        <w:tc>
          <w:tcPr>
            <w:tcW w:w="2268"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0.39 (0.04–3.48)</w:t>
            </w:r>
          </w:p>
        </w:tc>
        <w:tc>
          <w:tcPr>
            <w:tcW w:w="90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0.402</w:t>
            </w:r>
          </w:p>
        </w:tc>
      </w:tr>
      <w:tr w:rsidR="00903124">
        <w:trPr>
          <w:jc w:val="center"/>
        </w:trPr>
        <w:tc>
          <w:tcPr>
            <w:tcW w:w="3515" w:type="dxa"/>
            <w:tcMar>
              <w:top w:w="90" w:type="dxa"/>
              <w:left w:w="100" w:type="dxa"/>
              <w:bottom w:w="90" w:type="dxa"/>
              <w:right w:w="100" w:type="dxa"/>
            </w:tcMar>
            <w:vAlign w:val="center"/>
          </w:tcPr>
          <w:p w:rsidR="00903124" w:rsidRDefault="00C73A5E">
            <w:proofErr w:type="spellStart"/>
            <w:r>
              <w:rPr>
                <w:rFonts w:ascii="Times New Roman" w:eastAsia="Times New Roman" w:hAnsi="Times New Roman"/>
                <w:sz w:val="18"/>
              </w:rPr>
              <w:t>Cardioembolic</w:t>
            </w:r>
            <w:proofErr w:type="spellEnd"/>
            <w:r>
              <w:rPr>
                <w:rFonts w:ascii="Times New Roman" w:eastAsia="Times New Roman" w:hAnsi="Times New Roman"/>
                <w:sz w:val="18"/>
              </w:rPr>
              <w:t xml:space="preserve"> </w:t>
            </w:r>
            <w:proofErr w:type="spellStart"/>
            <w:r>
              <w:rPr>
                <w:rFonts w:ascii="Times New Roman" w:eastAsia="Times New Roman" w:hAnsi="Times New Roman"/>
                <w:sz w:val="18"/>
              </w:rPr>
              <w:t>aetiology</w:t>
            </w:r>
            <w:proofErr w:type="spellEnd"/>
          </w:p>
        </w:tc>
        <w:tc>
          <w:tcPr>
            <w:tcW w:w="2268"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1.19 (0.52–2.73)</w:t>
            </w:r>
          </w:p>
        </w:tc>
        <w:tc>
          <w:tcPr>
            <w:tcW w:w="90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0.685</w:t>
            </w:r>
          </w:p>
        </w:tc>
        <w:tc>
          <w:tcPr>
            <w:tcW w:w="2268"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1.20 (0.56–2.55)</w:t>
            </w:r>
          </w:p>
        </w:tc>
        <w:tc>
          <w:tcPr>
            <w:tcW w:w="90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0.637</w:t>
            </w:r>
          </w:p>
        </w:tc>
      </w:tr>
      <w:tr w:rsidR="00903124">
        <w:trPr>
          <w:jc w:val="center"/>
        </w:trPr>
        <w:tc>
          <w:tcPr>
            <w:tcW w:w="3515" w:type="dxa"/>
            <w:tcMar>
              <w:top w:w="90" w:type="dxa"/>
              <w:left w:w="100" w:type="dxa"/>
              <w:bottom w:w="90" w:type="dxa"/>
              <w:right w:w="100" w:type="dxa"/>
            </w:tcMar>
            <w:vAlign w:val="center"/>
          </w:tcPr>
          <w:p w:rsidR="00903124" w:rsidRDefault="00C73A5E">
            <w:r>
              <w:rPr>
                <w:rFonts w:ascii="Times New Roman" w:eastAsia="Times New Roman" w:hAnsi="Times New Roman"/>
                <w:sz w:val="18"/>
              </w:rPr>
              <w:t>Prior cerebrovascular disease</w:t>
            </w:r>
          </w:p>
        </w:tc>
        <w:tc>
          <w:tcPr>
            <w:tcW w:w="2268"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0.79 (0.29–2.12)</w:t>
            </w:r>
          </w:p>
        </w:tc>
        <w:tc>
          <w:tcPr>
            <w:tcW w:w="90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0.634</w:t>
            </w:r>
          </w:p>
        </w:tc>
        <w:tc>
          <w:tcPr>
            <w:tcW w:w="2268"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1.01 (0.42–2.40)</w:t>
            </w:r>
          </w:p>
        </w:tc>
        <w:tc>
          <w:tcPr>
            <w:tcW w:w="90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0.989</w:t>
            </w:r>
          </w:p>
        </w:tc>
      </w:tr>
      <w:tr w:rsidR="00903124">
        <w:trPr>
          <w:jc w:val="center"/>
        </w:trPr>
        <w:tc>
          <w:tcPr>
            <w:tcW w:w="3515" w:type="dxa"/>
            <w:tcMar>
              <w:top w:w="90" w:type="dxa"/>
              <w:left w:w="100" w:type="dxa"/>
              <w:bottom w:w="90" w:type="dxa"/>
              <w:right w:w="100" w:type="dxa"/>
            </w:tcMar>
            <w:vAlign w:val="center"/>
          </w:tcPr>
          <w:p w:rsidR="00903124" w:rsidRDefault="00C73A5E">
            <w:r>
              <w:rPr>
                <w:rFonts w:ascii="Times New Roman" w:eastAsia="Times New Roman" w:hAnsi="Times New Roman"/>
                <w:sz w:val="18"/>
              </w:rPr>
              <w:t>DPT &gt;12 h</w:t>
            </w:r>
          </w:p>
        </w:tc>
        <w:tc>
          <w:tcPr>
            <w:tcW w:w="2268"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0.41 (0.11–1.53)</w:t>
            </w:r>
          </w:p>
        </w:tc>
        <w:tc>
          <w:tcPr>
            <w:tcW w:w="90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0.184</w:t>
            </w:r>
          </w:p>
        </w:tc>
        <w:tc>
          <w:tcPr>
            <w:tcW w:w="2268"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0.54 (0.14–2.00)</w:t>
            </w:r>
          </w:p>
        </w:tc>
        <w:tc>
          <w:tcPr>
            <w:tcW w:w="90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0.354</w:t>
            </w:r>
          </w:p>
        </w:tc>
      </w:tr>
    </w:tbl>
    <w:p w:rsidR="00903124" w:rsidRDefault="00903124"/>
    <w:p w:rsidR="00903124" w:rsidRDefault="00C73A5E">
      <w:r>
        <w:rPr>
          <w:rFonts w:ascii="Times New Roman" w:eastAsia="Times New Roman" w:hAnsi="Times New Roman"/>
          <w:sz w:val="18"/>
        </w:rPr>
        <w:t xml:space="preserve">Footnote: The primary outcome retained the </w:t>
      </w:r>
      <w:r>
        <w:rPr>
          <w:rFonts w:ascii="Times New Roman" w:eastAsia="Times New Roman" w:hAnsi="Times New Roman"/>
          <w:sz w:val="18"/>
        </w:rPr>
        <w:t xml:space="preserve">original study definition of early neurological improvement (ENI), defined as a decrease in NIHSS of ≥8 points from baseline to 1 week or an absolute 1-week NIHSS score ≤1. Multiple </w:t>
      </w:r>
      <w:proofErr w:type="gramStart"/>
      <w:r>
        <w:rPr>
          <w:rFonts w:ascii="Times New Roman" w:eastAsia="Times New Roman" w:hAnsi="Times New Roman"/>
          <w:sz w:val="18"/>
        </w:rPr>
        <w:t>imputation</w:t>
      </w:r>
      <w:proofErr w:type="gramEnd"/>
      <w:r>
        <w:rPr>
          <w:rFonts w:ascii="Times New Roman" w:eastAsia="Times New Roman" w:hAnsi="Times New Roman"/>
          <w:sz w:val="18"/>
        </w:rPr>
        <w:t xml:space="preserve"> by chained equations was applied to incomplete baseline covaria</w:t>
      </w:r>
      <w:r>
        <w:rPr>
          <w:rFonts w:ascii="Times New Roman" w:eastAsia="Times New Roman" w:hAnsi="Times New Roman"/>
          <w:sz w:val="18"/>
        </w:rPr>
        <w:t xml:space="preserve">tes only, while outcome values were not imputed. The outcome-observed cohort comprised 185 patients, of whom 53 (28.6%) met the primary ENI definition; the corresponding complete-case model included 138 patients. Twenty imputed datasets were generated and </w:t>
      </w:r>
      <w:r>
        <w:rPr>
          <w:rFonts w:ascii="Times New Roman" w:eastAsia="Times New Roman" w:hAnsi="Times New Roman"/>
          <w:sz w:val="18"/>
        </w:rPr>
        <w:t xml:space="preserve">pooled using Rubin’s rules. This supplementary analysis is aligned with the overall study flow of 314 initially screened, 253 available in the final study database, and 185 in the primary complete-case model. </w:t>
      </w:r>
      <w:proofErr w:type="gramStart"/>
      <w:r>
        <w:rPr>
          <w:rFonts w:ascii="Times New Roman" w:eastAsia="Times New Roman" w:hAnsi="Times New Roman"/>
          <w:sz w:val="18"/>
        </w:rPr>
        <w:t>OR, odds ratio; CI, confidence interval; NIHSS,</w:t>
      </w:r>
      <w:r>
        <w:rPr>
          <w:rFonts w:ascii="Times New Roman" w:eastAsia="Times New Roman" w:hAnsi="Times New Roman"/>
          <w:sz w:val="18"/>
        </w:rPr>
        <w:t xml:space="preserve"> National Institutes of Health Stroke Scale.</w:t>
      </w:r>
      <w:proofErr w:type="gramEnd"/>
    </w:p>
    <w:p w:rsidR="00903124" w:rsidRDefault="00C73A5E">
      <w:r>
        <w:br w:type="page"/>
      </w:r>
    </w:p>
    <w:p w:rsidR="00903124" w:rsidRDefault="00C73A5E">
      <w:pPr>
        <w:jc w:val="center"/>
        <w:rPr>
          <w:b/>
          <w:bCs/>
        </w:rPr>
      </w:pPr>
      <w:r>
        <w:rPr>
          <w:b/>
          <w:bCs/>
        </w:rPr>
        <w:lastRenderedPageBreak/>
        <w:t>Supplementary Table S7</w:t>
      </w:r>
    </w:p>
    <w:p w:rsidR="00903124" w:rsidRDefault="00C73A5E">
      <w:pPr>
        <w:jc w:val="center"/>
      </w:pPr>
      <w:r>
        <w:t>Sensitivity analysis using an alternative ENI definition based on 4-point improvement</w:t>
      </w:r>
    </w:p>
    <w:p w:rsidR="00903124" w:rsidRDefault="00903124"/>
    <w:tbl>
      <w:tblPr>
        <w:tblW w:w="0" w:type="auto"/>
        <w:jc w:val="center"/>
        <w:tblBorders>
          <w:top w:val="single" w:sz="10" w:space="0" w:color="000000"/>
          <w:bottom w:val="single" w:sz="10" w:space="0" w:color="000000"/>
        </w:tblBorders>
        <w:tblLayout w:type="fixed"/>
        <w:tblLook w:val="04A0" w:firstRow="1" w:lastRow="0" w:firstColumn="1" w:lastColumn="0" w:noHBand="0" w:noVBand="1"/>
      </w:tblPr>
      <w:tblGrid>
        <w:gridCol w:w="3515"/>
        <w:gridCol w:w="1928"/>
        <w:gridCol w:w="907"/>
        <w:gridCol w:w="2154"/>
        <w:gridCol w:w="907"/>
        <w:gridCol w:w="2154"/>
        <w:gridCol w:w="907"/>
      </w:tblGrid>
      <w:tr w:rsidR="00903124">
        <w:trPr>
          <w:jc w:val="center"/>
        </w:trPr>
        <w:tc>
          <w:tcPr>
            <w:tcW w:w="3515" w:type="dxa"/>
            <w:tcBorders>
              <w:bottom w:val="single" w:sz="8" w:space="0" w:color="000000"/>
            </w:tcBorders>
            <w:tcMar>
              <w:top w:w="90" w:type="dxa"/>
              <w:left w:w="100" w:type="dxa"/>
              <w:bottom w:w="90" w:type="dxa"/>
              <w:right w:w="100" w:type="dxa"/>
            </w:tcMar>
            <w:vAlign w:val="center"/>
          </w:tcPr>
          <w:p w:rsidR="00903124" w:rsidRDefault="00C73A5E">
            <w:pPr>
              <w:jc w:val="center"/>
            </w:pPr>
            <w:r>
              <w:rPr>
                <w:rFonts w:ascii="Times New Roman" w:eastAsia="Times New Roman" w:hAnsi="Times New Roman"/>
                <w:b/>
                <w:sz w:val="18"/>
              </w:rPr>
              <w:t>Predictor</w:t>
            </w:r>
          </w:p>
        </w:tc>
        <w:tc>
          <w:tcPr>
            <w:tcW w:w="1928" w:type="dxa"/>
            <w:tcBorders>
              <w:bottom w:val="single" w:sz="8" w:space="0" w:color="000000"/>
            </w:tcBorders>
            <w:tcMar>
              <w:top w:w="90" w:type="dxa"/>
              <w:left w:w="100" w:type="dxa"/>
              <w:bottom w:w="90" w:type="dxa"/>
              <w:right w:w="100" w:type="dxa"/>
            </w:tcMar>
            <w:vAlign w:val="center"/>
          </w:tcPr>
          <w:p w:rsidR="00903124" w:rsidRDefault="00C73A5E">
            <w:pPr>
              <w:jc w:val="center"/>
            </w:pPr>
            <w:r>
              <w:rPr>
                <w:rFonts w:ascii="Times New Roman" w:eastAsia="Times New Roman" w:hAnsi="Times New Roman"/>
                <w:b/>
                <w:sz w:val="18"/>
              </w:rPr>
              <w:t>Crude OR (95% CI)</w:t>
            </w:r>
          </w:p>
        </w:tc>
        <w:tc>
          <w:tcPr>
            <w:tcW w:w="907" w:type="dxa"/>
            <w:tcBorders>
              <w:bottom w:val="single" w:sz="8" w:space="0" w:color="000000"/>
            </w:tcBorders>
            <w:tcMar>
              <w:top w:w="90" w:type="dxa"/>
              <w:left w:w="100" w:type="dxa"/>
              <w:bottom w:w="90" w:type="dxa"/>
              <w:right w:w="100" w:type="dxa"/>
            </w:tcMar>
            <w:vAlign w:val="center"/>
          </w:tcPr>
          <w:p w:rsidR="00903124" w:rsidRDefault="00C73A5E">
            <w:pPr>
              <w:jc w:val="center"/>
            </w:pPr>
            <w:r>
              <w:rPr>
                <w:rFonts w:ascii="Times New Roman" w:eastAsia="Times New Roman" w:hAnsi="Times New Roman"/>
                <w:b/>
                <w:sz w:val="18"/>
              </w:rPr>
              <w:t>P value</w:t>
            </w:r>
          </w:p>
        </w:tc>
        <w:tc>
          <w:tcPr>
            <w:tcW w:w="2154" w:type="dxa"/>
            <w:tcBorders>
              <w:bottom w:val="single" w:sz="8" w:space="0" w:color="000000"/>
            </w:tcBorders>
            <w:tcMar>
              <w:top w:w="90" w:type="dxa"/>
              <w:left w:w="100" w:type="dxa"/>
              <w:bottom w:w="90" w:type="dxa"/>
              <w:right w:w="100" w:type="dxa"/>
            </w:tcMar>
            <w:vAlign w:val="center"/>
          </w:tcPr>
          <w:p w:rsidR="00903124" w:rsidRDefault="00C73A5E">
            <w:pPr>
              <w:jc w:val="center"/>
            </w:pPr>
            <w:r>
              <w:rPr>
                <w:rFonts w:ascii="Times New Roman" w:eastAsia="Times New Roman" w:hAnsi="Times New Roman"/>
                <w:b/>
                <w:sz w:val="18"/>
              </w:rPr>
              <w:t>Adjusted OR (95% CI) – Model 1</w:t>
            </w:r>
          </w:p>
        </w:tc>
        <w:tc>
          <w:tcPr>
            <w:tcW w:w="907" w:type="dxa"/>
            <w:tcBorders>
              <w:bottom w:val="single" w:sz="8" w:space="0" w:color="000000"/>
            </w:tcBorders>
            <w:tcMar>
              <w:top w:w="90" w:type="dxa"/>
              <w:left w:w="100" w:type="dxa"/>
              <w:bottom w:w="90" w:type="dxa"/>
              <w:right w:w="100" w:type="dxa"/>
            </w:tcMar>
            <w:vAlign w:val="center"/>
          </w:tcPr>
          <w:p w:rsidR="00903124" w:rsidRDefault="00C73A5E">
            <w:pPr>
              <w:jc w:val="center"/>
            </w:pPr>
            <w:r>
              <w:rPr>
                <w:rFonts w:ascii="Times New Roman" w:eastAsia="Times New Roman" w:hAnsi="Times New Roman"/>
                <w:b/>
                <w:sz w:val="18"/>
              </w:rPr>
              <w:t xml:space="preserve">P value </w:t>
            </w:r>
          </w:p>
        </w:tc>
        <w:tc>
          <w:tcPr>
            <w:tcW w:w="2154" w:type="dxa"/>
            <w:tcBorders>
              <w:bottom w:val="single" w:sz="8" w:space="0" w:color="000000"/>
            </w:tcBorders>
            <w:tcMar>
              <w:top w:w="90" w:type="dxa"/>
              <w:left w:w="100" w:type="dxa"/>
              <w:bottom w:w="90" w:type="dxa"/>
              <w:right w:w="100" w:type="dxa"/>
            </w:tcMar>
            <w:vAlign w:val="center"/>
          </w:tcPr>
          <w:p w:rsidR="00903124" w:rsidRDefault="00C73A5E">
            <w:pPr>
              <w:jc w:val="center"/>
            </w:pPr>
            <w:r>
              <w:rPr>
                <w:rFonts w:ascii="Times New Roman" w:eastAsia="Times New Roman" w:hAnsi="Times New Roman"/>
                <w:b/>
                <w:sz w:val="18"/>
              </w:rPr>
              <w:t xml:space="preserve">Adjusted OR (95% CI) – </w:t>
            </w:r>
            <w:r>
              <w:rPr>
                <w:rFonts w:ascii="Times New Roman" w:eastAsia="Times New Roman" w:hAnsi="Times New Roman"/>
                <w:b/>
                <w:sz w:val="18"/>
              </w:rPr>
              <w:t>Model 2</w:t>
            </w:r>
          </w:p>
        </w:tc>
        <w:tc>
          <w:tcPr>
            <w:tcW w:w="907" w:type="dxa"/>
            <w:tcBorders>
              <w:bottom w:val="single" w:sz="8" w:space="0" w:color="000000"/>
            </w:tcBorders>
            <w:tcMar>
              <w:top w:w="90" w:type="dxa"/>
              <w:left w:w="100" w:type="dxa"/>
              <w:bottom w:w="90" w:type="dxa"/>
              <w:right w:w="100" w:type="dxa"/>
            </w:tcMar>
            <w:vAlign w:val="center"/>
          </w:tcPr>
          <w:p w:rsidR="00903124" w:rsidRDefault="00C73A5E">
            <w:pPr>
              <w:jc w:val="center"/>
            </w:pPr>
            <w:r>
              <w:rPr>
                <w:rFonts w:ascii="Times New Roman" w:eastAsia="Times New Roman" w:hAnsi="Times New Roman"/>
                <w:b/>
                <w:sz w:val="18"/>
              </w:rPr>
              <w:t xml:space="preserve">P value  </w:t>
            </w:r>
          </w:p>
        </w:tc>
      </w:tr>
      <w:tr w:rsidR="00903124">
        <w:trPr>
          <w:jc w:val="center"/>
        </w:trPr>
        <w:tc>
          <w:tcPr>
            <w:tcW w:w="3515" w:type="dxa"/>
            <w:tcMar>
              <w:top w:w="90" w:type="dxa"/>
              <w:left w:w="100" w:type="dxa"/>
              <w:bottom w:w="90" w:type="dxa"/>
              <w:right w:w="100" w:type="dxa"/>
            </w:tcMar>
            <w:vAlign w:val="center"/>
          </w:tcPr>
          <w:p w:rsidR="00903124" w:rsidRDefault="00C73A5E">
            <w:r>
              <w:rPr>
                <w:rFonts w:ascii="Times New Roman" w:eastAsia="Times New Roman" w:hAnsi="Times New Roman"/>
                <w:sz w:val="18"/>
              </w:rPr>
              <w:t>Age (per 10-year increase)</w:t>
            </w:r>
          </w:p>
        </w:tc>
        <w:tc>
          <w:tcPr>
            <w:tcW w:w="1928"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0.96 (0.73–1.26)</w:t>
            </w:r>
          </w:p>
        </w:tc>
        <w:tc>
          <w:tcPr>
            <w:tcW w:w="90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0.766</w:t>
            </w:r>
          </w:p>
        </w:tc>
        <w:tc>
          <w:tcPr>
            <w:tcW w:w="2154"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0.91 (0.68–1.22)</w:t>
            </w:r>
          </w:p>
        </w:tc>
        <w:tc>
          <w:tcPr>
            <w:tcW w:w="90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0.535</w:t>
            </w:r>
          </w:p>
        </w:tc>
        <w:tc>
          <w:tcPr>
            <w:tcW w:w="2154"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0.92 (0.68–1.23)</w:t>
            </w:r>
          </w:p>
        </w:tc>
        <w:tc>
          <w:tcPr>
            <w:tcW w:w="90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0.555</w:t>
            </w:r>
          </w:p>
        </w:tc>
      </w:tr>
      <w:tr w:rsidR="00903124">
        <w:trPr>
          <w:jc w:val="center"/>
        </w:trPr>
        <w:tc>
          <w:tcPr>
            <w:tcW w:w="3515" w:type="dxa"/>
            <w:tcMar>
              <w:top w:w="90" w:type="dxa"/>
              <w:left w:w="100" w:type="dxa"/>
              <w:bottom w:w="90" w:type="dxa"/>
              <w:right w:w="100" w:type="dxa"/>
            </w:tcMar>
            <w:vAlign w:val="center"/>
          </w:tcPr>
          <w:p w:rsidR="00903124" w:rsidRDefault="00C73A5E">
            <w:r>
              <w:rPr>
                <w:rFonts w:ascii="Times New Roman" w:eastAsia="Times New Roman" w:hAnsi="Times New Roman"/>
                <w:sz w:val="18"/>
              </w:rPr>
              <w:t>Male sex</w:t>
            </w:r>
          </w:p>
        </w:tc>
        <w:tc>
          <w:tcPr>
            <w:tcW w:w="1928"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0.83 (0.42–1.66)</w:t>
            </w:r>
          </w:p>
        </w:tc>
        <w:tc>
          <w:tcPr>
            <w:tcW w:w="90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0.597</w:t>
            </w:r>
          </w:p>
        </w:tc>
        <w:tc>
          <w:tcPr>
            <w:tcW w:w="2154"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0.76 (0.36–1.59)</w:t>
            </w:r>
          </w:p>
        </w:tc>
        <w:tc>
          <w:tcPr>
            <w:tcW w:w="90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0.465</w:t>
            </w:r>
          </w:p>
        </w:tc>
        <w:tc>
          <w:tcPr>
            <w:tcW w:w="2154"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0.76 (0.36–1.60)</w:t>
            </w:r>
          </w:p>
        </w:tc>
        <w:tc>
          <w:tcPr>
            <w:tcW w:w="90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0.474</w:t>
            </w:r>
          </w:p>
        </w:tc>
      </w:tr>
      <w:tr w:rsidR="00903124">
        <w:trPr>
          <w:jc w:val="center"/>
        </w:trPr>
        <w:tc>
          <w:tcPr>
            <w:tcW w:w="3515" w:type="dxa"/>
            <w:tcMar>
              <w:top w:w="90" w:type="dxa"/>
              <w:left w:w="100" w:type="dxa"/>
              <w:bottom w:w="90" w:type="dxa"/>
              <w:right w:w="100" w:type="dxa"/>
            </w:tcMar>
            <w:vAlign w:val="center"/>
          </w:tcPr>
          <w:p w:rsidR="00903124" w:rsidRDefault="00C73A5E">
            <w:r>
              <w:rPr>
                <w:rFonts w:ascii="Times New Roman" w:eastAsia="Times New Roman" w:hAnsi="Times New Roman"/>
                <w:sz w:val="18"/>
              </w:rPr>
              <w:t>Baseline NIHSS (per 1-point increase)</w:t>
            </w:r>
          </w:p>
        </w:tc>
        <w:tc>
          <w:tcPr>
            <w:tcW w:w="1928"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1.06 (0.99–1.13)</w:t>
            </w:r>
          </w:p>
        </w:tc>
        <w:tc>
          <w:tcPr>
            <w:tcW w:w="90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0.092</w:t>
            </w:r>
          </w:p>
        </w:tc>
        <w:tc>
          <w:tcPr>
            <w:tcW w:w="2154"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1.06 (0.99–1.13)</w:t>
            </w:r>
          </w:p>
        </w:tc>
        <w:tc>
          <w:tcPr>
            <w:tcW w:w="90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0.107</w:t>
            </w:r>
          </w:p>
        </w:tc>
        <w:tc>
          <w:tcPr>
            <w:tcW w:w="2154"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1.06 (0.99–1.13)</w:t>
            </w:r>
          </w:p>
        </w:tc>
        <w:tc>
          <w:tcPr>
            <w:tcW w:w="90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0.110</w:t>
            </w:r>
          </w:p>
        </w:tc>
      </w:tr>
      <w:tr w:rsidR="00903124">
        <w:trPr>
          <w:jc w:val="center"/>
        </w:trPr>
        <w:tc>
          <w:tcPr>
            <w:tcW w:w="3515" w:type="dxa"/>
            <w:tcMar>
              <w:top w:w="90" w:type="dxa"/>
              <w:left w:w="100" w:type="dxa"/>
              <w:bottom w:w="90" w:type="dxa"/>
              <w:right w:w="100" w:type="dxa"/>
            </w:tcMar>
            <w:vAlign w:val="center"/>
          </w:tcPr>
          <w:p w:rsidR="00903124" w:rsidRDefault="00C73A5E">
            <w:r>
              <w:rPr>
                <w:rFonts w:ascii="Times New Roman" w:eastAsia="Times New Roman" w:hAnsi="Times New Roman"/>
                <w:sz w:val="18"/>
              </w:rPr>
              <w:t>Diabetes</w:t>
            </w:r>
          </w:p>
        </w:tc>
        <w:tc>
          <w:tcPr>
            <w:tcW w:w="1928"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0.38 (0.07–2.04)</w:t>
            </w:r>
          </w:p>
        </w:tc>
        <w:tc>
          <w:tcPr>
            <w:tcW w:w="90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0.260</w:t>
            </w:r>
          </w:p>
        </w:tc>
        <w:tc>
          <w:tcPr>
            <w:tcW w:w="2154"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0.41 (0.08–2.29)</w:t>
            </w:r>
          </w:p>
        </w:tc>
        <w:tc>
          <w:tcPr>
            <w:tcW w:w="90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0.313</w:t>
            </w:r>
          </w:p>
        </w:tc>
        <w:tc>
          <w:tcPr>
            <w:tcW w:w="2154"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0.40 (0.07–2.23)</w:t>
            </w:r>
          </w:p>
        </w:tc>
        <w:tc>
          <w:tcPr>
            <w:tcW w:w="90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0.296</w:t>
            </w:r>
          </w:p>
        </w:tc>
      </w:tr>
      <w:tr w:rsidR="00903124">
        <w:trPr>
          <w:jc w:val="center"/>
        </w:trPr>
        <w:tc>
          <w:tcPr>
            <w:tcW w:w="3515" w:type="dxa"/>
            <w:tcMar>
              <w:top w:w="90" w:type="dxa"/>
              <w:left w:w="100" w:type="dxa"/>
              <w:bottom w:w="90" w:type="dxa"/>
              <w:right w:w="100" w:type="dxa"/>
            </w:tcMar>
            <w:vAlign w:val="center"/>
          </w:tcPr>
          <w:p w:rsidR="00903124" w:rsidRDefault="00C73A5E">
            <w:proofErr w:type="spellStart"/>
            <w:r>
              <w:rPr>
                <w:rFonts w:ascii="Times New Roman" w:eastAsia="Times New Roman" w:hAnsi="Times New Roman"/>
                <w:sz w:val="18"/>
              </w:rPr>
              <w:t>Cardioembolic</w:t>
            </w:r>
            <w:proofErr w:type="spellEnd"/>
            <w:r>
              <w:rPr>
                <w:rFonts w:ascii="Times New Roman" w:eastAsia="Times New Roman" w:hAnsi="Times New Roman"/>
                <w:sz w:val="18"/>
              </w:rPr>
              <w:t xml:space="preserve"> </w:t>
            </w:r>
            <w:proofErr w:type="spellStart"/>
            <w:r>
              <w:rPr>
                <w:rFonts w:ascii="Times New Roman" w:eastAsia="Times New Roman" w:hAnsi="Times New Roman"/>
                <w:sz w:val="18"/>
              </w:rPr>
              <w:t>aetiology</w:t>
            </w:r>
            <w:proofErr w:type="spellEnd"/>
          </w:p>
        </w:tc>
        <w:tc>
          <w:tcPr>
            <w:tcW w:w="1928"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1.14 (0.56–2.29)</w:t>
            </w:r>
          </w:p>
        </w:tc>
        <w:tc>
          <w:tcPr>
            <w:tcW w:w="90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0.721</w:t>
            </w:r>
          </w:p>
        </w:tc>
        <w:tc>
          <w:tcPr>
            <w:tcW w:w="2154"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1.09 (0.52–2.28)</w:t>
            </w:r>
          </w:p>
        </w:tc>
        <w:tc>
          <w:tcPr>
            <w:tcW w:w="90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0.829</w:t>
            </w:r>
          </w:p>
        </w:tc>
        <w:tc>
          <w:tcPr>
            <w:tcW w:w="2154"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1.05 (0.49–2.24)</w:t>
            </w:r>
          </w:p>
        </w:tc>
        <w:tc>
          <w:tcPr>
            <w:tcW w:w="90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0.895</w:t>
            </w:r>
          </w:p>
        </w:tc>
      </w:tr>
      <w:tr w:rsidR="00903124">
        <w:trPr>
          <w:jc w:val="center"/>
        </w:trPr>
        <w:tc>
          <w:tcPr>
            <w:tcW w:w="3515" w:type="dxa"/>
            <w:tcMar>
              <w:top w:w="90" w:type="dxa"/>
              <w:left w:w="100" w:type="dxa"/>
              <w:bottom w:w="90" w:type="dxa"/>
              <w:right w:w="100" w:type="dxa"/>
            </w:tcMar>
            <w:vAlign w:val="center"/>
          </w:tcPr>
          <w:p w:rsidR="00903124" w:rsidRDefault="00C73A5E">
            <w:r>
              <w:rPr>
                <w:rFonts w:ascii="Times New Roman" w:eastAsia="Times New Roman" w:hAnsi="Times New Roman"/>
                <w:sz w:val="18"/>
              </w:rPr>
              <w:t>Prior cerebrovascular disease</w:t>
            </w:r>
          </w:p>
        </w:tc>
        <w:tc>
          <w:tcPr>
            <w:tcW w:w="1928"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 xml:space="preserve">0.91 </w:t>
            </w:r>
            <w:r>
              <w:rPr>
                <w:rFonts w:ascii="Times New Roman" w:eastAsia="Times New Roman" w:hAnsi="Times New Roman"/>
                <w:sz w:val="18"/>
              </w:rPr>
              <w:t>(0.39–2.12)</w:t>
            </w:r>
          </w:p>
        </w:tc>
        <w:tc>
          <w:tcPr>
            <w:tcW w:w="90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0.830</w:t>
            </w:r>
          </w:p>
        </w:tc>
        <w:tc>
          <w:tcPr>
            <w:tcW w:w="2154"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0.87 (0.37–2.05)</w:t>
            </w:r>
          </w:p>
        </w:tc>
        <w:tc>
          <w:tcPr>
            <w:tcW w:w="90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0.742</w:t>
            </w:r>
          </w:p>
        </w:tc>
        <w:tc>
          <w:tcPr>
            <w:tcW w:w="2154"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0.87 (0.37–2.07)</w:t>
            </w:r>
          </w:p>
        </w:tc>
        <w:tc>
          <w:tcPr>
            <w:tcW w:w="90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0.757</w:t>
            </w:r>
          </w:p>
        </w:tc>
      </w:tr>
      <w:tr w:rsidR="00903124">
        <w:trPr>
          <w:jc w:val="center"/>
        </w:trPr>
        <w:tc>
          <w:tcPr>
            <w:tcW w:w="3515" w:type="dxa"/>
            <w:tcMar>
              <w:top w:w="90" w:type="dxa"/>
              <w:left w:w="100" w:type="dxa"/>
              <w:bottom w:w="90" w:type="dxa"/>
              <w:right w:w="100" w:type="dxa"/>
            </w:tcMar>
            <w:vAlign w:val="center"/>
          </w:tcPr>
          <w:p w:rsidR="00903124" w:rsidRDefault="00C73A5E">
            <w:r>
              <w:rPr>
                <w:rFonts w:ascii="Times New Roman" w:eastAsia="Times New Roman" w:hAnsi="Times New Roman"/>
                <w:sz w:val="18"/>
              </w:rPr>
              <w:t>DPT &gt;12 h</w:t>
            </w:r>
          </w:p>
        </w:tc>
        <w:tc>
          <w:tcPr>
            <w:tcW w:w="1928"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0.79 (0.31–2.05)</w:t>
            </w:r>
          </w:p>
        </w:tc>
        <w:tc>
          <w:tcPr>
            <w:tcW w:w="90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0.629</w:t>
            </w:r>
          </w:p>
        </w:tc>
        <w:tc>
          <w:tcPr>
            <w:tcW w:w="2154"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w:t>
            </w:r>
          </w:p>
        </w:tc>
        <w:tc>
          <w:tcPr>
            <w:tcW w:w="90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w:t>
            </w:r>
          </w:p>
        </w:tc>
        <w:tc>
          <w:tcPr>
            <w:tcW w:w="2154"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0.80 (0.30–2.14)</w:t>
            </w:r>
          </w:p>
        </w:tc>
        <w:tc>
          <w:tcPr>
            <w:tcW w:w="90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0.657</w:t>
            </w:r>
          </w:p>
        </w:tc>
      </w:tr>
    </w:tbl>
    <w:p w:rsidR="00903124" w:rsidRDefault="00903124"/>
    <w:p w:rsidR="00903124" w:rsidRDefault="00C73A5E">
      <w:r>
        <w:rPr>
          <w:rFonts w:ascii="Times New Roman" w:eastAsia="Times New Roman" w:hAnsi="Times New Roman"/>
          <w:sz w:val="18"/>
        </w:rPr>
        <w:t xml:space="preserve">Footnote: ENI-4 was defined as a decrease in NIHSS of ≥4 points from baseline to 1 week, or an absolute 1-week NIHSS score ≤1. </w:t>
      </w:r>
      <w:r>
        <w:rPr>
          <w:rFonts w:ascii="Times New Roman" w:eastAsia="Times New Roman" w:hAnsi="Times New Roman"/>
          <w:sz w:val="18"/>
        </w:rPr>
        <w:t xml:space="preserve">Model 1 includes age (per 10-year increase), sex, baseline NIHSS, diabetes, </w:t>
      </w:r>
      <w:proofErr w:type="spellStart"/>
      <w:r>
        <w:rPr>
          <w:rFonts w:ascii="Times New Roman" w:eastAsia="Times New Roman" w:hAnsi="Times New Roman"/>
          <w:sz w:val="18"/>
        </w:rPr>
        <w:t>cardioembolic</w:t>
      </w:r>
      <w:proofErr w:type="spellEnd"/>
      <w:r>
        <w:rPr>
          <w:rFonts w:ascii="Times New Roman" w:eastAsia="Times New Roman" w:hAnsi="Times New Roman"/>
          <w:sz w:val="18"/>
        </w:rPr>
        <w:t xml:space="preserve"> </w:t>
      </w:r>
      <w:proofErr w:type="spellStart"/>
      <w:r>
        <w:rPr>
          <w:rFonts w:ascii="Times New Roman" w:eastAsia="Times New Roman" w:hAnsi="Times New Roman"/>
          <w:sz w:val="18"/>
        </w:rPr>
        <w:t>aetiology</w:t>
      </w:r>
      <w:proofErr w:type="spellEnd"/>
      <w:r>
        <w:rPr>
          <w:rFonts w:ascii="Times New Roman" w:eastAsia="Times New Roman" w:hAnsi="Times New Roman"/>
          <w:sz w:val="18"/>
        </w:rPr>
        <w:t xml:space="preserve">, and prior cerebrovascular disease. Model 2 additionally includes door-to-puncture time (DPT) &gt;12 h. The analysis was performed in the complete-case cohort </w:t>
      </w:r>
      <w:r>
        <w:rPr>
          <w:rFonts w:ascii="Times New Roman" w:eastAsia="Times New Roman" w:hAnsi="Times New Roman"/>
          <w:sz w:val="18"/>
        </w:rPr>
        <w:t xml:space="preserve">with non-missing values for the outcome and </w:t>
      </w:r>
      <w:proofErr w:type="spellStart"/>
      <w:r>
        <w:rPr>
          <w:rFonts w:ascii="Times New Roman" w:eastAsia="Times New Roman" w:hAnsi="Times New Roman"/>
          <w:sz w:val="18"/>
        </w:rPr>
        <w:t>prespecified</w:t>
      </w:r>
      <w:proofErr w:type="spellEnd"/>
      <w:r>
        <w:rPr>
          <w:rFonts w:ascii="Times New Roman" w:eastAsia="Times New Roman" w:hAnsi="Times New Roman"/>
          <w:sz w:val="18"/>
        </w:rPr>
        <w:t xml:space="preserve"> model variables (n = 138); 69 patients (50.0%) met the ENI-4 definition. This supplementary analysis is aligned with the study flow of 314 initially screened, 253 available in the final study databas</w:t>
      </w:r>
      <w:r>
        <w:rPr>
          <w:rFonts w:ascii="Times New Roman" w:eastAsia="Times New Roman" w:hAnsi="Times New Roman"/>
          <w:sz w:val="18"/>
        </w:rPr>
        <w:t xml:space="preserve">e, and 185 in the primary complete-case model. </w:t>
      </w:r>
      <w:proofErr w:type="gramStart"/>
      <w:r>
        <w:rPr>
          <w:rFonts w:ascii="Times New Roman" w:eastAsia="Times New Roman" w:hAnsi="Times New Roman"/>
          <w:sz w:val="18"/>
        </w:rPr>
        <w:t>OR, odds ratio; CI, confidence interval; NIHSS, National Institutes of Health Stroke Scale; DPT, door-to-puncture time.</w:t>
      </w:r>
      <w:proofErr w:type="gramEnd"/>
    </w:p>
    <w:p w:rsidR="00903124" w:rsidRDefault="00C73A5E">
      <w:r>
        <w:br w:type="page"/>
      </w:r>
    </w:p>
    <w:p w:rsidR="00903124" w:rsidRDefault="00C73A5E">
      <w:pPr>
        <w:jc w:val="center"/>
        <w:rPr>
          <w:b/>
          <w:bCs/>
        </w:rPr>
      </w:pPr>
      <w:r>
        <w:rPr>
          <w:b/>
          <w:bCs/>
        </w:rPr>
        <w:lastRenderedPageBreak/>
        <w:t>Supplementary Table S8</w:t>
      </w:r>
    </w:p>
    <w:p w:rsidR="00903124" w:rsidRDefault="00C73A5E">
      <w:pPr>
        <w:jc w:val="center"/>
      </w:pPr>
      <w:r>
        <w:t>Sensitivity analysis using 48-hour neurological improvement as a</w:t>
      </w:r>
      <w:r>
        <w:t>n alternative early outcome</w:t>
      </w:r>
    </w:p>
    <w:p w:rsidR="00903124" w:rsidRDefault="00903124"/>
    <w:tbl>
      <w:tblPr>
        <w:tblW w:w="0" w:type="auto"/>
        <w:jc w:val="center"/>
        <w:tblBorders>
          <w:top w:val="single" w:sz="10" w:space="0" w:color="000000"/>
          <w:bottom w:val="single" w:sz="10" w:space="0" w:color="000000"/>
        </w:tblBorders>
        <w:tblLayout w:type="fixed"/>
        <w:tblLook w:val="04A0" w:firstRow="1" w:lastRow="0" w:firstColumn="1" w:lastColumn="0" w:noHBand="0" w:noVBand="1"/>
      </w:tblPr>
      <w:tblGrid>
        <w:gridCol w:w="3515"/>
        <w:gridCol w:w="1928"/>
        <w:gridCol w:w="907"/>
        <w:gridCol w:w="2154"/>
        <w:gridCol w:w="907"/>
        <w:gridCol w:w="2154"/>
        <w:gridCol w:w="907"/>
      </w:tblGrid>
      <w:tr w:rsidR="00903124">
        <w:trPr>
          <w:jc w:val="center"/>
        </w:trPr>
        <w:tc>
          <w:tcPr>
            <w:tcW w:w="3515" w:type="dxa"/>
            <w:tcBorders>
              <w:bottom w:val="single" w:sz="8" w:space="0" w:color="000000"/>
            </w:tcBorders>
            <w:tcMar>
              <w:top w:w="90" w:type="dxa"/>
              <w:left w:w="100" w:type="dxa"/>
              <w:bottom w:w="90" w:type="dxa"/>
              <w:right w:w="100" w:type="dxa"/>
            </w:tcMar>
            <w:vAlign w:val="center"/>
          </w:tcPr>
          <w:p w:rsidR="00903124" w:rsidRDefault="00C73A5E">
            <w:pPr>
              <w:jc w:val="center"/>
            </w:pPr>
            <w:r>
              <w:rPr>
                <w:rFonts w:ascii="Times New Roman" w:eastAsia="Times New Roman" w:hAnsi="Times New Roman"/>
                <w:b/>
                <w:sz w:val="18"/>
              </w:rPr>
              <w:t>Predictor</w:t>
            </w:r>
          </w:p>
        </w:tc>
        <w:tc>
          <w:tcPr>
            <w:tcW w:w="1928" w:type="dxa"/>
            <w:tcBorders>
              <w:bottom w:val="single" w:sz="8" w:space="0" w:color="000000"/>
            </w:tcBorders>
            <w:tcMar>
              <w:top w:w="90" w:type="dxa"/>
              <w:left w:w="100" w:type="dxa"/>
              <w:bottom w:w="90" w:type="dxa"/>
              <w:right w:w="100" w:type="dxa"/>
            </w:tcMar>
            <w:vAlign w:val="center"/>
          </w:tcPr>
          <w:p w:rsidR="00903124" w:rsidRDefault="00C73A5E">
            <w:pPr>
              <w:jc w:val="center"/>
            </w:pPr>
            <w:r>
              <w:rPr>
                <w:rFonts w:ascii="Times New Roman" w:eastAsia="Times New Roman" w:hAnsi="Times New Roman"/>
                <w:b/>
                <w:sz w:val="18"/>
              </w:rPr>
              <w:t>Crude OR (95% CI)</w:t>
            </w:r>
          </w:p>
        </w:tc>
        <w:tc>
          <w:tcPr>
            <w:tcW w:w="907" w:type="dxa"/>
            <w:tcBorders>
              <w:bottom w:val="single" w:sz="8" w:space="0" w:color="000000"/>
            </w:tcBorders>
            <w:tcMar>
              <w:top w:w="90" w:type="dxa"/>
              <w:left w:w="100" w:type="dxa"/>
              <w:bottom w:w="90" w:type="dxa"/>
              <w:right w:w="100" w:type="dxa"/>
            </w:tcMar>
            <w:vAlign w:val="center"/>
          </w:tcPr>
          <w:p w:rsidR="00903124" w:rsidRDefault="00C73A5E">
            <w:pPr>
              <w:jc w:val="center"/>
            </w:pPr>
            <w:r>
              <w:rPr>
                <w:rFonts w:ascii="Times New Roman" w:eastAsia="Times New Roman" w:hAnsi="Times New Roman"/>
                <w:b/>
                <w:sz w:val="18"/>
              </w:rPr>
              <w:t>P value</w:t>
            </w:r>
          </w:p>
        </w:tc>
        <w:tc>
          <w:tcPr>
            <w:tcW w:w="2154" w:type="dxa"/>
            <w:tcBorders>
              <w:bottom w:val="single" w:sz="8" w:space="0" w:color="000000"/>
            </w:tcBorders>
            <w:tcMar>
              <w:top w:w="90" w:type="dxa"/>
              <w:left w:w="100" w:type="dxa"/>
              <w:bottom w:w="90" w:type="dxa"/>
              <w:right w:w="100" w:type="dxa"/>
            </w:tcMar>
            <w:vAlign w:val="center"/>
          </w:tcPr>
          <w:p w:rsidR="00903124" w:rsidRDefault="00C73A5E">
            <w:pPr>
              <w:jc w:val="center"/>
            </w:pPr>
            <w:r>
              <w:rPr>
                <w:rFonts w:ascii="Times New Roman" w:eastAsia="Times New Roman" w:hAnsi="Times New Roman"/>
                <w:b/>
                <w:sz w:val="18"/>
              </w:rPr>
              <w:t>Adjusted OR (95% CI) – Model 1</w:t>
            </w:r>
          </w:p>
        </w:tc>
        <w:tc>
          <w:tcPr>
            <w:tcW w:w="907" w:type="dxa"/>
            <w:tcBorders>
              <w:bottom w:val="single" w:sz="8" w:space="0" w:color="000000"/>
            </w:tcBorders>
            <w:tcMar>
              <w:top w:w="90" w:type="dxa"/>
              <w:left w:w="100" w:type="dxa"/>
              <w:bottom w:w="90" w:type="dxa"/>
              <w:right w:w="100" w:type="dxa"/>
            </w:tcMar>
            <w:vAlign w:val="center"/>
          </w:tcPr>
          <w:p w:rsidR="00903124" w:rsidRDefault="00C73A5E">
            <w:pPr>
              <w:jc w:val="center"/>
            </w:pPr>
            <w:r>
              <w:rPr>
                <w:rFonts w:ascii="Times New Roman" w:eastAsia="Times New Roman" w:hAnsi="Times New Roman"/>
                <w:b/>
                <w:sz w:val="18"/>
              </w:rPr>
              <w:t xml:space="preserve">P value </w:t>
            </w:r>
          </w:p>
        </w:tc>
        <w:tc>
          <w:tcPr>
            <w:tcW w:w="2154" w:type="dxa"/>
            <w:tcBorders>
              <w:bottom w:val="single" w:sz="8" w:space="0" w:color="000000"/>
            </w:tcBorders>
            <w:tcMar>
              <w:top w:w="90" w:type="dxa"/>
              <w:left w:w="100" w:type="dxa"/>
              <w:bottom w:w="90" w:type="dxa"/>
              <w:right w:w="100" w:type="dxa"/>
            </w:tcMar>
            <w:vAlign w:val="center"/>
          </w:tcPr>
          <w:p w:rsidR="00903124" w:rsidRDefault="00C73A5E">
            <w:pPr>
              <w:jc w:val="center"/>
            </w:pPr>
            <w:r>
              <w:rPr>
                <w:rFonts w:ascii="Times New Roman" w:eastAsia="Times New Roman" w:hAnsi="Times New Roman"/>
                <w:b/>
                <w:sz w:val="18"/>
              </w:rPr>
              <w:t>Adjusted OR (95% CI) – Model 2</w:t>
            </w:r>
          </w:p>
        </w:tc>
        <w:tc>
          <w:tcPr>
            <w:tcW w:w="907" w:type="dxa"/>
            <w:tcBorders>
              <w:bottom w:val="single" w:sz="8" w:space="0" w:color="000000"/>
            </w:tcBorders>
            <w:tcMar>
              <w:top w:w="90" w:type="dxa"/>
              <w:left w:w="100" w:type="dxa"/>
              <w:bottom w:w="90" w:type="dxa"/>
              <w:right w:w="100" w:type="dxa"/>
            </w:tcMar>
            <w:vAlign w:val="center"/>
          </w:tcPr>
          <w:p w:rsidR="00903124" w:rsidRDefault="00C73A5E">
            <w:pPr>
              <w:jc w:val="center"/>
            </w:pPr>
            <w:r>
              <w:rPr>
                <w:rFonts w:ascii="Times New Roman" w:eastAsia="Times New Roman" w:hAnsi="Times New Roman"/>
                <w:b/>
                <w:sz w:val="18"/>
              </w:rPr>
              <w:t xml:space="preserve">P value  </w:t>
            </w:r>
          </w:p>
        </w:tc>
      </w:tr>
      <w:tr w:rsidR="00903124">
        <w:trPr>
          <w:jc w:val="center"/>
        </w:trPr>
        <w:tc>
          <w:tcPr>
            <w:tcW w:w="3515" w:type="dxa"/>
            <w:tcMar>
              <w:top w:w="90" w:type="dxa"/>
              <w:left w:w="100" w:type="dxa"/>
              <w:bottom w:w="90" w:type="dxa"/>
              <w:right w:w="100" w:type="dxa"/>
            </w:tcMar>
            <w:vAlign w:val="center"/>
          </w:tcPr>
          <w:p w:rsidR="00903124" w:rsidRDefault="00C73A5E">
            <w:r>
              <w:rPr>
                <w:rFonts w:ascii="Times New Roman" w:eastAsia="Times New Roman" w:hAnsi="Times New Roman"/>
                <w:sz w:val="18"/>
              </w:rPr>
              <w:t>Age (per 10-year increase)</w:t>
            </w:r>
          </w:p>
        </w:tc>
        <w:tc>
          <w:tcPr>
            <w:tcW w:w="1928"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0.92 (0.69–1.22)</w:t>
            </w:r>
          </w:p>
        </w:tc>
        <w:tc>
          <w:tcPr>
            <w:tcW w:w="90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0.557</w:t>
            </w:r>
          </w:p>
        </w:tc>
        <w:tc>
          <w:tcPr>
            <w:tcW w:w="2154"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0.83 (0.61–1.12)</w:t>
            </w:r>
          </w:p>
        </w:tc>
        <w:tc>
          <w:tcPr>
            <w:tcW w:w="90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0.220</w:t>
            </w:r>
          </w:p>
        </w:tc>
        <w:tc>
          <w:tcPr>
            <w:tcW w:w="2154"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0.83 (0.61–1.13)</w:t>
            </w:r>
          </w:p>
        </w:tc>
        <w:tc>
          <w:tcPr>
            <w:tcW w:w="90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0.230</w:t>
            </w:r>
          </w:p>
        </w:tc>
      </w:tr>
      <w:tr w:rsidR="00903124">
        <w:trPr>
          <w:jc w:val="center"/>
        </w:trPr>
        <w:tc>
          <w:tcPr>
            <w:tcW w:w="3515" w:type="dxa"/>
            <w:tcMar>
              <w:top w:w="90" w:type="dxa"/>
              <w:left w:w="100" w:type="dxa"/>
              <w:bottom w:w="90" w:type="dxa"/>
              <w:right w:w="100" w:type="dxa"/>
            </w:tcMar>
            <w:vAlign w:val="center"/>
          </w:tcPr>
          <w:p w:rsidR="00903124" w:rsidRDefault="00C73A5E">
            <w:r>
              <w:rPr>
                <w:rFonts w:ascii="Times New Roman" w:eastAsia="Times New Roman" w:hAnsi="Times New Roman"/>
                <w:sz w:val="18"/>
              </w:rPr>
              <w:t>Male sex</w:t>
            </w:r>
          </w:p>
        </w:tc>
        <w:tc>
          <w:tcPr>
            <w:tcW w:w="1928"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0.85 (0.41–1.77)</w:t>
            </w:r>
          </w:p>
        </w:tc>
        <w:tc>
          <w:tcPr>
            <w:tcW w:w="90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0.673</w:t>
            </w:r>
          </w:p>
        </w:tc>
        <w:tc>
          <w:tcPr>
            <w:tcW w:w="2154"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0.84 (0.39–1.83)</w:t>
            </w:r>
          </w:p>
        </w:tc>
        <w:tc>
          <w:tcPr>
            <w:tcW w:w="90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0.669</w:t>
            </w:r>
          </w:p>
        </w:tc>
        <w:tc>
          <w:tcPr>
            <w:tcW w:w="2154"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0.82 (0.37–1.81)</w:t>
            </w:r>
          </w:p>
        </w:tc>
        <w:tc>
          <w:tcPr>
            <w:tcW w:w="90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0.627</w:t>
            </w:r>
          </w:p>
        </w:tc>
      </w:tr>
      <w:tr w:rsidR="00903124">
        <w:trPr>
          <w:jc w:val="center"/>
        </w:trPr>
        <w:tc>
          <w:tcPr>
            <w:tcW w:w="3515" w:type="dxa"/>
            <w:tcMar>
              <w:top w:w="90" w:type="dxa"/>
              <w:left w:w="100" w:type="dxa"/>
              <w:bottom w:w="90" w:type="dxa"/>
              <w:right w:w="100" w:type="dxa"/>
            </w:tcMar>
            <w:vAlign w:val="center"/>
          </w:tcPr>
          <w:p w:rsidR="00903124" w:rsidRDefault="00C73A5E">
            <w:r>
              <w:rPr>
                <w:rFonts w:ascii="Times New Roman" w:eastAsia="Times New Roman" w:hAnsi="Times New Roman"/>
                <w:sz w:val="18"/>
              </w:rPr>
              <w:t>Baseline NIHSS (per 1-point increase)</w:t>
            </w:r>
          </w:p>
        </w:tc>
        <w:tc>
          <w:tcPr>
            <w:tcW w:w="1928"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1.02 (0.96–1.10)</w:t>
            </w:r>
          </w:p>
        </w:tc>
        <w:tc>
          <w:tcPr>
            <w:tcW w:w="90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0.483</w:t>
            </w:r>
          </w:p>
        </w:tc>
        <w:tc>
          <w:tcPr>
            <w:tcW w:w="2154"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1.02 (0.95–1.10)</w:t>
            </w:r>
          </w:p>
        </w:tc>
        <w:tc>
          <w:tcPr>
            <w:tcW w:w="90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0.508</w:t>
            </w:r>
          </w:p>
        </w:tc>
        <w:tc>
          <w:tcPr>
            <w:tcW w:w="2154"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1.02 (0.95–1.10)</w:t>
            </w:r>
          </w:p>
        </w:tc>
        <w:tc>
          <w:tcPr>
            <w:tcW w:w="90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0.553</w:t>
            </w:r>
          </w:p>
        </w:tc>
      </w:tr>
      <w:tr w:rsidR="00903124">
        <w:trPr>
          <w:jc w:val="center"/>
        </w:trPr>
        <w:tc>
          <w:tcPr>
            <w:tcW w:w="3515" w:type="dxa"/>
            <w:tcMar>
              <w:top w:w="90" w:type="dxa"/>
              <w:left w:w="100" w:type="dxa"/>
              <w:bottom w:w="90" w:type="dxa"/>
              <w:right w:w="100" w:type="dxa"/>
            </w:tcMar>
            <w:vAlign w:val="center"/>
          </w:tcPr>
          <w:p w:rsidR="00903124" w:rsidRDefault="00C73A5E">
            <w:r>
              <w:rPr>
                <w:rFonts w:ascii="Times New Roman" w:eastAsia="Times New Roman" w:hAnsi="Times New Roman"/>
                <w:sz w:val="18"/>
              </w:rPr>
              <w:t>Diabetes</w:t>
            </w:r>
          </w:p>
        </w:tc>
        <w:tc>
          <w:tcPr>
            <w:tcW w:w="1928"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0.37 (0.05–3.07)</w:t>
            </w:r>
          </w:p>
        </w:tc>
        <w:tc>
          <w:tcPr>
            <w:tcW w:w="90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0.358</w:t>
            </w:r>
          </w:p>
        </w:tc>
        <w:tc>
          <w:tcPr>
            <w:tcW w:w="2154"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0.38 (0.04–3.23)</w:t>
            </w:r>
          </w:p>
        </w:tc>
        <w:tc>
          <w:tcPr>
            <w:tcW w:w="90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0.373</w:t>
            </w:r>
          </w:p>
        </w:tc>
        <w:tc>
          <w:tcPr>
            <w:tcW w:w="2154"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0.31 (0.04–2.70)</w:t>
            </w:r>
          </w:p>
        </w:tc>
        <w:tc>
          <w:tcPr>
            <w:tcW w:w="90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0.292</w:t>
            </w:r>
          </w:p>
        </w:tc>
      </w:tr>
      <w:tr w:rsidR="00903124">
        <w:trPr>
          <w:jc w:val="center"/>
        </w:trPr>
        <w:tc>
          <w:tcPr>
            <w:tcW w:w="3515" w:type="dxa"/>
            <w:tcMar>
              <w:top w:w="90" w:type="dxa"/>
              <w:left w:w="100" w:type="dxa"/>
              <w:bottom w:w="90" w:type="dxa"/>
              <w:right w:w="100" w:type="dxa"/>
            </w:tcMar>
            <w:vAlign w:val="center"/>
          </w:tcPr>
          <w:p w:rsidR="00903124" w:rsidRDefault="00C73A5E">
            <w:proofErr w:type="spellStart"/>
            <w:r>
              <w:rPr>
                <w:rFonts w:ascii="Times New Roman" w:eastAsia="Times New Roman" w:hAnsi="Times New Roman"/>
                <w:sz w:val="18"/>
              </w:rPr>
              <w:t>Cardioembolic</w:t>
            </w:r>
            <w:proofErr w:type="spellEnd"/>
            <w:r>
              <w:rPr>
                <w:rFonts w:ascii="Times New Roman" w:eastAsia="Times New Roman" w:hAnsi="Times New Roman"/>
                <w:sz w:val="18"/>
              </w:rPr>
              <w:t xml:space="preserve"> </w:t>
            </w:r>
            <w:proofErr w:type="spellStart"/>
            <w:r>
              <w:rPr>
                <w:rFonts w:ascii="Times New Roman" w:eastAsia="Times New Roman" w:hAnsi="Times New Roman"/>
                <w:sz w:val="18"/>
              </w:rPr>
              <w:t>aetiology</w:t>
            </w:r>
            <w:proofErr w:type="spellEnd"/>
          </w:p>
        </w:tc>
        <w:tc>
          <w:tcPr>
            <w:tcW w:w="1928"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2.08 (1.00–4.34)</w:t>
            </w:r>
          </w:p>
        </w:tc>
        <w:tc>
          <w:tcPr>
            <w:tcW w:w="90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0.051</w:t>
            </w:r>
          </w:p>
        </w:tc>
        <w:tc>
          <w:tcPr>
            <w:tcW w:w="2154"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2.24 (1.03–4.89)</w:t>
            </w:r>
          </w:p>
        </w:tc>
        <w:tc>
          <w:tcPr>
            <w:tcW w:w="90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0.042</w:t>
            </w:r>
          </w:p>
        </w:tc>
        <w:tc>
          <w:tcPr>
            <w:tcW w:w="2154"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1.95 (0.88–4.30)</w:t>
            </w:r>
          </w:p>
        </w:tc>
        <w:tc>
          <w:tcPr>
            <w:tcW w:w="90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0.099</w:t>
            </w:r>
          </w:p>
        </w:tc>
      </w:tr>
      <w:tr w:rsidR="00903124">
        <w:trPr>
          <w:jc w:val="center"/>
        </w:trPr>
        <w:tc>
          <w:tcPr>
            <w:tcW w:w="3515" w:type="dxa"/>
            <w:tcMar>
              <w:top w:w="90" w:type="dxa"/>
              <w:left w:w="100" w:type="dxa"/>
              <w:bottom w:w="90" w:type="dxa"/>
              <w:right w:w="100" w:type="dxa"/>
            </w:tcMar>
            <w:vAlign w:val="center"/>
          </w:tcPr>
          <w:p w:rsidR="00903124" w:rsidRDefault="00C73A5E">
            <w:r>
              <w:rPr>
                <w:rFonts w:ascii="Times New Roman" w:eastAsia="Times New Roman" w:hAnsi="Times New Roman"/>
                <w:sz w:val="18"/>
              </w:rPr>
              <w:t>Prior cerebrovascular disease</w:t>
            </w:r>
          </w:p>
        </w:tc>
        <w:tc>
          <w:tcPr>
            <w:tcW w:w="1928"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0.80 (0.32–2.01)</w:t>
            </w:r>
          </w:p>
        </w:tc>
        <w:tc>
          <w:tcPr>
            <w:tcW w:w="90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0.635</w:t>
            </w:r>
          </w:p>
        </w:tc>
        <w:tc>
          <w:tcPr>
            <w:tcW w:w="2154"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0.82 (0.32–2.11)</w:t>
            </w:r>
          </w:p>
        </w:tc>
        <w:tc>
          <w:tcPr>
            <w:tcW w:w="90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0.680</w:t>
            </w:r>
          </w:p>
        </w:tc>
        <w:tc>
          <w:tcPr>
            <w:tcW w:w="2154"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0.87 (0.33–2.28)</w:t>
            </w:r>
          </w:p>
        </w:tc>
        <w:tc>
          <w:tcPr>
            <w:tcW w:w="90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0.780</w:t>
            </w:r>
          </w:p>
        </w:tc>
      </w:tr>
      <w:tr w:rsidR="00903124">
        <w:trPr>
          <w:jc w:val="center"/>
        </w:trPr>
        <w:tc>
          <w:tcPr>
            <w:tcW w:w="3515" w:type="dxa"/>
            <w:tcMar>
              <w:top w:w="90" w:type="dxa"/>
              <w:left w:w="100" w:type="dxa"/>
              <w:bottom w:w="90" w:type="dxa"/>
              <w:right w:w="100" w:type="dxa"/>
            </w:tcMar>
            <w:vAlign w:val="center"/>
          </w:tcPr>
          <w:p w:rsidR="00903124" w:rsidRDefault="00C73A5E">
            <w:r>
              <w:rPr>
                <w:rFonts w:ascii="Times New Roman" w:eastAsia="Times New Roman" w:hAnsi="Times New Roman"/>
                <w:sz w:val="18"/>
              </w:rPr>
              <w:t>DPT &gt;12 h</w:t>
            </w:r>
          </w:p>
        </w:tc>
        <w:tc>
          <w:tcPr>
            <w:tcW w:w="1928"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0.21 (0.05–0.92)</w:t>
            </w:r>
          </w:p>
        </w:tc>
        <w:tc>
          <w:tcPr>
            <w:tcW w:w="90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0.039</w:t>
            </w:r>
          </w:p>
        </w:tc>
        <w:tc>
          <w:tcPr>
            <w:tcW w:w="2154"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w:t>
            </w:r>
          </w:p>
        </w:tc>
        <w:tc>
          <w:tcPr>
            <w:tcW w:w="90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w:t>
            </w:r>
          </w:p>
        </w:tc>
        <w:tc>
          <w:tcPr>
            <w:tcW w:w="2154"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0.23 (0.05–1.02)</w:t>
            </w:r>
          </w:p>
        </w:tc>
        <w:tc>
          <w:tcPr>
            <w:tcW w:w="90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0.054</w:t>
            </w:r>
          </w:p>
        </w:tc>
      </w:tr>
    </w:tbl>
    <w:p w:rsidR="00903124" w:rsidRDefault="00903124"/>
    <w:p w:rsidR="00903124" w:rsidRDefault="00C73A5E">
      <w:r>
        <w:rPr>
          <w:rFonts w:ascii="Times New Roman" w:eastAsia="Times New Roman" w:hAnsi="Times New Roman"/>
          <w:sz w:val="18"/>
        </w:rPr>
        <w:t>Footnote: In this sensitivity analysis, 48-hour neurological improvement was defined as a decrease in NIHSS of ≥4 points from baseline to 48 hours, or an absolute 48-hour NIHSS score ≤1. Model 1 includes age (per 10-year increase), sex, baseline NIHSS, di</w:t>
      </w:r>
      <w:r>
        <w:rPr>
          <w:rFonts w:ascii="Times New Roman" w:eastAsia="Times New Roman" w:hAnsi="Times New Roman"/>
          <w:sz w:val="18"/>
        </w:rPr>
        <w:t xml:space="preserve">abetes, </w:t>
      </w:r>
      <w:proofErr w:type="spellStart"/>
      <w:r>
        <w:rPr>
          <w:rFonts w:ascii="Times New Roman" w:eastAsia="Times New Roman" w:hAnsi="Times New Roman"/>
          <w:sz w:val="18"/>
        </w:rPr>
        <w:t>cardioembolic</w:t>
      </w:r>
      <w:proofErr w:type="spellEnd"/>
      <w:r>
        <w:rPr>
          <w:rFonts w:ascii="Times New Roman" w:eastAsia="Times New Roman" w:hAnsi="Times New Roman"/>
          <w:sz w:val="18"/>
        </w:rPr>
        <w:t xml:space="preserve"> </w:t>
      </w:r>
      <w:proofErr w:type="spellStart"/>
      <w:r>
        <w:rPr>
          <w:rFonts w:ascii="Times New Roman" w:eastAsia="Times New Roman" w:hAnsi="Times New Roman"/>
          <w:sz w:val="18"/>
        </w:rPr>
        <w:t>aetiology</w:t>
      </w:r>
      <w:proofErr w:type="spellEnd"/>
      <w:r>
        <w:rPr>
          <w:rFonts w:ascii="Times New Roman" w:eastAsia="Times New Roman" w:hAnsi="Times New Roman"/>
          <w:sz w:val="18"/>
        </w:rPr>
        <w:t xml:space="preserve">, and prior cerebrovascular disease. Model 2 additionally includes door-to-puncture time (DPT) &gt;12 h. The analysis was restricted to patients with complete data for the alternative 48-hour outcome and all </w:t>
      </w:r>
      <w:proofErr w:type="spellStart"/>
      <w:r>
        <w:rPr>
          <w:rFonts w:ascii="Times New Roman" w:eastAsia="Times New Roman" w:hAnsi="Times New Roman"/>
          <w:sz w:val="18"/>
        </w:rPr>
        <w:t>prespecified</w:t>
      </w:r>
      <w:proofErr w:type="spellEnd"/>
      <w:r>
        <w:rPr>
          <w:rFonts w:ascii="Times New Roman" w:eastAsia="Times New Roman" w:hAnsi="Times New Roman"/>
          <w:sz w:val="18"/>
        </w:rPr>
        <w:t xml:space="preserve"> model v</w:t>
      </w:r>
      <w:r>
        <w:rPr>
          <w:rFonts w:ascii="Times New Roman" w:eastAsia="Times New Roman" w:hAnsi="Times New Roman"/>
          <w:sz w:val="18"/>
        </w:rPr>
        <w:t>ariables (n = 164); 40 patients (24.4%) met the ENI-48h definition. This supplementary analysis is aligned with the overall study flow of 314 initially screened, 253 available in the final study database, and 185 in the primary complete-case model, but use</w:t>
      </w:r>
      <w:r>
        <w:rPr>
          <w:rFonts w:ascii="Times New Roman" w:eastAsia="Times New Roman" w:hAnsi="Times New Roman"/>
          <w:sz w:val="18"/>
        </w:rPr>
        <w:t xml:space="preserve">s a restricted complete-case subset for the alternative outcome analysis. </w:t>
      </w:r>
      <w:proofErr w:type="gramStart"/>
      <w:r>
        <w:rPr>
          <w:rFonts w:ascii="Times New Roman" w:eastAsia="Times New Roman" w:hAnsi="Times New Roman"/>
          <w:sz w:val="18"/>
        </w:rPr>
        <w:t>OR, odds ratio; CI, confidence interval; NIHSS, National Institutes of Health Stroke Scale; DPT, door-to-puncture time.</w:t>
      </w:r>
      <w:proofErr w:type="gramEnd"/>
    </w:p>
    <w:p w:rsidR="00903124" w:rsidRDefault="00C73A5E">
      <w:r>
        <w:br w:type="page"/>
      </w:r>
    </w:p>
    <w:p w:rsidR="00903124" w:rsidRDefault="00C73A5E">
      <w:pPr>
        <w:jc w:val="center"/>
        <w:rPr>
          <w:b/>
          <w:bCs/>
        </w:rPr>
      </w:pPr>
      <w:r>
        <w:rPr>
          <w:b/>
          <w:bCs/>
        </w:rPr>
        <w:lastRenderedPageBreak/>
        <w:t>Supplementary Table S9</w:t>
      </w:r>
    </w:p>
    <w:p w:rsidR="00903124" w:rsidRDefault="00C73A5E">
      <w:pPr>
        <w:jc w:val="center"/>
      </w:pPr>
      <w:r>
        <w:t>Sensitivity analyses using alternativ</w:t>
      </w:r>
      <w:r>
        <w:t>e door-to-puncture time thresholds</w:t>
      </w:r>
    </w:p>
    <w:p w:rsidR="00903124" w:rsidRDefault="00903124"/>
    <w:tbl>
      <w:tblPr>
        <w:tblW w:w="0" w:type="auto"/>
        <w:jc w:val="center"/>
        <w:tblBorders>
          <w:top w:val="single" w:sz="10" w:space="0" w:color="000000"/>
          <w:bottom w:val="single" w:sz="10" w:space="0" w:color="000000"/>
        </w:tblBorders>
        <w:tblLayout w:type="fixed"/>
        <w:tblLook w:val="04A0" w:firstRow="1" w:lastRow="0" w:firstColumn="1" w:lastColumn="0" w:noHBand="0" w:noVBand="1"/>
      </w:tblPr>
      <w:tblGrid>
        <w:gridCol w:w="2948"/>
        <w:gridCol w:w="1247"/>
        <w:gridCol w:w="1701"/>
        <w:gridCol w:w="2041"/>
        <w:gridCol w:w="850"/>
        <w:gridCol w:w="2041"/>
        <w:gridCol w:w="850"/>
      </w:tblGrid>
      <w:tr w:rsidR="00903124">
        <w:trPr>
          <w:jc w:val="center"/>
        </w:trPr>
        <w:tc>
          <w:tcPr>
            <w:tcW w:w="2948" w:type="dxa"/>
            <w:tcBorders>
              <w:bottom w:val="single" w:sz="8" w:space="0" w:color="000000"/>
            </w:tcBorders>
            <w:tcMar>
              <w:top w:w="90" w:type="dxa"/>
              <w:left w:w="100" w:type="dxa"/>
              <w:bottom w:w="90" w:type="dxa"/>
              <w:right w:w="100" w:type="dxa"/>
            </w:tcMar>
            <w:vAlign w:val="center"/>
          </w:tcPr>
          <w:p w:rsidR="00903124" w:rsidRDefault="00C73A5E">
            <w:pPr>
              <w:jc w:val="center"/>
            </w:pPr>
            <w:r>
              <w:rPr>
                <w:rFonts w:ascii="Times New Roman" w:eastAsia="Times New Roman" w:hAnsi="Times New Roman"/>
                <w:b/>
                <w:sz w:val="18"/>
              </w:rPr>
              <w:t>DPT threshold comparison</w:t>
            </w:r>
          </w:p>
        </w:tc>
        <w:tc>
          <w:tcPr>
            <w:tcW w:w="1247" w:type="dxa"/>
            <w:tcBorders>
              <w:bottom w:val="single" w:sz="8" w:space="0" w:color="000000"/>
            </w:tcBorders>
            <w:tcMar>
              <w:top w:w="90" w:type="dxa"/>
              <w:left w:w="100" w:type="dxa"/>
              <w:bottom w:w="90" w:type="dxa"/>
              <w:right w:w="100" w:type="dxa"/>
            </w:tcMar>
            <w:vAlign w:val="center"/>
          </w:tcPr>
          <w:p w:rsidR="00903124" w:rsidRDefault="00C73A5E">
            <w:pPr>
              <w:jc w:val="center"/>
            </w:pPr>
            <w:r>
              <w:rPr>
                <w:rFonts w:ascii="Times New Roman" w:eastAsia="Times New Roman" w:hAnsi="Times New Roman"/>
                <w:b/>
                <w:sz w:val="18"/>
              </w:rPr>
              <w:t>Complete-case n</w:t>
            </w:r>
          </w:p>
        </w:tc>
        <w:tc>
          <w:tcPr>
            <w:tcW w:w="1701" w:type="dxa"/>
            <w:tcBorders>
              <w:bottom w:val="single" w:sz="8" w:space="0" w:color="000000"/>
            </w:tcBorders>
            <w:tcMar>
              <w:top w:w="90" w:type="dxa"/>
              <w:left w:w="100" w:type="dxa"/>
              <w:bottom w:w="90" w:type="dxa"/>
              <w:right w:w="100" w:type="dxa"/>
            </w:tcMar>
            <w:vAlign w:val="center"/>
          </w:tcPr>
          <w:p w:rsidR="00903124" w:rsidRDefault="00C73A5E">
            <w:pPr>
              <w:jc w:val="center"/>
            </w:pPr>
            <w:r>
              <w:rPr>
                <w:rFonts w:ascii="Times New Roman" w:eastAsia="Times New Roman" w:hAnsi="Times New Roman"/>
                <w:b/>
                <w:sz w:val="18"/>
              </w:rPr>
              <w:t>ENI events, n (%)</w:t>
            </w:r>
          </w:p>
        </w:tc>
        <w:tc>
          <w:tcPr>
            <w:tcW w:w="2041" w:type="dxa"/>
            <w:tcBorders>
              <w:bottom w:val="single" w:sz="8" w:space="0" w:color="000000"/>
            </w:tcBorders>
            <w:tcMar>
              <w:top w:w="90" w:type="dxa"/>
              <w:left w:w="100" w:type="dxa"/>
              <w:bottom w:w="90" w:type="dxa"/>
              <w:right w:w="100" w:type="dxa"/>
            </w:tcMar>
            <w:vAlign w:val="center"/>
          </w:tcPr>
          <w:p w:rsidR="00903124" w:rsidRDefault="00C73A5E">
            <w:pPr>
              <w:jc w:val="center"/>
            </w:pPr>
            <w:r>
              <w:rPr>
                <w:rFonts w:ascii="Times New Roman" w:eastAsia="Times New Roman" w:hAnsi="Times New Roman"/>
                <w:b/>
                <w:sz w:val="18"/>
              </w:rPr>
              <w:t>Crude OR (95% CI)</w:t>
            </w:r>
          </w:p>
        </w:tc>
        <w:tc>
          <w:tcPr>
            <w:tcW w:w="850" w:type="dxa"/>
            <w:tcBorders>
              <w:bottom w:val="single" w:sz="8" w:space="0" w:color="000000"/>
            </w:tcBorders>
            <w:tcMar>
              <w:top w:w="90" w:type="dxa"/>
              <w:left w:w="100" w:type="dxa"/>
              <w:bottom w:w="90" w:type="dxa"/>
              <w:right w:w="100" w:type="dxa"/>
            </w:tcMar>
            <w:vAlign w:val="center"/>
          </w:tcPr>
          <w:p w:rsidR="00903124" w:rsidRDefault="00C73A5E">
            <w:pPr>
              <w:jc w:val="center"/>
            </w:pPr>
            <w:r>
              <w:rPr>
                <w:rFonts w:ascii="Times New Roman" w:eastAsia="Times New Roman" w:hAnsi="Times New Roman"/>
                <w:b/>
                <w:sz w:val="18"/>
              </w:rPr>
              <w:t>P value</w:t>
            </w:r>
          </w:p>
        </w:tc>
        <w:tc>
          <w:tcPr>
            <w:tcW w:w="2041" w:type="dxa"/>
            <w:tcBorders>
              <w:bottom w:val="single" w:sz="8" w:space="0" w:color="000000"/>
            </w:tcBorders>
            <w:tcMar>
              <w:top w:w="90" w:type="dxa"/>
              <w:left w:w="100" w:type="dxa"/>
              <w:bottom w:w="90" w:type="dxa"/>
              <w:right w:w="100" w:type="dxa"/>
            </w:tcMar>
            <w:vAlign w:val="center"/>
          </w:tcPr>
          <w:p w:rsidR="00903124" w:rsidRDefault="00C73A5E">
            <w:pPr>
              <w:jc w:val="center"/>
            </w:pPr>
            <w:r>
              <w:rPr>
                <w:rFonts w:ascii="Times New Roman" w:eastAsia="Times New Roman" w:hAnsi="Times New Roman"/>
                <w:b/>
                <w:sz w:val="18"/>
              </w:rPr>
              <w:t>Adjusted OR (95% CI)</w:t>
            </w:r>
          </w:p>
        </w:tc>
        <w:tc>
          <w:tcPr>
            <w:tcW w:w="850" w:type="dxa"/>
            <w:tcBorders>
              <w:bottom w:val="single" w:sz="8" w:space="0" w:color="000000"/>
            </w:tcBorders>
            <w:tcMar>
              <w:top w:w="90" w:type="dxa"/>
              <w:left w:w="100" w:type="dxa"/>
              <w:bottom w:w="90" w:type="dxa"/>
              <w:right w:w="100" w:type="dxa"/>
            </w:tcMar>
            <w:vAlign w:val="center"/>
          </w:tcPr>
          <w:p w:rsidR="00903124" w:rsidRDefault="00C73A5E">
            <w:pPr>
              <w:jc w:val="center"/>
            </w:pPr>
            <w:r>
              <w:rPr>
                <w:rFonts w:ascii="Times New Roman" w:eastAsia="Times New Roman" w:hAnsi="Times New Roman"/>
                <w:b/>
                <w:sz w:val="18"/>
              </w:rPr>
              <w:t xml:space="preserve">P value </w:t>
            </w:r>
          </w:p>
        </w:tc>
      </w:tr>
      <w:tr w:rsidR="00903124">
        <w:trPr>
          <w:jc w:val="center"/>
        </w:trPr>
        <w:tc>
          <w:tcPr>
            <w:tcW w:w="2948" w:type="dxa"/>
            <w:tcMar>
              <w:top w:w="90" w:type="dxa"/>
              <w:left w:w="100" w:type="dxa"/>
              <w:bottom w:w="90" w:type="dxa"/>
              <w:right w:w="100" w:type="dxa"/>
            </w:tcMar>
            <w:vAlign w:val="center"/>
          </w:tcPr>
          <w:p w:rsidR="00903124" w:rsidRDefault="00C73A5E">
            <w:r>
              <w:rPr>
                <w:rFonts w:ascii="Times New Roman" w:eastAsia="Times New Roman" w:hAnsi="Times New Roman"/>
                <w:sz w:val="18"/>
              </w:rPr>
              <w:t>DPT &gt;6 h vs ≤6 h</w:t>
            </w:r>
          </w:p>
        </w:tc>
        <w:tc>
          <w:tcPr>
            <w:tcW w:w="124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138</w:t>
            </w:r>
          </w:p>
        </w:tc>
        <w:tc>
          <w:tcPr>
            <w:tcW w:w="170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41 (29.7%)</w:t>
            </w:r>
          </w:p>
        </w:tc>
        <w:tc>
          <w:tcPr>
            <w:tcW w:w="204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0.69 (0.33–1.45)</w:t>
            </w:r>
          </w:p>
        </w:tc>
        <w:tc>
          <w:tcPr>
            <w:tcW w:w="850"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0.328</w:t>
            </w:r>
          </w:p>
        </w:tc>
        <w:tc>
          <w:tcPr>
            <w:tcW w:w="204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0.80 (0.36–1.77)</w:t>
            </w:r>
          </w:p>
        </w:tc>
        <w:tc>
          <w:tcPr>
            <w:tcW w:w="850"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0.577</w:t>
            </w:r>
          </w:p>
        </w:tc>
      </w:tr>
      <w:tr w:rsidR="00903124">
        <w:trPr>
          <w:jc w:val="center"/>
        </w:trPr>
        <w:tc>
          <w:tcPr>
            <w:tcW w:w="2948" w:type="dxa"/>
            <w:tcMar>
              <w:top w:w="90" w:type="dxa"/>
              <w:left w:w="100" w:type="dxa"/>
              <w:bottom w:w="90" w:type="dxa"/>
              <w:right w:w="100" w:type="dxa"/>
            </w:tcMar>
            <w:vAlign w:val="center"/>
          </w:tcPr>
          <w:p w:rsidR="00903124" w:rsidRDefault="00C73A5E">
            <w:r>
              <w:rPr>
                <w:rFonts w:ascii="Times New Roman" w:eastAsia="Times New Roman" w:hAnsi="Times New Roman"/>
                <w:sz w:val="18"/>
              </w:rPr>
              <w:t>DPT &gt;9 h vs ≤9 h</w:t>
            </w:r>
          </w:p>
        </w:tc>
        <w:tc>
          <w:tcPr>
            <w:tcW w:w="124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138</w:t>
            </w:r>
          </w:p>
        </w:tc>
        <w:tc>
          <w:tcPr>
            <w:tcW w:w="170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 xml:space="preserve">41 </w:t>
            </w:r>
            <w:r>
              <w:rPr>
                <w:rFonts w:ascii="Times New Roman" w:eastAsia="Times New Roman" w:hAnsi="Times New Roman"/>
                <w:sz w:val="18"/>
              </w:rPr>
              <w:t>(29.7%)</w:t>
            </w:r>
          </w:p>
        </w:tc>
        <w:tc>
          <w:tcPr>
            <w:tcW w:w="204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0.59 (0.27–1.29)</w:t>
            </w:r>
          </w:p>
        </w:tc>
        <w:tc>
          <w:tcPr>
            <w:tcW w:w="850"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0.187</w:t>
            </w:r>
          </w:p>
        </w:tc>
        <w:tc>
          <w:tcPr>
            <w:tcW w:w="204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0.58 (0.26–1.31)</w:t>
            </w:r>
          </w:p>
        </w:tc>
        <w:tc>
          <w:tcPr>
            <w:tcW w:w="850"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0.187</w:t>
            </w:r>
          </w:p>
        </w:tc>
      </w:tr>
      <w:tr w:rsidR="00903124">
        <w:trPr>
          <w:jc w:val="center"/>
        </w:trPr>
        <w:tc>
          <w:tcPr>
            <w:tcW w:w="2948" w:type="dxa"/>
            <w:tcMar>
              <w:top w:w="90" w:type="dxa"/>
              <w:left w:w="100" w:type="dxa"/>
              <w:bottom w:w="90" w:type="dxa"/>
              <w:right w:w="100" w:type="dxa"/>
            </w:tcMar>
            <w:vAlign w:val="center"/>
          </w:tcPr>
          <w:p w:rsidR="00903124" w:rsidRDefault="00C73A5E">
            <w:r>
              <w:rPr>
                <w:rFonts w:ascii="Times New Roman" w:eastAsia="Times New Roman" w:hAnsi="Times New Roman"/>
                <w:sz w:val="18"/>
              </w:rPr>
              <w:t>DPT &gt;12 h vs ≤12 h</w:t>
            </w:r>
          </w:p>
        </w:tc>
        <w:tc>
          <w:tcPr>
            <w:tcW w:w="1247"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138</w:t>
            </w:r>
          </w:p>
        </w:tc>
        <w:tc>
          <w:tcPr>
            <w:tcW w:w="170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41 (29.7%)</w:t>
            </w:r>
          </w:p>
        </w:tc>
        <w:tc>
          <w:tcPr>
            <w:tcW w:w="204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0.37 (0.10–1.35)</w:t>
            </w:r>
          </w:p>
        </w:tc>
        <w:tc>
          <w:tcPr>
            <w:tcW w:w="850"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0.131</w:t>
            </w:r>
          </w:p>
        </w:tc>
        <w:tc>
          <w:tcPr>
            <w:tcW w:w="2041"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0.41 (0.11–1.53)</w:t>
            </w:r>
          </w:p>
        </w:tc>
        <w:tc>
          <w:tcPr>
            <w:tcW w:w="850" w:type="dxa"/>
            <w:tcMar>
              <w:top w:w="90" w:type="dxa"/>
              <w:left w:w="100" w:type="dxa"/>
              <w:bottom w:w="90" w:type="dxa"/>
              <w:right w:w="100" w:type="dxa"/>
            </w:tcMar>
            <w:vAlign w:val="center"/>
          </w:tcPr>
          <w:p w:rsidR="00903124" w:rsidRDefault="00C73A5E">
            <w:pPr>
              <w:jc w:val="center"/>
            </w:pPr>
            <w:r>
              <w:rPr>
                <w:rFonts w:ascii="Times New Roman" w:eastAsia="Times New Roman" w:hAnsi="Times New Roman"/>
                <w:sz w:val="18"/>
              </w:rPr>
              <w:t>0.184</w:t>
            </w:r>
          </w:p>
        </w:tc>
      </w:tr>
    </w:tbl>
    <w:p w:rsidR="00903124" w:rsidRDefault="00903124"/>
    <w:p w:rsidR="00903124" w:rsidRDefault="00C73A5E">
      <w:r>
        <w:rPr>
          <w:rFonts w:ascii="Times New Roman" w:eastAsia="Times New Roman" w:hAnsi="Times New Roman"/>
          <w:sz w:val="18"/>
        </w:rPr>
        <w:t xml:space="preserve">Footnote: Sensitivity analyses were performed using alternative dichotomous door-to-puncture time (DPT) thresholds of </w:t>
      </w:r>
      <w:r>
        <w:rPr>
          <w:rFonts w:ascii="Times New Roman" w:eastAsia="Times New Roman" w:hAnsi="Times New Roman"/>
          <w:sz w:val="18"/>
        </w:rPr>
        <w:t>6, 9, and 12 hours. The primary outcome retained the original study definition of early neurological improvement (ENI), defined as a decrease in NIHSS of ≥8 points from baseline to 1 week or an absolute 1-week NIHSS score ≤1. Adjusted models included age (</w:t>
      </w:r>
      <w:r>
        <w:rPr>
          <w:rFonts w:ascii="Times New Roman" w:eastAsia="Times New Roman" w:hAnsi="Times New Roman"/>
          <w:sz w:val="18"/>
        </w:rPr>
        <w:t xml:space="preserve">per 10-year increase), sex, baseline NIHSS, diabetes, </w:t>
      </w:r>
      <w:proofErr w:type="spellStart"/>
      <w:r>
        <w:rPr>
          <w:rFonts w:ascii="Times New Roman" w:eastAsia="Times New Roman" w:hAnsi="Times New Roman"/>
          <w:sz w:val="18"/>
        </w:rPr>
        <w:t>cardioembolic</w:t>
      </w:r>
      <w:proofErr w:type="spellEnd"/>
      <w:r>
        <w:rPr>
          <w:rFonts w:ascii="Times New Roman" w:eastAsia="Times New Roman" w:hAnsi="Times New Roman"/>
          <w:sz w:val="18"/>
        </w:rPr>
        <w:t xml:space="preserve"> </w:t>
      </w:r>
      <w:proofErr w:type="spellStart"/>
      <w:r>
        <w:rPr>
          <w:rFonts w:ascii="Times New Roman" w:eastAsia="Times New Roman" w:hAnsi="Times New Roman"/>
          <w:sz w:val="18"/>
        </w:rPr>
        <w:t>aetiology</w:t>
      </w:r>
      <w:proofErr w:type="spellEnd"/>
      <w:r>
        <w:rPr>
          <w:rFonts w:ascii="Times New Roman" w:eastAsia="Times New Roman" w:hAnsi="Times New Roman"/>
          <w:sz w:val="18"/>
        </w:rPr>
        <w:t xml:space="preserve">, prior cerebrovascular disease, and the corresponding DPT threshold indicator. Each threshold analysis was restricted to patients with complete data for the outcome and all </w:t>
      </w:r>
      <w:proofErr w:type="spellStart"/>
      <w:r>
        <w:rPr>
          <w:rFonts w:ascii="Times New Roman" w:eastAsia="Times New Roman" w:hAnsi="Times New Roman"/>
          <w:sz w:val="18"/>
        </w:rPr>
        <w:t>presp</w:t>
      </w:r>
      <w:r>
        <w:rPr>
          <w:rFonts w:ascii="Times New Roman" w:eastAsia="Times New Roman" w:hAnsi="Times New Roman"/>
          <w:sz w:val="18"/>
        </w:rPr>
        <w:t>ecified</w:t>
      </w:r>
      <w:proofErr w:type="spellEnd"/>
      <w:r>
        <w:rPr>
          <w:rFonts w:ascii="Times New Roman" w:eastAsia="Times New Roman" w:hAnsi="Times New Roman"/>
          <w:sz w:val="18"/>
        </w:rPr>
        <w:t xml:space="preserve"> model variables; &gt;6 h subset: n=138, ENI events=41; &gt;9 h subset: n=138, ENI events=41; &gt;12 h subset: n=138, ENI events=41. This supplementary analysis is aligned with the overall study flow of 314 initially screened, 253 available in the final stud</w:t>
      </w:r>
      <w:r>
        <w:rPr>
          <w:rFonts w:ascii="Times New Roman" w:eastAsia="Times New Roman" w:hAnsi="Times New Roman"/>
          <w:sz w:val="18"/>
        </w:rPr>
        <w:t xml:space="preserve">y database, and 185 in the primary complete-case model, but uses threshold-specific restricted complete-case subsets. </w:t>
      </w:r>
      <w:proofErr w:type="gramStart"/>
      <w:r>
        <w:rPr>
          <w:rFonts w:ascii="Times New Roman" w:eastAsia="Times New Roman" w:hAnsi="Times New Roman"/>
          <w:sz w:val="18"/>
        </w:rPr>
        <w:t>OR, odds ratio; CI, confidence interval; NIHSS, National Institutes of Health Stroke Scale.</w:t>
      </w:r>
      <w:proofErr w:type="gramEnd"/>
    </w:p>
    <w:sectPr w:rsidR="00903124">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3124" w:rsidRDefault="00C73A5E">
      <w:pPr>
        <w:spacing w:line="240" w:lineRule="auto"/>
      </w:pPr>
      <w:r>
        <w:separator/>
      </w:r>
    </w:p>
  </w:endnote>
  <w:endnote w:type="continuationSeparator" w:id="0">
    <w:p w:rsidR="00903124" w:rsidRDefault="00C73A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3124" w:rsidRDefault="00C73A5E">
      <w:pPr>
        <w:spacing w:after="0"/>
      </w:pPr>
      <w:r>
        <w:separator/>
      </w:r>
    </w:p>
  </w:footnote>
  <w:footnote w:type="continuationSeparator" w:id="0">
    <w:p w:rsidR="00903124" w:rsidRDefault="00C73A5E">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FFFFFF7E"/>
    <w:lvl w:ilvl="0">
      <w:start w:val="1"/>
      <w:numFmt w:val="decimal"/>
      <w:pStyle w:val="ListNumber3"/>
      <w:lvlText w:val="%1."/>
      <w:lvlJc w:val="left"/>
      <w:pPr>
        <w:tabs>
          <w:tab w:val="left" w:pos="1080"/>
        </w:tabs>
        <w:ind w:left="1080" w:hanging="360"/>
      </w:pPr>
    </w:lvl>
  </w:abstractNum>
  <w:abstractNum w:abstractNumId="1">
    <w:nsid w:val="FFFFFF7F"/>
    <w:multiLevelType w:val="singleLevel"/>
    <w:tmpl w:val="FFFFFF7F"/>
    <w:lvl w:ilvl="0">
      <w:start w:val="1"/>
      <w:numFmt w:val="decimal"/>
      <w:pStyle w:val="ListNumber2"/>
      <w:lvlText w:val="%1."/>
      <w:lvlJc w:val="left"/>
      <w:pPr>
        <w:tabs>
          <w:tab w:val="left" w:pos="720"/>
        </w:tabs>
        <w:ind w:left="720" w:hanging="360"/>
      </w:pPr>
    </w:lvl>
  </w:abstractNum>
  <w:abstractNum w:abstractNumId="2">
    <w:nsid w:val="FFFFFF82"/>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3">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4">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5">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903124"/>
    <w:rsid w:val="00AA1D8D"/>
    <w:rsid w:val="00B47730"/>
    <w:rsid w:val="00C73A5E"/>
    <w:rsid w:val="00CB0664"/>
    <w:rsid w:val="00FC693F"/>
    <w:rsid w:val="5BC330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1" w:defQFormat="1" w:count="267">
    <w:lsdException w:name="Normal" w:uiPriority="0" w:unhideWhenUsed="0"/>
    <w:lsdException w:name="heading 1" w:uiPriority="9" w:unhideWhenUsed="0"/>
    <w:lsdException w:name="heading 2" w:uiPriority="9"/>
    <w:lsdException w:name="heading 3"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qFormat="0"/>
    <w:lsdException w:name="index 2" w:semiHidden="1" w:qFormat="0"/>
    <w:lsdException w:name="index 3" w:semiHidden="1" w:qFormat="0"/>
    <w:lsdException w:name="index 4" w:semiHidden="1" w:qFormat="0"/>
    <w:lsdException w:name="index 5" w:semiHidden="1" w:qFormat="0"/>
    <w:lsdException w:name="index 6" w:semiHidden="1" w:qFormat="0"/>
    <w:lsdException w:name="index 7" w:semiHidden="1" w:qFormat="0"/>
    <w:lsdException w:name="index 8" w:semiHidden="1" w:qFormat="0"/>
    <w:lsdException w:name="index 9" w:semiHidden="1" w:qFormat="0"/>
    <w:lsdException w:name="toc 1" w:semiHidden="1" w:uiPriority="39" w:qFormat="0"/>
    <w:lsdException w:name="toc 2" w:semiHidden="1" w:uiPriority="39" w:qFormat="0"/>
    <w:lsdException w:name="toc 3" w:semiHidden="1" w:uiPriority="39" w:qFormat="0"/>
    <w:lsdException w:name="toc 4" w:semiHidden="1" w:uiPriority="39" w:qFormat="0"/>
    <w:lsdException w:name="toc 5" w:semiHidden="1" w:uiPriority="39" w:qFormat="0"/>
    <w:lsdException w:name="toc 6" w:semiHidden="1" w:uiPriority="39" w:qFormat="0"/>
    <w:lsdException w:name="toc 7" w:semiHidden="1" w:uiPriority="39" w:qFormat="0"/>
    <w:lsdException w:name="toc 8" w:semiHidden="1" w:uiPriority="39" w:qFormat="0"/>
    <w:lsdException w:name="toc 9" w:semiHidden="1" w:uiPriority="39" w:qFormat="0"/>
    <w:lsdException w:name="Normal Indent" w:semiHidden="1" w:qFormat="0"/>
    <w:lsdException w:name="footnote text" w:semiHidden="1" w:qFormat="0"/>
    <w:lsdException w:name="annotation text" w:semiHidden="1" w:qFormat="0"/>
    <w:lsdException w:name="index heading" w:semiHidden="1" w:qFormat="0"/>
    <w:lsdException w:name="caption" w:semiHidden="1" w:uiPriority="35"/>
    <w:lsdException w:name="table of figures" w:semiHidden="1" w:qFormat="0"/>
    <w:lsdException w:name="envelope address" w:semiHidden="1" w:qFormat="0"/>
    <w:lsdException w:name="envelope return" w:semiHidden="1" w:qFormat="0"/>
    <w:lsdException w:name="footnote reference" w:semiHidden="1" w:qFormat="0"/>
    <w:lsdException w:name="annotation reference" w:semiHidden="1" w:qFormat="0"/>
    <w:lsdException w:name="line number" w:semiHidden="1" w:qFormat="0"/>
    <w:lsdException w:name="page number" w:semiHidden="1" w:qFormat="0"/>
    <w:lsdException w:name="endnote reference" w:semiHidden="1" w:qFormat="0"/>
    <w:lsdException w:name="endnote text" w:semiHidden="1" w:qFormat="0"/>
    <w:lsdException w:name="table of authorities" w:semiHidden="1" w:qFormat="0"/>
    <w:lsdException w:name="toa heading" w:semiHidden="1" w:qFormat="0"/>
    <w:lsdException w:name="List 2" w:qFormat="0"/>
    <w:lsdException w:name="List 4" w:semiHidden="1" w:qFormat="0"/>
    <w:lsdException w:name="List 5" w:semiHidden="1" w:qFormat="0"/>
    <w:lsdException w:name="List Bullet 4" w:semiHidden="1" w:qFormat="0"/>
    <w:lsdException w:name="List Bullet 5" w:semiHidden="1" w:qFormat="0"/>
    <w:lsdException w:name="List Number 4" w:semiHidden="1" w:qFormat="0"/>
    <w:lsdException w:name="List Number 5" w:semiHidden="1" w:qFormat="0"/>
    <w:lsdException w:name="Title" w:uiPriority="10" w:unhideWhenUsed="0"/>
    <w:lsdException w:name="Closing" w:semiHidden="1" w:qFormat="0"/>
    <w:lsdException w:name="Signature" w:semiHidden="1" w:qFormat="0"/>
    <w:lsdException w:name="Default Paragraph Font" w:semiHidden="1" w:uiPriority="1"/>
    <w:lsdException w:name="Body Text Indent" w:semiHidden="1" w:qFormat="0"/>
    <w:lsdException w:name="List Continue 4" w:semiHidden="1" w:qFormat="0"/>
    <w:lsdException w:name="List Continue 5" w:semiHidden="1" w:qFormat="0"/>
    <w:lsdException w:name="Message Header" w:semiHidden="1" w:qFormat="0"/>
    <w:lsdException w:name="Subtitle" w:uiPriority="11" w:unhideWhenUsed="0"/>
    <w:lsdException w:name="Salutation" w:semiHidden="1" w:qFormat="0"/>
    <w:lsdException w:name="Date" w:semiHidden="1" w:qFormat="0"/>
    <w:lsdException w:name="Body Text First Indent" w:semiHidden="1" w:qFormat="0"/>
    <w:lsdException w:name="Body Text First Indent 2" w:semiHidden="1" w:qFormat="0"/>
    <w:lsdException w:name="Note Heading" w:semiHidden="1" w:qFormat="0"/>
    <w:lsdException w:name="Body Text Indent 2" w:semiHidden="1" w:qFormat="0"/>
    <w:lsdException w:name="Body Text Indent 3" w:semiHidden="1" w:qFormat="0"/>
    <w:lsdException w:name="Block Text" w:semiHidden="1" w:qFormat="0"/>
    <w:lsdException w:name="Hyperlink" w:semiHidden="1" w:qFormat="0"/>
    <w:lsdException w:name="FollowedHyperlink" w:semiHidden="1" w:qFormat="0"/>
    <w:lsdException w:name="Strong" w:uiPriority="0" w:unhideWhenUsed="0"/>
    <w:lsdException w:name="Emphasis" w:uiPriority="20" w:unhideWhenUsed="0"/>
    <w:lsdException w:name="Document Map" w:semiHidden="1" w:qFormat="0"/>
    <w:lsdException w:name="Plain Text" w:semiHidden="1" w:qFormat="0"/>
    <w:lsdException w:name="E-mail Signature" w:semiHidden="1" w:qFormat="0"/>
    <w:lsdException w:name="HTML Top of Form" w:semiHidden="1" w:qFormat="0"/>
    <w:lsdException w:name="HTML Bottom of Form" w:semiHidden="1" w:qFormat="0"/>
    <w:lsdException w:name="Normal (Web)" w:semiHidden="1" w:qFormat="0"/>
    <w:lsdException w:name="HTML Acronym" w:semiHidden="1" w:qFormat="0"/>
    <w:lsdException w:name="HTML Address" w:semiHidden="1" w:qFormat="0"/>
    <w:lsdException w:name="HTML Cite" w:semiHidden="1" w:qFormat="0"/>
    <w:lsdException w:name="HTML Code" w:semiHidden="1" w:qFormat="0"/>
    <w:lsdException w:name="HTML Definition" w:semiHidden="1" w:qFormat="0"/>
    <w:lsdException w:name="HTML Keyboard" w:semiHidden="1" w:qFormat="0"/>
    <w:lsdException w:name="HTML Preformatted" w:semiHidden="1" w:qFormat="0"/>
    <w:lsdException w:name="HTML Sample" w:semiHidden="1" w:qFormat="0"/>
    <w:lsdException w:name="HTML Typewriter" w:semiHidden="1" w:qFormat="0"/>
    <w:lsdException w:name="HTML Variable" w:semiHidden="1" w:qFormat="0"/>
    <w:lsdException w:name="Normal Table" w:semiHidden="1"/>
    <w:lsdException w:name="annotation subject" w:semiHidden="1" w:qFormat="0"/>
    <w:lsdException w:name="No List" w:semiHidden="1" w:qFormat="0"/>
    <w:lsdException w:name="Outline List 1" w:semiHidden="1" w:qFormat="0"/>
    <w:lsdException w:name="Outline List 2" w:semiHidden="1" w:qFormat="0"/>
    <w:lsdException w:name="Outline List 3" w:semiHidden="1" w:qFormat="0"/>
    <w:lsdException w:name="Table Simple 1" w:semiHidden="1" w:qFormat="0"/>
    <w:lsdException w:name="Table Simple 2" w:semiHidden="1" w:qFormat="0"/>
    <w:lsdException w:name="Table Simple 3" w:semiHidden="1" w:qFormat="0"/>
    <w:lsdException w:name="Table Classic 1" w:semiHidden="1" w:qFormat="0"/>
    <w:lsdException w:name="Table Classic 2" w:semiHidden="1" w:qFormat="0"/>
    <w:lsdException w:name="Table Classic 3" w:semiHidden="1" w:qFormat="0"/>
    <w:lsdException w:name="Table Classic 4" w:semiHidden="1" w:qFormat="0"/>
    <w:lsdException w:name="Table Colorful 1" w:semiHidden="1" w:qFormat="0"/>
    <w:lsdException w:name="Table Colorful 2" w:semiHidden="1" w:qFormat="0"/>
    <w:lsdException w:name="Table Colorful 3" w:semiHidden="1" w:qFormat="0"/>
    <w:lsdException w:name="Table Columns 1" w:semiHidden="1" w:qFormat="0"/>
    <w:lsdException w:name="Table Columns 2" w:semiHidden="1" w:qFormat="0"/>
    <w:lsdException w:name="Table Columns 3" w:semiHidden="1" w:qFormat="0"/>
    <w:lsdException w:name="Table Columns 4" w:semiHidden="1" w:qFormat="0"/>
    <w:lsdException w:name="Table Columns 5" w:semiHidden="1" w:qFormat="0"/>
    <w:lsdException w:name="Table Grid 1" w:semiHidden="1" w:qFormat="0"/>
    <w:lsdException w:name="Table Grid 2" w:semiHidden="1" w:qFormat="0"/>
    <w:lsdException w:name="Table Grid 3" w:semiHidden="1" w:qFormat="0"/>
    <w:lsdException w:name="Table Grid 4" w:semiHidden="1" w:qFormat="0"/>
    <w:lsdException w:name="Table Grid 5" w:semiHidden="1" w:qFormat="0"/>
    <w:lsdException w:name="Table Grid 6" w:semiHidden="1" w:qFormat="0"/>
    <w:lsdException w:name="Table Grid 7" w:semiHidden="1" w:qFormat="0"/>
    <w:lsdException w:name="Table Grid 8" w:semiHidden="1" w:qFormat="0"/>
    <w:lsdException w:name="Table List 1" w:semiHidden="1" w:qFormat="0"/>
    <w:lsdException w:name="Table List 2" w:semiHidden="1" w:qFormat="0"/>
    <w:lsdException w:name="Table List 3" w:semiHidden="1" w:qFormat="0"/>
    <w:lsdException w:name="Table List 4" w:semiHidden="1" w:qFormat="0"/>
    <w:lsdException w:name="Table List 5" w:semiHidden="1" w:qFormat="0"/>
    <w:lsdException w:name="Table List 6" w:semiHidden="1" w:qFormat="0"/>
    <w:lsdException w:name="Table List 7" w:semiHidden="1" w:qFormat="0"/>
    <w:lsdException w:name="Table List 8" w:semiHidden="1" w:qFormat="0"/>
    <w:lsdException w:name="Table 3D effects 1" w:semiHidden="1" w:qFormat="0"/>
    <w:lsdException w:name="Table 3D effects 2" w:semiHidden="1" w:qFormat="0"/>
    <w:lsdException w:name="Table 3D effects 3" w:semiHidden="1" w:qFormat="0"/>
    <w:lsdException w:name="Table Contemporary" w:semiHidden="1" w:qFormat="0"/>
    <w:lsdException w:name="Table Elegant" w:semiHidden="1" w:qFormat="0"/>
    <w:lsdException w:name="Table Professional" w:semiHidden="1" w:qFormat="0"/>
    <w:lsdException w:name="Table Subtle 1" w:semiHidden="1" w:qFormat="0"/>
    <w:lsdException w:name="Table Subtle 2" w:semiHidden="1" w:qFormat="0"/>
    <w:lsdException w:name="Table Web 1" w:semiHidden="1" w:qFormat="0"/>
    <w:lsdException w:name="Table Web 2" w:semiHidden="1" w:qFormat="0"/>
    <w:lsdException w:name="Table Web 3" w:semiHidden="1" w:qFormat="0"/>
    <w:lsdException w:name="Balloon Text" w:semiHidden="1" w:qFormat="0"/>
    <w:lsdException w:name="Table Grid" w:uiPriority="0" w:unhideWhenUsed="0"/>
    <w:lsdException w:name="Table Theme" w:semiHidden="1" w:qFormat="0"/>
    <w:lsdException w:name="Placeholder Text" w:semiHidden="1" w:qFormat="0"/>
    <w:lsdException w:name="No Spacing" w:uiPriority="1" w:unhideWhenUsed="0"/>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qFormat="0"/>
    <w:lsdException w:name="List Paragraph" w:uiPriority="34" w:unhideWhenUsed="0"/>
    <w:lsdException w:name="Quote" w:uiPriority="29" w:unhideWhenUsed="0"/>
    <w:lsdException w:name="Intense Quote" w:uiPriority="30" w:unhideWhenUsed="0"/>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lsdException w:name="Intense Emphasis" w:uiPriority="21" w:unhideWhenUsed="0"/>
    <w:lsdException w:name="Subtle Reference" w:uiPriority="31" w:unhideWhenUsed="0"/>
    <w:lsdException w:name="Intense Reference" w:uiPriority="32" w:unhideWhenUsed="0"/>
    <w:lsdException w:name="Book Title" w:uiPriority="33" w:unhideWhenUsed="0"/>
    <w:lsdException w:name="Bibliography" w:semiHidden="1" w:uiPriority="37" w:qFormat="0"/>
    <w:lsdException w:name="TOC Heading" w:semiHidden="1" w:uiPriority="39"/>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link w:val="MacroTextChar"/>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hAnsi="Courier"/>
    </w:rPr>
  </w:style>
  <w:style w:type="paragraph" w:styleId="List3">
    <w:name w:val="List 3"/>
    <w:basedOn w:val="Normal"/>
    <w:uiPriority w:val="99"/>
    <w:unhideWhenUsed/>
    <w:qFormat/>
    <w:pPr>
      <w:ind w:left="1080" w:hanging="360"/>
      <w:contextualSpacing/>
    </w:pPr>
  </w:style>
  <w:style w:type="paragraph" w:styleId="ListNumber2">
    <w:name w:val="List Number 2"/>
    <w:basedOn w:val="Normal"/>
    <w:uiPriority w:val="99"/>
    <w:unhideWhenUsed/>
    <w:qFormat/>
    <w:pPr>
      <w:numPr>
        <w:numId w:val="1"/>
      </w:numPr>
      <w:contextualSpacing/>
    </w:pPr>
  </w:style>
  <w:style w:type="paragraph" w:styleId="ListNumber">
    <w:name w:val="List Number"/>
    <w:basedOn w:val="Normal"/>
    <w:uiPriority w:val="99"/>
    <w:unhideWhenUsed/>
    <w:qFormat/>
    <w:pPr>
      <w:numPr>
        <w:numId w:val="2"/>
      </w:numPr>
      <w:contextualSpacing/>
    </w:pPr>
  </w:style>
  <w:style w:type="paragraph" w:styleId="Caption">
    <w:name w:val="caption"/>
    <w:basedOn w:val="Normal"/>
    <w:next w:val="Normal"/>
    <w:uiPriority w:val="35"/>
    <w:semiHidden/>
    <w:unhideWhenUsed/>
    <w:qFormat/>
    <w:pPr>
      <w:spacing w:line="240" w:lineRule="auto"/>
    </w:pPr>
    <w:rPr>
      <w:b/>
      <w:bCs/>
      <w:color w:val="4F81BD" w:themeColor="accent1"/>
      <w:sz w:val="18"/>
      <w:szCs w:val="18"/>
    </w:rPr>
  </w:style>
  <w:style w:type="paragraph" w:styleId="ListBullet">
    <w:name w:val="List Bullet"/>
    <w:basedOn w:val="Normal"/>
    <w:uiPriority w:val="99"/>
    <w:unhideWhenUsed/>
    <w:qFormat/>
    <w:pPr>
      <w:numPr>
        <w:numId w:val="3"/>
      </w:numPr>
      <w:contextualSpacing/>
    </w:pPr>
  </w:style>
  <w:style w:type="paragraph" w:styleId="BodyText3">
    <w:name w:val="Body Text 3"/>
    <w:basedOn w:val="Normal"/>
    <w:link w:val="BodyText3Char"/>
    <w:uiPriority w:val="99"/>
    <w:unhideWhenUsed/>
    <w:qFormat/>
    <w:pPr>
      <w:spacing w:after="120"/>
    </w:pPr>
    <w:rPr>
      <w:sz w:val="16"/>
      <w:szCs w:val="16"/>
    </w:rPr>
  </w:style>
  <w:style w:type="paragraph" w:styleId="ListBullet3">
    <w:name w:val="List Bullet 3"/>
    <w:basedOn w:val="Normal"/>
    <w:uiPriority w:val="99"/>
    <w:unhideWhenUsed/>
    <w:qFormat/>
    <w:pPr>
      <w:numPr>
        <w:numId w:val="4"/>
      </w:numPr>
      <w:contextualSpacing/>
    </w:pPr>
  </w:style>
  <w:style w:type="paragraph" w:styleId="BodyText">
    <w:name w:val="Body Text"/>
    <w:basedOn w:val="Normal"/>
    <w:link w:val="BodyTextChar"/>
    <w:uiPriority w:val="99"/>
    <w:unhideWhenUsed/>
    <w:qFormat/>
    <w:pPr>
      <w:spacing w:after="120"/>
    </w:pPr>
  </w:style>
  <w:style w:type="paragraph" w:styleId="ListNumber3">
    <w:name w:val="List Number 3"/>
    <w:basedOn w:val="Normal"/>
    <w:uiPriority w:val="99"/>
    <w:unhideWhenUsed/>
    <w:qFormat/>
    <w:pPr>
      <w:numPr>
        <w:numId w:val="5"/>
      </w:numPr>
      <w:contextualSpacing/>
    </w:pPr>
  </w:style>
  <w:style w:type="paragraph" w:styleId="List2">
    <w:name w:val="List 2"/>
    <w:basedOn w:val="Normal"/>
    <w:uiPriority w:val="99"/>
    <w:unhideWhenUsed/>
    <w:pPr>
      <w:ind w:left="720" w:hanging="360"/>
      <w:contextualSpacing/>
    </w:pPr>
  </w:style>
  <w:style w:type="paragraph" w:styleId="ListContinue">
    <w:name w:val="List Continue"/>
    <w:basedOn w:val="Normal"/>
    <w:uiPriority w:val="99"/>
    <w:unhideWhenUsed/>
    <w:qFormat/>
    <w:pPr>
      <w:spacing w:after="120"/>
      <w:ind w:left="360"/>
      <w:contextualSpacing/>
    </w:pPr>
  </w:style>
  <w:style w:type="paragraph" w:styleId="ListBullet2">
    <w:name w:val="List Bullet 2"/>
    <w:basedOn w:val="Normal"/>
    <w:uiPriority w:val="99"/>
    <w:unhideWhenUsed/>
    <w:qFormat/>
    <w:pPr>
      <w:numPr>
        <w:numId w:val="6"/>
      </w:numPr>
      <w:contextualSpacing/>
    </w:p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Subtitle">
    <w:name w:val="Subtitle"/>
    <w:basedOn w:val="Normal"/>
    <w:next w:val="Normal"/>
    <w:link w:val="SubtitleChar"/>
    <w:uiPriority w:val="11"/>
    <w:qFormat/>
    <w:rPr>
      <w:rFonts w:asciiTheme="majorHAnsi" w:eastAsiaTheme="majorEastAsia" w:hAnsiTheme="majorHAnsi" w:cstheme="majorBidi"/>
      <w:i/>
      <w:iCs/>
      <w:color w:val="4F81BD" w:themeColor="accent1"/>
      <w:spacing w:val="15"/>
      <w:sz w:val="24"/>
      <w:szCs w:val="24"/>
    </w:rPr>
  </w:style>
  <w:style w:type="paragraph" w:styleId="List">
    <w:name w:val="List"/>
    <w:basedOn w:val="Normal"/>
    <w:uiPriority w:val="99"/>
    <w:unhideWhenUsed/>
    <w:qFormat/>
    <w:pPr>
      <w:ind w:left="360" w:hanging="360"/>
      <w:contextualSpacing/>
    </w:pPr>
  </w:style>
  <w:style w:type="paragraph" w:styleId="BodyText2">
    <w:name w:val="Body Text 2"/>
    <w:basedOn w:val="Normal"/>
    <w:link w:val="BodyText2Char"/>
    <w:uiPriority w:val="99"/>
    <w:unhideWhenUsed/>
    <w:qFormat/>
    <w:pPr>
      <w:spacing w:after="120" w:line="480" w:lineRule="auto"/>
    </w:pPr>
  </w:style>
  <w:style w:type="paragraph" w:styleId="ListContinue2">
    <w:name w:val="List Continue 2"/>
    <w:basedOn w:val="Normal"/>
    <w:uiPriority w:val="99"/>
    <w:unhideWhenUsed/>
    <w:qFormat/>
    <w:pPr>
      <w:spacing w:after="120"/>
      <w:ind w:left="720"/>
      <w:contextualSpacing/>
    </w:pPr>
  </w:style>
  <w:style w:type="paragraph" w:styleId="ListContinue3">
    <w:name w:val="List Continue 3"/>
    <w:basedOn w:val="Normal"/>
    <w:uiPriority w:val="99"/>
    <w:unhideWhenUsed/>
    <w:qFormat/>
    <w:pPr>
      <w:spacing w:after="120"/>
      <w:ind w:left="1080"/>
      <w:contextualSpacing/>
    </w:p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LightGrid-Accent1">
    <w:name w:val="Light Grid Accent 1"/>
    <w:basedOn w:val="TableNormal"/>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LightGrid-Accent2">
    <w:name w:val="Light Grid Accent 2"/>
    <w:basedOn w:val="TableNormal"/>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LightGrid-Accent3">
    <w:name w:val="Light Grid Accent 3"/>
    <w:basedOn w:val="TableNormal"/>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LightGrid-Accent4">
    <w:name w:val="Light Grid Accent 4"/>
    <w:basedOn w:val="TableNormal"/>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LightGrid-Accent5">
    <w:name w:val="Light Grid Accent 5"/>
    <w:basedOn w:val="TableNormal"/>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LightGrid-Accent6">
    <w:name w:val="Light Grid Accent 6"/>
    <w:basedOn w:val="TableNormal"/>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MediumShading1">
    <w:name w:val="Medium Shading 1"/>
    <w:basedOn w:val="TableNormal"/>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qFormat/>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MediumGrid3-Accent1">
    <w:name w:val="Medium Grid 3 Accent 1"/>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MediumGrid3-Accent2">
    <w:name w:val="Medium Grid 3 Accent 2"/>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MediumGrid3-Accent3">
    <w:name w:val="Medium Grid 3 Accent 3"/>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MediumGrid3-Accent4">
    <w:name w:val="Medium Grid 3 Accent 4"/>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MediumGrid3-Accent5">
    <w:name w:val="Medium Grid 3 Accent 5"/>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MediumGrid3-Accent6">
    <w:name w:val="Medium Grid 3 Accent 6"/>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DarkList">
    <w:name w:val="Dark List"/>
    <w:basedOn w:val="TableNormal"/>
    <w:uiPriority w:val="70"/>
    <w:qFormat/>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qFormat/>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qFormat/>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qFormat/>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qFormat/>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qFormat/>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qFormat/>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qFormat/>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qFormat/>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qFormat/>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qFormat/>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qFormat/>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qFormat/>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qFormat/>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qFormat/>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Strong">
    <w:name w:val="Strong"/>
    <w:basedOn w:val="DefaultParagraphFont"/>
    <w:qFormat/>
    <w:rPr>
      <w:b/>
      <w:bCs/>
    </w:rPr>
  </w:style>
  <w:style w:type="character" w:styleId="Emphasis">
    <w:name w:val="Emphasis"/>
    <w:basedOn w:val="DefaultParagraphFont"/>
    <w:uiPriority w:val="20"/>
    <w:qFormat/>
    <w:rPr>
      <w:i/>
      <w:iCs/>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styleId="NoSpacing">
    <w:name w:val="No Spacing"/>
    <w:uiPriority w:val="1"/>
    <w:qFormat/>
    <w:rPr>
      <w:sz w:val="22"/>
      <w:szCs w:val="22"/>
    </w:rPr>
  </w:style>
  <w:style w:type="character" w:customStyle="1" w:styleId="Heading1Char">
    <w:name w:val="Heading 1 Char"/>
    <w:basedOn w:val="DefaultParagraphFont"/>
    <w:link w:val="Heading1"/>
    <w:uiPriority w:val="9"/>
    <w:qFormat/>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qFormat/>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qFormat/>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qFormat/>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character" w:customStyle="1" w:styleId="BodyTextChar">
    <w:name w:val="Body Text Char"/>
    <w:basedOn w:val="DefaultParagraphFont"/>
    <w:link w:val="BodyText"/>
    <w:uiPriority w:val="99"/>
    <w:qFormat/>
  </w:style>
  <w:style w:type="character" w:customStyle="1" w:styleId="BodyText2Char">
    <w:name w:val="Body Text 2 Char"/>
    <w:basedOn w:val="DefaultParagraphFont"/>
    <w:link w:val="BodyText2"/>
    <w:uiPriority w:val="99"/>
  </w:style>
  <w:style w:type="character" w:customStyle="1" w:styleId="BodyText3Char">
    <w:name w:val="Body Text 3 Char"/>
    <w:basedOn w:val="DefaultParagraphFont"/>
    <w:link w:val="BodyText3"/>
    <w:uiPriority w:val="99"/>
    <w:qFormat/>
    <w:rPr>
      <w:sz w:val="16"/>
      <w:szCs w:val="16"/>
    </w:rPr>
  </w:style>
  <w:style w:type="character" w:customStyle="1" w:styleId="MacroTextChar">
    <w:name w:val="Macro Text Char"/>
    <w:basedOn w:val="DefaultParagraphFont"/>
    <w:link w:val="MacroText"/>
    <w:uiPriority w:val="99"/>
    <w:qFormat/>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qFormat/>
    <w:rPr>
      <w:i/>
      <w:iCs/>
      <w:color w:val="000000" w:themeColor="text1"/>
    </w:rPr>
  </w:style>
  <w:style w:type="character" w:customStyle="1" w:styleId="Heading4Char">
    <w:name w:val="Heading 4 Char"/>
    <w:basedOn w:val="DefaultParagraphFont"/>
    <w:link w:val="Heading4"/>
    <w:uiPriority w:val="9"/>
    <w:semiHidden/>
    <w:qFormat/>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qFormat/>
    <w:rPr>
      <w:rFonts w:asciiTheme="majorHAnsi" w:eastAsiaTheme="majorEastAsia" w:hAnsiTheme="majorHAnsi" w:cstheme="majorBidi"/>
      <w:color w:val="244061" w:themeColor="accent1" w:themeShade="80"/>
    </w:rPr>
  </w:style>
  <w:style w:type="character" w:customStyle="1" w:styleId="Heading6Char">
    <w:name w:val="Heading 6 Char"/>
    <w:basedOn w:val="DefaultParagraphFont"/>
    <w:link w:val="Heading6"/>
    <w:uiPriority w:val="9"/>
    <w:semiHidden/>
    <w:qFormat/>
    <w:rPr>
      <w:rFonts w:asciiTheme="majorHAnsi" w:eastAsiaTheme="majorEastAsia" w:hAnsiTheme="majorHAnsi" w:cstheme="majorBidi"/>
      <w:i/>
      <w:iCs/>
      <w:color w:val="244061" w:themeColor="accent1" w:themeShade="80"/>
    </w:rPr>
  </w:style>
  <w:style w:type="character" w:customStyle="1" w:styleId="Heading7Char">
    <w:name w:val="Heading 7 Char"/>
    <w:basedOn w:val="DefaultParagraphFont"/>
    <w:link w:val="Heading7"/>
    <w:uiPriority w:val="9"/>
    <w:semiHidden/>
    <w:qFormat/>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qFormat/>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qFormat/>
    <w:rPr>
      <w:rFonts w:asciiTheme="majorHAnsi" w:eastAsiaTheme="majorEastAsia" w:hAnsiTheme="majorHAnsi" w:cstheme="majorBidi"/>
      <w:i/>
      <w:iCs/>
      <w:color w:val="404040" w:themeColor="text1" w:themeTint="BF"/>
      <w:sz w:val="20"/>
      <w:szCs w:val="20"/>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qFormat/>
    <w:rPr>
      <w:b/>
      <w:bCs/>
      <w:i/>
      <w:iCs/>
      <w:color w:val="4F81BD" w:themeColor="accent1"/>
    </w:rPr>
  </w:style>
  <w:style w:type="character" w:customStyle="1" w:styleId="SubtleEmphasis1">
    <w:name w:val="Subtle Emphasis1"/>
    <w:basedOn w:val="DefaultParagraphFont"/>
    <w:uiPriority w:val="19"/>
    <w:qFormat/>
    <w:rPr>
      <w:i/>
      <w:iCs/>
      <w:color w:val="7F7F7F" w:themeColor="text1" w:themeTint="80"/>
    </w:rPr>
  </w:style>
  <w:style w:type="character" w:customStyle="1" w:styleId="IntenseEmphasis1">
    <w:name w:val="Intense Emphasis1"/>
    <w:basedOn w:val="DefaultParagraphFont"/>
    <w:uiPriority w:val="21"/>
    <w:qFormat/>
    <w:rPr>
      <w:b/>
      <w:bCs/>
      <w:i/>
      <w:iCs/>
      <w:color w:val="4F81BD" w:themeColor="accent1"/>
    </w:rPr>
  </w:style>
  <w:style w:type="character" w:customStyle="1" w:styleId="SubtleReference1">
    <w:name w:val="Subtle Reference1"/>
    <w:basedOn w:val="DefaultParagraphFont"/>
    <w:uiPriority w:val="31"/>
    <w:qFormat/>
    <w:rPr>
      <w:smallCaps/>
      <w:color w:val="C0504D" w:themeColor="accent2"/>
      <w:u w:val="single"/>
    </w:rPr>
  </w:style>
  <w:style w:type="character" w:customStyle="1" w:styleId="IntenseReference1">
    <w:name w:val="Intense Reference1"/>
    <w:basedOn w:val="DefaultParagraphFont"/>
    <w:uiPriority w:val="32"/>
    <w:qFormat/>
    <w:rPr>
      <w:b/>
      <w:bCs/>
      <w:smallCaps/>
      <w:color w:val="C0504D" w:themeColor="accent2"/>
      <w:spacing w:val="5"/>
      <w:u w:val="single"/>
    </w:rPr>
  </w:style>
  <w:style w:type="character" w:customStyle="1" w:styleId="BookTitle1">
    <w:name w:val="Book Title1"/>
    <w:basedOn w:val="DefaultParagraphFont"/>
    <w:uiPriority w:val="33"/>
    <w:qFormat/>
    <w:rPr>
      <w:b/>
      <w:bCs/>
      <w:smallCaps/>
      <w:spacing w:val="5"/>
    </w:rPr>
  </w:style>
  <w:style w:type="paragraph" w:customStyle="1" w:styleId="TOCHeading1">
    <w:name w:val="TOC Heading1"/>
    <w:basedOn w:val="Heading1"/>
    <w:next w:val="Normal"/>
    <w:uiPriority w:val="39"/>
    <w:semiHidden/>
    <w:unhideWhenUsed/>
    <w:qFormat/>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1" w:defQFormat="1" w:count="267">
    <w:lsdException w:name="Normal" w:uiPriority="0" w:unhideWhenUsed="0"/>
    <w:lsdException w:name="heading 1" w:uiPriority="9" w:unhideWhenUsed="0"/>
    <w:lsdException w:name="heading 2" w:uiPriority="9"/>
    <w:lsdException w:name="heading 3"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qFormat="0"/>
    <w:lsdException w:name="index 2" w:semiHidden="1" w:qFormat="0"/>
    <w:lsdException w:name="index 3" w:semiHidden="1" w:qFormat="0"/>
    <w:lsdException w:name="index 4" w:semiHidden="1" w:qFormat="0"/>
    <w:lsdException w:name="index 5" w:semiHidden="1" w:qFormat="0"/>
    <w:lsdException w:name="index 6" w:semiHidden="1" w:qFormat="0"/>
    <w:lsdException w:name="index 7" w:semiHidden="1" w:qFormat="0"/>
    <w:lsdException w:name="index 8" w:semiHidden="1" w:qFormat="0"/>
    <w:lsdException w:name="index 9" w:semiHidden="1" w:qFormat="0"/>
    <w:lsdException w:name="toc 1" w:semiHidden="1" w:uiPriority="39" w:qFormat="0"/>
    <w:lsdException w:name="toc 2" w:semiHidden="1" w:uiPriority="39" w:qFormat="0"/>
    <w:lsdException w:name="toc 3" w:semiHidden="1" w:uiPriority="39" w:qFormat="0"/>
    <w:lsdException w:name="toc 4" w:semiHidden="1" w:uiPriority="39" w:qFormat="0"/>
    <w:lsdException w:name="toc 5" w:semiHidden="1" w:uiPriority="39" w:qFormat="0"/>
    <w:lsdException w:name="toc 6" w:semiHidden="1" w:uiPriority="39" w:qFormat="0"/>
    <w:lsdException w:name="toc 7" w:semiHidden="1" w:uiPriority="39" w:qFormat="0"/>
    <w:lsdException w:name="toc 8" w:semiHidden="1" w:uiPriority="39" w:qFormat="0"/>
    <w:lsdException w:name="toc 9" w:semiHidden="1" w:uiPriority="39" w:qFormat="0"/>
    <w:lsdException w:name="Normal Indent" w:semiHidden="1" w:qFormat="0"/>
    <w:lsdException w:name="footnote text" w:semiHidden="1" w:qFormat="0"/>
    <w:lsdException w:name="annotation text" w:semiHidden="1" w:qFormat="0"/>
    <w:lsdException w:name="index heading" w:semiHidden="1" w:qFormat="0"/>
    <w:lsdException w:name="caption" w:semiHidden="1" w:uiPriority="35"/>
    <w:lsdException w:name="table of figures" w:semiHidden="1" w:qFormat="0"/>
    <w:lsdException w:name="envelope address" w:semiHidden="1" w:qFormat="0"/>
    <w:lsdException w:name="envelope return" w:semiHidden="1" w:qFormat="0"/>
    <w:lsdException w:name="footnote reference" w:semiHidden="1" w:qFormat="0"/>
    <w:lsdException w:name="annotation reference" w:semiHidden="1" w:qFormat="0"/>
    <w:lsdException w:name="line number" w:semiHidden="1" w:qFormat="0"/>
    <w:lsdException w:name="page number" w:semiHidden="1" w:qFormat="0"/>
    <w:lsdException w:name="endnote reference" w:semiHidden="1" w:qFormat="0"/>
    <w:lsdException w:name="endnote text" w:semiHidden="1" w:qFormat="0"/>
    <w:lsdException w:name="table of authorities" w:semiHidden="1" w:qFormat="0"/>
    <w:lsdException w:name="toa heading" w:semiHidden="1" w:qFormat="0"/>
    <w:lsdException w:name="List 2" w:qFormat="0"/>
    <w:lsdException w:name="List 4" w:semiHidden="1" w:qFormat="0"/>
    <w:lsdException w:name="List 5" w:semiHidden="1" w:qFormat="0"/>
    <w:lsdException w:name="List Bullet 4" w:semiHidden="1" w:qFormat="0"/>
    <w:lsdException w:name="List Bullet 5" w:semiHidden="1" w:qFormat="0"/>
    <w:lsdException w:name="List Number 4" w:semiHidden="1" w:qFormat="0"/>
    <w:lsdException w:name="List Number 5" w:semiHidden="1" w:qFormat="0"/>
    <w:lsdException w:name="Title" w:uiPriority="10" w:unhideWhenUsed="0"/>
    <w:lsdException w:name="Closing" w:semiHidden="1" w:qFormat="0"/>
    <w:lsdException w:name="Signature" w:semiHidden="1" w:qFormat="0"/>
    <w:lsdException w:name="Default Paragraph Font" w:semiHidden="1" w:uiPriority="1"/>
    <w:lsdException w:name="Body Text Indent" w:semiHidden="1" w:qFormat="0"/>
    <w:lsdException w:name="List Continue 4" w:semiHidden="1" w:qFormat="0"/>
    <w:lsdException w:name="List Continue 5" w:semiHidden="1" w:qFormat="0"/>
    <w:lsdException w:name="Message Header" w:semiHidden="1" w:qFormat="0"/>
    <w:lsdException w:name="Subtitle" w:uiPriority="11" w:unhideWhenUsed="0"/>
    <w:lsdException w:name="Salutation" w:semiHidden="1" w:qFormat="0"/>
    <w:lsdException w:name="Date" w:semiHidden="1" w:qFormat="0"/>
    <w:lsdException w:name="Body Text First Indent" w:semiHidden="1" w:qFormat="0"/>
    <w:lsdException w:name="Body Text First Indent 2" w:semiHidden="1" w:qFormat="0"/>
    <w:lsdException w:name="Note Heading" w:semiHidden="1" w:qFormat="0"/>
    <w:lsdException w:name="Body Text Indent 2" w:semiHidden="1" w:qFormat="0"/>
    <w:lsdException w:name="Body Text Indent 3" w:semiHidden="1" w:qFormat="0"/>
    <w:lsdException w:name="Block Text" w:semiHidden="1" w:qFormat="0"/>
    <w:lsdException w:name="Hyperlink" w:semiHidden="1" w:qFormat="0"/>
    <w:lsdException w:name="FollowedHyperlink" w:semiHidden="1" w:qFormat="0"/>
    <w:lsdException w:name="Strong" w:uiPriority="0" w:unhideWhenUsed="0"/>
    <w:lsdException w:name="Emphasis" w:uiPriority="20" w:unhideWhenUsed="0"/>
    <w:lsdException w:name="Document Map" w:semiHidden="1" w:qFormat="0"/>
    <w:lsdException w:name="Plain Text" w:semiHidden="1" w:qFormat="0"/>
    <w:lsdException w:name="E-mail Signature" w:semiHidden="1" w:qFormat="0"/>
    <w:lsdException w:name="HTML Top of Form" w:semiHidden="1" w:qFormat="0"/>
    <w:lsdException w:name="HTML Bottom of Form" w:semiHidden="1" w:qFormat="0"/>
    <w:lsdException w:name="Normal (Web)" w:semiHidden="1" w:qFormat="0"/>
    <w:lsdException w:name="HTML Acronym" w:semiHidden="1" w:qFormat="0"/>
    <w:lsdException w:name="HTML Address" w:semiHidden="1" w:qFormat="0"/>
    <w:lsdException w:name="HTML Cite" w:semiHidden="1" w:qFormat="0"/>
    <w:lsdException w:name="HTML Code" w:semiHidden="1" w:qFormat="0"/>
    <w:lsdException w:name="HTML Definition" w:semiHidden="1" w:qFormat="0"/>
    <w:lsdException w:name="HTML Keyboard" w:semiHidden="1" w:qFormat="0"/>
    <w:lsdException w:name="HTML Preformatted" w:semiHidden="1" w:qFormat="0"/>
    <w:lsdException w:name="HTML Sample" w:semiHidden="1" w:qFormat="0"/>
    <w:lsdException w:name="HTML Typewriter" w:semiHidden="1" w:qFormat="0"/>
    <w:lsdException w:name="HTML Variable" w:semiHidden="1" w:qFormat="0"/>
    <w:lsdException w:name="Normal Table" w:semiHidden="1"/>
    <w:lsdException w:name="annotation subject" w:semiHidden="1" w:qFormat="0"/>
    <w:lsdException w:name="No List" w:semiHidden="1" w:qFormat="0"/>
    <w:lsdException w:name="Outline List 1" w:semiHidden="1" w:qFormat="0"/>
    <w:lsdException w:name="Outline List 2" w:semiHidden="1" w:qFormat="0"/>
    <w:lsdException w:name="Outline List 3" w:semiHidden="1" w:qFormat="0"/>
    <w:lsdException w:name="Table Simple 1" w:semiHidden="1" w:qFormat="0"/>
    <w:lsdException w:name="Table Simple 2" w:semiHidden="1" w:qFormat="0"/>
    <w:lsdException w:name="Table Simple 3" w:semiHidden="1" w:qFormat="0"/>
    <w:lsdException w:name="Table Classic 1" w:semiHidden="1" w:qFormat="0"/>
    <w:lsdException w:name="Table Classic 2" w:semiHidden="1" w:qFormat="0"/>
    <w:lsdException w:name="Table Classic 3" w:semiHidden="1" w:qFormat="0"/>
    <w:lsdException w:name="Table Classic 4" w:semiHidden="1" w:qFormat="0"/>
    <w:lsdException w:name="Table Colorful 1" w:semiHidden="1" w:qFormat="0"/>
    <w:lsdException w:name="Table Colorful 2" w:semiHidden="1" w:qFormat="0"/>
    <w:lsdException w:name="Table Colorful 3" w:semiHidden="1" w:qFormat="0"/>
    <w:lsdException w:name="Table Columns 1" w:semiHidden="1" w:qFormat="0"/>
    <w:lsdException w:name="Table Columns 2" w:semiHidden="1" w:qFormat="0"/>
    <w:lsdException w:name="Table Columns 3" w:semiHidden="1" w:qFormat="0"/>
    <w:lsdException w:name="Table Columns 4" w:semiHidden="1" w:qFormat="0"/>
    <w:lsdException w:name="Table Columns 5" w:semiHidden="1" w:qFormat="0"/>
    <w:lsdException w:name="Table Grid 1" w:semiHidden="1" w:qFormat="0"/>
    <w:lsdException w:name="Table Grid 2" w:semiHidden="1" w:qFormat="0"/>
    <w:lsdException w:name="Table Grid 3" w:semiHidden="1" w:qFormat="0"/>
    <w:lsdException w:name="Table Grid 4" w:semiHidden="1" w:qFormat="0"/>
    <w:lsdException w:name="Table Grid 5" w:semiHidden="1" w:qFormat="0"/>
    <w:lsdException w:name="Table Grid 6" w:semiHidden="1" w:qFormat="0"/>
    <w:lsdException w:name="Table Grid 7" w:semiHidden="1" w:qFormat="0"/>
    <w:lsdException w:name="Table Grid 8" w:semiHidden="1" w:qFormat="0"/>
    <w:lsdException w:name="Table List 1" w:semiHidden="1" w:qFormat="0"/>
    <w:lsdException w:name="Table List 2" w:semiHidden="1" w:qFormat="0"/>
    <w:lsdException w:name="Table List 3" w:semiHidden="1" w:qFormat="0"/>
    <w:lsdException w:name="Table List 4" w:semiHidden="1" w:qFormat="0"/>
    <w:lsdException w:name="Table List 5" w:semiHidden="1" w:qFormat="0"/>
    <w:lsdException w:name="Table List 6" w:semiHidden="1" w:qFormat="0"/>
    <w:lsdException w:name="Table List 7" w:semiHidden="1" w:qFormat="0"/>
    <w:lsdException w:name="Table List 8" w:semiHidden="1" w:qFormat="0"/>
    <w:lsdException w:name="Table 3D effects 1" w:semiHidden="1" w:qFormat="0"/>
    <w:lsdException w:name="Table 3D effects 2" w:semiHidden="1" w:qFormat="0"/>
    <w:lsdException w:name="Table 3D effects 3" w:semiHidden="1" w:qFormat="0"/>
    <w:lsdException w:name="Table Contemporary" w:semiHidden="1" w:qFormat="0"/>
    <w:lsdException w:name="Table Elegant" w:semiHidden="1" w:qFormat="0"/>
    <w:lsdException w:name="Table Professional" w:semiHidden="1" w:qFormat="0"/>
    <w:lsdException w:name="Table Subtle 1" w:semiHidden="1" w:qFormat="0"/>
    <w:lsdException w:name="Table Subtle 2" w:semiHidden="1" w:qFormat="0"/>
    <w:lsdException w:name="Table Web 1" w:semiHidden="1" w:qFormat="0"/>
    <w:lsdException w:name="Table Web 2" w:semiHidden="1" w:qFormat="0"/>
    <w:lsdException w:name="Table Web 3" w:semiHidden="1" w:qFormat="0"/>
    <w:lsdException w:name="Balloon Text" w:semiHidden="1" w:qFormat="0"/>
    <w:lsdException w:name="Table Grid" w:uiPriority="0" w:unhideWhenUsed="0"/>
    <w:lsdException w:name="Table Theme" w:semiHidden="1" w:qFormat="0"/>
    <w:lsdException w:name="Placeholder Text" w:semiHidden="1" w:qFormat="0"/>
    <w:lsdException w:name="No Spacing" w:uiPriority="1" w:unhideWhenUsed="0"/>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qFormat="0"/>
    <w:lsdException w:name="List Paragraph" w:uiPriority="34" w:unhideWhenUsed="0"/>
    <w:lsdException w:name="Quote" w:uiPriority="29" w:unhideWhenUsed="0"/>
    <w:lsdException w:name="Intense Quote" w:uiPriority="30" w:unhideWhenUsed="0"/>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lsdException w:name="Intense Emphasis" w:uiPriority="21" w:unhideWhenUsed="0"/>
    <w:lsdException w:name="Subtle Reference" w:uiPriority="31" w:unhideWhenUsed="0"/>
    <w:lsdException w:name="Intense Reference" w:uiPriority="32" w:unhideWhenUsed="0"/>
    <w:lsdException w:name="Book Title" w:uiPriority="33" w:unhideWhenUsed="0"/>
    <w:lsdException w:name="Bibliography" w:semiHidden="1" w:uiPriority="37" w:qFormat="0"/>
    <w:lsdException w:name="TOC Heading" w:semiHidden="1" w:uiPriority="39"/>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link w:val="MacroTextChar"/>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hAnsi="Courier"/>
    </w:rPr>
  </w:style>
  <w:style w:type="paragraph" w:styleId="List3">
    <w:name w:val="List 3"/>
    <w:basedOn w:val="Normal"/>
    <w:uiPriority w:val="99"/>
    <w:unhideWhenUsed/>
    <w:qFormat/>
    <w:pPr>
      <w:ind w:left="1080" w:hanging="360"/>
      <w:contextualSpacing/>
    </w:pPr>
  </w:style>
  <w:style w:type="paragraph" w:styleId="ListNumber2">
    <w:name w:val="List Number 2"/>
    <w:basedOn w:val="Normal"/>
    <w:uiPriority w:val="99"/>
    <w:unhideWhenUsed/>
    <w:qFormat/>
    <w:pPr>
      <w:numPr>
        <w:numId w:val="1"/>
      </w:numPr>
      <w:contextualSpacing/>
    </w:pPr>
  </w:style>
  <w:style w:type="paragraph" w:styleId="ListNumber">
    <w:name w:val="List Number"/>
    <w:basedOn w:val="Normal"/>
    <w:uiPriority w:val="99"/>
    <w:unhideWhenUsed/>
    <w:qFormat/>
    <w:pPr>
      <w:numPr>
        <w:numId w:val="2"/>
      </w:numPr>
      <w:contextualSpacing/>
    </w:pPr>
  </w:style>
  <w:style w:type="paragraph" w:styleId="Caption">
    <w:name w:val="caption"/>
    <w:basedOn w:val="Normal"/>
    <w:next w:val="Normal"/>
    <w:uiPriority w:val="35"/>
    <w:semiHidden/>
    <w:unhideWhenUsed/>
    <w:qFormat/>
    <w:pPr>
      <w:spacing w:line="240" w:lineRule="auto"/>
    </w:pPr>
    <w:rPr>
      <w:b/>
      <w:bCs/>
      <w:color w:val="4F81BD" w:themeColor="accent1"/>
      <w:sz w:val="18"/>
      <w:szCs w:val="18"/>
    </w:rPr>
  </w:style>
  <w:style w:type="paragraph" w:styleId="ListBullet">
    <w:name w:val="List Bullet"/>
    <w:basedOn w:val="Normal"/>
    <w:uiPriority w:val="99"/>
    <w:unhideWhenUsed/>
    <w:qFormat/>
    <w:pPr>
      <w:numPr>
        <w:numId w:val="3"/>
      </w:numPr>
      <w:contextualSpacing/>
    </w:pPr>
  </w:style>
  <w:style w:type="paragraph" w:styleId="BodyText3">
    <w:name w:val="Body Text 3"/>
    <w:basedOn w:val="Normal"/>
    <w:link w:val="BodyText3Char"/>
    <w:uiPriority w:val="99"/>
    <w:unhideWhenUsed/>
    <w:qFormat/>
    <w:pPr>
      <w:spacing w:after="120"/>
    </w:pPr>
    <w:rPr>
      <w:sz w:val="16"/>
      <w:szCs w:val="16"/>
    </w:rPr>
  </w:style>
  <w:style w:type="paragraph" w:styleId="ListBullet3">
    <w:name w:val="List Bullet 3"/>
    <w:basedOn w:val="Normal"/>
    <w:uiPriority w:val="99"/>
    <w:unhideWhenUsed/>
    <w:qFormat/>
    <w:pPr>
      <w:numPr>
        <w:numId w:val="4"/>
      </w:numPr>
      <w:contextualSpacing/>
    </w:pPr>
  </w:style>
  <w:style w:type="paragraph" w:styleId="BodyText">
    <w:name w:val="Body Text"/>
    <w:basedOn w:val="Normal"/>
    <w:link w:val="BodyTextChar"/>
    <w:uiPriority w:val="99"/>
    <w:unhideWhenUsed/>
    <w:qFormat/>
    <w:pPr>
      <w:spacing w:after="120"/>
    </w:pPr>
  </w:style>
  <w:style w:type="paragraph" w:styleId="ListNumber3">
    <w:name w:val="List Number 3"/>
    <w:basedOn w:val="Normal"/>
    <w:uiPriority w:val="99"/>
    <w:unhideWhenUsed/>
    <w:qFormat/>
    <w:pPr>
      <w:numPr>
        <w:numId w:val="5"/>
      </w:numPr>
      <w:contextualSpacing/>
    </w:pPr>
  </w:style>
  <w:style w:type="paragraph" w:styleId="List2">
    <w:name w:val="List 2"/>
    <w:basedOn w:val="Normal"/>
    <w:uiPriority w:val="99"/>
    <w:unhideWhenUsed/>
    <w:pPr>
      <w:ind w:left="720" w:hanging="360"/>
      <w:contextualSpacing/>
    </w:pPr>
  </w:style>
  <w:style w:type="paragraph" w:styleId="ListContinue">
    <w:name w:val="List Continue"/>
    <w:basedOn w:val="Normal"/>
    <w:uiPriority w:val="99"/>
    <w:unhideWhenUsed/>
    <w:qFormat/>
    <w:pPr>
      <w:spacing w:after="120"/>
      <w:ind w:left="360"/>
      <w:contextualSpacing/>
    </w:pPr>
  </w:style>
  <w:style w:type="paragraph" w:styleId="ListBullet2">
    <w:name w:val="List Bullet 2"/>
    <w:basedOn w:val="Normal"/>
    <w:uiPriority w:val="99"/>
    <w:unhideWhenUsed/>
    <w:qFormat/>
    <w:pPr>
      <w:numPr>
        <w:numId w:val="6"/>
      </w:numPr>
      <w:contextualSpacing/>
    </w:p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Subtitle">
    <w:name w:val="Subtitle"/>
    <w:basedOn w:val="Normal"/>
    <w:next w:val="Normal"/>
    <w:link w:val="SubtitleChar"/>
    <w:uiPriority w:val="11"/>
    <w:qFormat/>
    <w:rPr>
      <w:rFonts w:asciiTheme="majorHAnsi" w:eastAsiaTheme="majorEastAsia" w:hAnsiTheme="majorHAnsi" w:cstheme="majorBidi"/>
      <w:i/>
      <w:iCs/>
      <w:color w:val="4F81BD" w:themeColor="accent1"/>
      <w:spacing w:val="15"/>
      <w:sz w:val="24"/>
      <w:szCs w:val="24"/>
    </w:rPr>
  </w:style>
  <w:style w:type="paragraph" w:styleId="List">
    <w:name w:val="List"/>
    <w:basedOn w:val="Normal"/>
    <w:uiPriority w:val="99"/>
    <w:unhideWhenUsed/>
    <w:qFormat/>
    <w:pPr>
      <w:ind w:left="360" w:hanging="360"/>
      <w:contextualSpacing/>
    </w:pPr>
  </w:style>
  <w:style w:type="paragraph" w:styleId="BodyText2">
    <w:name w:val="Body Text 2"/>
    <w:basedOn w:val="Normal"/>
    <w:link w:val="BodyText2Char"/>
    <w:uiPriority w:val="99"/>
    <w:unhideWhenUsed/>
    <w:qFormat/>
    <w:pPr>
      <w:spacing w:after="120" w:line="480" w:lineRule="auto"/>
    </w:pPr>
  </w:style>
  <w:style w:type="paragraph" w:styleId="ListContinue2">
    <w:name w:val="List Continue 2"/>
    <w:basedOn w:val="Normal"/>
    <w:uiPriority w:val="99"/>
    <w:unhideWhenUsed/>
    <w:qFormat/>
    <w:pPr>
      <w:spacing w:after="120"/>
      <w:ind w:left="720"/>
      <w:contextualSpacing/>
    </w:pPr>
  </w:style>
  <w:style w:type="paragraph" w:styleId="ListContinue3">
    <w:name w:val="List Continue 3"/>
    <w:basedOn w:val="Normal"/>
    <w:uiPriority w:val="99"/>
    <w:unhideWhenUsed/>
    <w:qFormat/>
    <w:pPr>
      <w:spacing w:after="120"/>
      <w:ind w:left="1080"/>
      <w:contextualSpacing/>
    </w:p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LightGrid-Accent1">
    <w:name w:val="Light Grid Accent 1"/>
    <w:basedOn w:val="TableNormal"/>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LightGrid-Accent2">
    <w:name w:val="Light Grid Accent 2"/>
    <w:basedOn w:val="TableNormal"/>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LightGrid-Accent3">
    <w:name w:val="Light Grid Accent 3"/>
    <w:basedOn w:val="TableNormal"/>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LightGrid-Accent4">
    <w:name w:val="Light Grid Accent 4"/>
    <w:basedOn w:val="TableNormal"/>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LightGrid-Accent5">
    <w:name w:val="Light Grid Accent 5"/>
    <w:basedOn w:val="TableNormal"/>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LightGrid-Accent6">
    <w:name w:val="Light Grid Accent 6"/>
    <w:basedOn w:val="TableNormal"/>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MediumShading1">
    <w:name w:val="Medium Shading 1"/>
    <w:basedOn w:val="TableNormal"/>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qFormat/>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MediumGrid3-Accent1">
    <w:name w:val="Medium Grid 3 Accent 1"/>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MediumGrid3-Accent2">
    <w:name w:val="Medium Grid 3 Accent 2"/>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MediumGrid3-Accent3">
    <w:name w:val="Medium Grid 3 Accent 3"/>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MediumGrid3-Accent4">
    <w:name w:val="Medium Grid 3 Accent 4"/>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MediumGrid3-Accent5">
    <w:name w:val="Medium Grid 3 Accent 5"/>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MediumGrid3-Accent6">
    <w:name w:val="Medium Grid 3 Accent 6"/>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DarkList">
    <w:name w:val="Dark List"/>
    <w:basedOn w:val="TableNormal"/>
    <w:uiPriority w:val="70"/>
    <w:qFormat/>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qFormat/>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qFormat/>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qFormat/>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qFormat/>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qFormat/>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qFormat/>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qFormat/>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qFormat/>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qFormat/>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qFormat/>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qFormat/>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qFormat/>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qFormat/>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qFormat/>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Strong">
    <w:name w:val="Strong"/>
    <w:basedOn w:val="DefaultParagraphFont"/>
    <w:qFormat/>
    <w:rPr>
      <w:b/>
      <w:bCs/>
    </w:rPr>
  </w:style>
  <w:style w:type="character" w:styleId="Emphasis">
    <w:name w:val="Emphasis"/>
    <w:basedOn w:val="DefaultParagraphFont"/>
    <w:uiPriority w:val="20"/>
    <w:qFormat/>
    <w:rPr>
      <w:i/>
      <w:iCs/>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styleId="NoSpacing">
    <w:name w:val="No Spacing"/>
    <w:uiPriority w:val="1"/>
    <w:qFormat/>
    <w:rPr>
      <w:sz w:val="22"/>
      <w:szCs w:val="22"/>
    </w:rPr>
  </w:style>
  <w:style w:type="character" w:customStyle="1" w:styleId="Heading1Char">
    <w:name w:val="Heading 1 Char"/>
    <w:basedOn w:val="DefaultParagraphFont"/>
    <w:link w:val="Heading1"/>
    <w:uiPriority w:val="9"/>
    <w:qFormat/>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qFormat/>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qFormat/>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qFormat/>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character" w:customStyle="1" w:styleId="BodyTextChar">
    <w:name w:val="Body Text Char"/>
    <w:basedOn w:val="DefaultParagraphFont"/>
    <w:link w:val="BodyText"/>
    <w:uiPriority w:val="99"/>
    <w:qFormat/>
  </w:style>
  <w:style w:type="character" w:customStyle="1" w:styleId="BodyText2Char">
    <w:name w:val="Body Text 2 Char"/>
    <w:basedOn w:val="DefaultParagraphFont"/>
    <w:link w:val="BodyText2"/>
    <w:uiPriority w:val="99"/>
  </w:style>
  <w:style w:type="character" w:customStyle="1" w:styleId="BodyText3Char">
    <w:name w:val="Body Text 3 Char"/>
    <w:basedOn w:val="DefaultParagraphFont"/>
    <w:link w:val="BodyText3"/>
    <w:uiPriority w:val="99"/>
    <w:qFormat/>
    <w:rPr>
      <w:sz w:val="16"/>
      <w:szCs w:val="16"/>
    </w:rPr>
  </w:style>
  <w:style w:type="character" w:customStyle="1" w:styleId="MacroTextChar">
    <w:name w:val="Macro Text Char"/>
    <w:basedOn w:val="DefaultParagraphFont"/>
    <w:link w:val="MacroText"/>
    <w:uiPriority w:val="99"/>
    <w:qFormat/>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qFormat/>
    <w:rPr>
      <w:i/>
      <w:iCs/>
      <w:color w:val="000000" w:themeColor="text1"/>
    </w:rPr>
  </w:style>
  <w:style w:type="character" w:customStyle="1" w:styleId="Heading4Char">
    <w:name w:val="Heading 4 Char"/>
    <w:basedOn w:val="DefaultParagraphFont"/>
    <w:link w:val="Heading4"/>
    <w:uiPriority w:val="9"/>
    <w:semiHidden/>
    <w:qFormat/>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qFormat/>
    <w:rPr>
      <w:rFonts w:asciiTheme="majorHAnsi" w:eastAsiaTheme="majorEastAsia" w:hAnsiTheme="majorHAnsi" w:cstheme="majorBidi"/>
      <w:color w:val="244061" w:themeColor="accent1" w:themeShade="80"/>
    </w:rPr>
  </w:style>
  <w:style w:type="character" w:customStyle="1" w:styleId="Heading6Char">
    <w:name w:val="Heading 6 Char"/>
    <w:basedOn w:val="DefaultParagraphFont"/>
    <w:link w:val="Heading6"/>
    <w:uiPriority w:val="9"/>
    <w:semiHidden/>
    <w:qFormat/>
    <w:rPr>
      <w:rFonts w:asciiTheme="majorHAnsi" w:eastAsiaTheme="majorEastAsia" w:hAnsiTheme="majorHAnsi" w:cstheme="majorBidi"/>
      <w:i/>
      <w:iCs/>
      <w:color w:val="244061" w:themeColor="accent1" w:themeShade="80"/>
    </w:rPr>
  </w:style>
  <w:style w:type="character" w:customStyle="1" w:styleId="Heading7Char">
    <w:name w:val="Heading 7 Char"/>
    <w:basedOn w:val="DefaultParagraphFont"/>
    <w:link w:val="Heading7"/>
    <w:uiPriority w:val="9"/>
    <w:semiHidden/>
    <w:qFormat/>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qFormat/>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qFormat/>
    <w:rPr>
      <w:rFonts w:asciiTheme="majorHAnsi" w:eastAsiaTheme="majorEastAsia" w:hAnsiTheme="majorHAnsi" w:cstheme="majorBidi"/>
      <w:i/>
      <w:iCs/>
      <w:color w:val="404040" w:themeColor="text1" w:themeTint="BF"/>
      <w:sz w:val="20"/>
      <w:szCs w:val="20"/>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qFormat/>
    <w:rPr>
      <w:b/>
      <w:bCs/>
      <w:i/>
      <w:iCs/>
      <w:color w:val="4F81BD" w:themeColor="accent1"/>
    </w:rPr>
  </w:style>
  <w:style w:type="character" w:customStyle="1" w:styleId="SubtleEmphasis1">
    <w:name w:val="Subtle Emphasis1"/>
    <w:basedOn w:val="DefaultParagraphFont"/>
    <w:uiPriority w:val="19"/>
    <w:qFormat/>
    <w:rPr>
      <w:i/>
      <w:iCs/>
      <w:color w:val="7F7F7F" w:themeColor="text1" w:themeTint="80"/>
    </w:rPr>
  </w:style>
  <w:style w:type="character" w:customStyle="1" w:styleId="IntenseEmphasis1">
    <w:name w:val="Intense Emphasis1"/>
    <w:basedOn w:val="DefaultParagraphFont"/>
    <w:uiPriority w:val="21"/>
    <w:qFormat/>
    <w:rPr>
      <w:b/>
      <w:bCs/>
      <w:i/>
      <w:iCs/>
      <w:color w:val="4F81BD" w:themeColor="accent1"/>
    </w:rPr>
  </w:style>
  <w:style w:type="character" w:customStyle="1" w:styleId="SubtleReference1">
    <w:name w:val="Subtle Reference1"/>
    <w:basedOn w:val="DefaultParagraphFont"/>
    <w:uiPriority w:val="31"/>
    <w:qFormat/>
    <w:rPr>
      <w:smallCaps/>
      <w:color w:val="C0504D" w:themeColor="accent2"/>
      <w:u w:val="single"/>
    </w:rPr>
  </w:style>
  <w:style w:type="character" w:customStyle="1" w:styleId="IntenseReference1">
    <w:name w:val="Intense Reference1"/>
    <w:basedOn w:val="DefaultParagraphFont"/>
    <w:uiPriority w:val="32"/>
    <w:qFormat/>
    <w:rPr>
      <w:b/>
      <w:bCs/>
      <w:smallCaps/>
      <w:color w:val="C0504D" w:themeColor="accent2"/>
      <w:spacing w:val="5"/>
      <w:u w:val="single"/>
    </w:rPr>
  </w:style>
  <w:style w:type="character" w:customStyle="1" w:styleId="BookTitle1">
    <w:name w:val="Book Title1"/>
    <w:basedOn w:val="DefaultParagraphFont"/>
    <w:uiPriority w:val="33"/>
    <w:qFormat/>
    <w:rPr>
      <w:b/>
      <w:bCs/>
      <w:smallCaps/>
      <w:spacing w:val="5"/>
    </w:rPr>
  </w:style>
  <w:style w:type="paragraph" w:customStyle="1" w:styleId="TOCHeading1">
    <w:name w:val="TOC Heading1"/>
    <w:basedOn w:val="Heading1"/>
    <w:next w:val="Normal"/>
    <w:uiPriority w:val="39"/>
    <w:semiHidden/>
    <w:unhideWhenUsed/>
    <w:qFormat/>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63753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889C1A-A830-4307-9554-5C2BB3414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2042</Words>
  <Characters>11641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Rodielyn Boncales</cp:lastModifiedBy>
  <cp:revision>2</cp:revision>
  <dcterms:created xsi:type="dcterms:W3CDTF">2026-05-01T13:06:00Z</dcterms:created>
  <dcterms:modified xsi:type="dcterms:W3CDTF">2026-05-01T13:06:00Z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eyJoZGlkIjoiZWI4MWRiZmIxNWM2NmY0YmUwZTc3Njc0M2ZiYmEzZjQiLCJ1c2VySWQiOiI0MzIxMzMyNjcifQ==</vt:lpwstr>
  </property>
  <property fmtid="{D5CDD505-2E9C-101B-9397-08002B2CF9AE}" pid="3" name="KSOProductBuildVer">
    <vt:lpwstr>2052-12.1.0.25225</vt:lpwstr>
  </property>
  <property fmtid="{D5CDD505-2E9C-101B-9397-08002B2CF9AE}" pid="4" name="ICV">
    <vt:lpwstr>8837D8770E99405F886A24AEDC9995AD_13</vt:lpwstr>
  </property>
</Properties>
</file>