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CCCBD2">
      <w:pPr>
        <w:spacing w:line="360" w:lineRule="auto"/>
        <w:jc w:val="left"/>
        <w:rPr>
          <w:rFonts w:hint="eastAsia" w:ascii="Times New Roman" w:hAnsi="Times New Roman" w:cs="Times New Roman"/>
          <w:b/>
          <w:bCs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bCs/>
          <w:lang w:val="en-US" w:eastAsia="zh-CN"/>
        </w:rPr>
        <w:t>Supplementary Information</w:t>
      </w:r>
    </w:p>
    <w:p w14:paraId="6E645D6D">
      <w:pPr>
        <w:spacing w:line="360" w:lineRule="auto"/>
        <w:jc w:val="left"/>
        <w:rPr>
          <w:rFonts w:hint="default" w:ascii="Times New Roman" w:hAnsi="Times New Roman" w:cs="Times New Roman"/>
          <w:b/>
          <w:bCs/>
          <w:lang w:val="en-US" w:eastAsia="zh-CN"/>
        </w:rPr>
      </w:pPr>
    </w:p>
    <w:p w14:paraId="352E153A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Clinical characteristics of pure menstrual migraine and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eastAsia="zh-CN"/>
        </w:rPr>
        <w:t>menstrually-related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migraine:</w:t>
      </w:r>
      <w:r>
        <w:rPr>
          <w:rFonts w:hint="eastAsia" w:ascii="Times New Roman" w:hAnsi="Times New Roman" w:cs="Times New Roman"/>
          <w:b/>
          <w:bCs/>
          <w:sz w:val="24"/>
          <w:szCs w:val="24"/>
        </w:rPr>
        <w:t xml:space="preserve"> a </w:t>
      </w:r>
      <w:r>
        <w:rPr>
          <w:rFonts w:ascii="Times New Roman" w:hAnsi="Times New Roman" w:cs="Times New Roman"/>
          <w:b/>
          <w:bCs/>
          <w:sz w:val="24"/>
          <w:szCs w:val="24"/>
        </w:rPr>
        <w:t>cross-sectional online questionnaire study</w:t>
      </w:r>
    </w:p>
    <w:p w14:paraId="596D4EF2">
      <w:pPr>
        <w:spacing w:line="360" w:lineRule="auto"/>
        <w:jc w:val="left"/>
        <w:rPr>
          <w:rFonts w:ascii="Times New Roman" w:hAnsi="Times New Roman" w:cs="Times New Roman"/>
          <w:vertAlign w:val="superscript"/>
        </w:rPr>
      </w:pPr>
      <w:r>
        <w:rPr>
          <w:rFonts w:hint="eastAsia" w:ascii="Times New Roman" w:hAnsi="Times New Roman" w:cs="Times New Roman"/>
        </w:rPr>
        <w:t>Yanyan Zhou</w:t>
      </w:r>
      <w:r>
        <w:rPr>
          <w:rFonts w:hint="eastAsia" w:ascii="Times New Roman" w:hAnsi="Times New Roman" w:cs="Times New Roman"/>
          <w:vertAlign w:val="superscript"/>
        </w:rPr>
        <w:t>1+</w:t>
      </w:r>
      <w:r>
        <w:rPr>
          <w:rFonts w:hint="eastAsia" w:ascii="Times New Roman" w:hAnsi="Times New Roman" w:cs="Times New Roman"/>
        </w:rPr>
        <w:t>, Quanquan Zhang</w:t>
      </w:r>
      <w:r>
        <w:rPr>
          <w:rFonts w:hint="eastAsia" w:ascii="Times New Roman" w:hAnsi="Times New Roman" w:cs="Times New Roman"/>
          <w:vertAlign w:val="superscript"/>
        </w:rPr>
        <w:t>1+</w:t>
      </w:r>
      <w:r>
        <w:rPr>
          <w:rFonts w:hint="eastAsia" w:ascii="Times New Roman" w:hAnsi="Times New Roman" w:cs="Times New Roman"/>
        </w:rPr>
        <w:t>, Tian Xia</w:t>
      </w:r>
      <w:r>
        <w:rPr>
          <w:rFonts w:hint="eastAsia" w:ascii="Times New Roman" w:hAnsi="Times New Roman" w:cs="Times New Roman"/>
          <w:vertAlign w:val="superscript"/>
        </w:rPr>
        <w:t>1</w:t>
      </w:r>
      <w:r>
        <w:rPr>
          <w:rFonts w:hint="eastAsia" w:ascii="Times New Roman" w:hAnsi="Times New Roman" w:cs="Times New Roman"/>
        </w:rPr>
        <w:t>, Mengyi Guo</w:t>
      </w:r>
      <w:r>
        <w:rPr>
          <w:rFonts w:hint="eastAsia" w:ascii="Times New Roman" w:hAnsi="Times New Roman" w:cs="Times New Roman"/>
          <w:vertAlign w:val="superscript"/>
        </w:rPr>
        <w:t>1*</w:t>
      </w:r>
      <w:r>
        <w:rPr>
          <w:rFonts w:hint="eastAsia" w:ascii="Times New Roman" w:hAnsi="Times New Roman" w:cs="Times New Roman"/>
        </w:rPr>
        <w:t>, Hongru Zhao</w:t>
      </w:r>
      <w:r>
        <w:rPr>
          <w:rFonts w:hint="eastAsia" w:ascii="Times New Roman" w:hAnsi="Times New Roman" w:cs="Times New Roman"/>
          <w:vertAlign w:val="superscript"/>
        </w:rPr>
        <w:t>1*</w:t>
      </w:r>
    </w:p>
    <w:p w14:paraId="75C2DFED">
      <w:pPr>
        <w:spacing w:line="360" w:lineRule="auto"/>
        <w:jc w:val="left"/>
        <w:rPr>
          <w:rFonts w:ascii="Times New Roman" w:hAnsi="Times New Roman" w:cs="Times New Roman"/>
          <w:sz w:val="18"/>
          <w:szCs w:val="18"/>
        </w:rPr>
      </w:pPr>
      <w:r>
        <w:rPr>
          <w:rFonts w:hint="eastAsia" w:ascii="Times New Roman" w:hAnsi="Times New Roman" w:cs="Times New Roman"/>
          <w:sz w:val="18"/>
          <w:szCs w:val="18"/>
          <w:vertAlign w:val="superscript"/>
        </w:rPr>
        <w:t>1</w:t>
      </w:r>
      <w:r>
        <w:rPr>
          <w:rFonts w:hint="eastAsia" w:ascii="Times New Roman" w:hAnsi="Times New Roman" w:cs="Times New Roman"/>
          <w:sz w:val="18"/>
          <w:szCs w:val="18"/>
        </w:rPr>
        <w:t>Department of Neurology, First Affiliated Hospital of Soochow University, No. 899, Pinghai Road, Suzhou 215006, Jiangsu, China</w:t>
      </w:r>
    </w:p>
    <w:p w14:paraId="491C3678">
      <w:pPr>
        <w:widowControl/>
        <w:spacing w:line="360" w:lineRule="auto"/>
        <w:jc w:val="left"/>
        <w:rPr>
          <w:rFonts w:ascii="Times New Roman" w:hAnsi="Times New Roman" w:eastAsia="微软雅黑" w:cs="Times New Roman"/>
          <w:color w:val="000000" w:themeColor="text1"/>
          <w:sz w:val="18"/>
          <w:szCs w:val="18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微软雅黑" w:cs="Times New Roman"/>
          <w:sz w:val="18"/>
          <w:szCs w:val="18"/>
          <w:vertAlign w:val="superscript"/>
          <w:lang w:bidi="ar"/>
        </w:rPr>
        <w:t>*</w:t>
      </w:r>
      <w:r>
        <w:rPr>
          <w:rFonts w:hint="eastAsia" w:ascii="Times New Roman" w:hAnsi="Times New Roman" w:eastAsia="微软雅黑" w:cs="Times New Roman"/>
          <w:sz w:val="18"/>
          <w:szCs w:val="18"/>
          <w:lang w:bidi="ar"/>
        </w:rPr>
        <w:t xml:space="preserve">Correspondence: </w:t>
      </w:r>
      <w:r>
        <w:rPr>
          <w:rFonts w:hint="eastAsia" w:ascii="Times New Roman" w:hAnsi="Times New Roman" w:cs="Times New Roman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>Mengyi Guo</w:t>
      </w:r>
      <w:r>
        <w:rPr>
          <w:rFonts w:hint="eastAsia" w:ascii="Times New Roman" w:hAnsi="Times New Roman" w:eastAsia="微软雅黑" w:cs="Times New Roman"/>
          <w:color w:val="000000" w:themeColor="text1"/>
          <w:sz w:val="18"/>
          <w:szCs w:val="18"/>
          <w:lang w:bidi="ar"/>
          <w14:textFill>
            <w14:solidFill>
              <w14:schemeClr w14:val="tx1"/>
            </w14:solidFill>
          </w14:textFill>
        </w:rPr>
        <w:t xml:space="preserve">, </w:t>
      </w:r>
      <w:r>
        <w:fldChar w:fldCharType="begin"/>
      </w:r>
      <w:r>
        <w:instrText xml:space="preserve"> HYPERLINK "mailto:guomengyi277@163.com;" </w:instrText>
      </w:r>
      <w:r>
        <w:fldChar w:fldCharType="separate"/>
      </w:r>
      <w:r>
        <w:rPr>
          <w:rStyle w:val="7"/>
          <w:rFonts w:hint="eastAsia" w:ascii="Times New Roman" w:hAnsi="Times New Roman" w:eastAsia="微软雅黑" w:cs="Times New Roman"/>
          <w:color w:val="000000" w:themeColor="text1"/>
          <w:sz w:val="18"/>
          <w:szCs w:val="18"/>
          <w:u w:val="none"/>
          <w:lang w:bidi="ar"/>
          <w14:textFill>
            <w14:solidFill>
              <w14:schemeClr w14:val="tx1"/>
            </w14:solidFill>
          </w14:textFill>
        </w:rPr>
        <w:t>guomengyi277@163.com;</w:t>
      </w:r>
      <w:r>
        <w:rPr>
          <w:rStyle w:val="7"/>
          <w:rFonts w:hint="eastAsia" w:ascii="Times New Roman" w:hAnsi="Times New Roman" w:eastAsia="微软雅黑" w:cs="Times New Roman"/>
          <w:color w:val="000000" w:themeColor="text1"/>
          <w:sz w:val="18"/>
          <w:szCs w:val="18"/>
          <w:u w:val="none"/>
          <w:lang w:bidi="ar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hint="eastAsia" w:ascii="Times New Roman" w:hAnsi="Times New Roman" w:eastAsia="微软雅黑" w:cs="Times New Roman"/>
          <w:color w:val="000000" w:themeColor="text1"/>
          <w:sz w:val="18"/>
          <w:szCs w:val="18"/>
          <w:lang w:bidi="ar"/>
          <w14:textFill>
            <w14:solidFill>
              <w14:schemeClr w14:val="tx1"/>
            </w14:solidFill>
          </w14:textFill>
        </w:rPr>
        <w:t>Hongru Zhao, tiantan11@163.com.</w:t>
      </w:r>
    </w:p>
    <w:p w14:paraId="2C687BD8">
      <w:pPr>
        <w:widowControl/>
        <w:spacing w:line="360" w:lineRule="auto"/>
        <w:jc w:val="left"/>
        <w:rPr>
          <w:rFonts w:ascii="Times New Roman" w:hAnsi="Times New Roman" w:eastAsia="微软雅黑" w:cs="Times New Roman"/>
          <w:sz w:val="18"/>
          <w:szCs w:val="18"/>
          <w:lang w:bidi="ar"/>
        </w:rPr>
      </w:pPr>
      <w:r>
        <w:rPr>
          <w:rFonts w:hint="eastAsia" w:ascii="Times New Roman" w:hAnsi="Times New Roman" w:eastAsia="微软雅黑" w:cs="Times New Roman"/>
          <w:sz w:val="18"/>
          <w:szCs w:val="18"/>
          <w:vertAlign w:val="superscript"/>
          <w:lang w:bidi="ar"/>
        </w:rPr>
        <w:t xml:space="preserve">+ </w:t>
      </w:r>
      <w:r>
        <w:rPr>
          <w:rFonts w:hint="eastAsia" w:ascii="Times New Roman" w:hAnsi="Times New Roman" w:eastAsia="微软雅黑" w:cs="Times New Roman"/>
          <w:sz w:val="18"/>
          <w:szCs w:val="18"/>
          <w:lang w:bidi="ar"/>
        </w:rPr>
        <w:t>Yanyan Zhou</w:t>
      </w:r>
      <w:r>
        <w:rPr>
          <w:rFonts w:ascii="Times New Roman" w:hAnsi="Times New Roman" w:eastAsia="微软雅黑" w:cs="Times New Roman"/>
          <w:sz w:val="18"/>
          <w:szCs w:val="18"/>
          <w:lang w:bidi="ar"/>
        </w:rPr>
        <w:t xml:space="preserve"> and </w:t>
      </w:r>
      <w:r>
        <w:rPr>
          <w:rFonts w:hint="eastAsia" w:ascii="Times New Roman" w:hAnsi="Times New Roman" w:eastAsia="微软雅黑" w:cs="Times New Roman"/>
          <w:sz w:val="18"/>
          <w:szCs w:val="18"/>
          <w:lang w:bidi="ar"/>
        </w:rPr>
        <w:t>Quanquan Zhang</w:t>
      </w:r>
      <w:r>
        <w:rPr>
          <w:rFonts w:ascii="Times New Roman" w:hAnsi="Times New Roman" w:eastAsia="微软雅黑" w:cs="Times New Roman"/>
          <w:sz w:val="18"/>
          <w:szCs w:val="18"/>
          <w:lang w:bidi="ar"/>
        </w:rPr>
        <w:t xml:space="preserve"> contributed equally to this work. </w:t>
      </w:r>
    </w:p>
    <w:p w14:paraId="7501AC78">
      <w:pPr>
        <w:spacing w:line="360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</w:p>
    <w:p w14:paraId="673B6A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hint="default" w:ascii="Times New Roman" w:hAnsi="Times New Roman" w:eastAsia="等线"/>
          <w:b w:val="0"/>
          <w:bCs w:val="0"/>
          <w:color w:val="auto"/>
          <w:kern w:val="2"/>
          <w:sz w:val="21"/>
          <w:szCs w:val="21"/>
          <w:lang w:val="en-US" w:eastAsia="zh-CN"/>
        </w:rPr>
      </w:pPr>
      <w:r>
        <w:rPr>
          <w:rFonts w:hint="eastAsia" w:ascii="Times New Roman" w:hAnsi="Times New Roman"/>
          <w:b w:val="0"/>
          <w:bCs w:val="0"/>
          <w:color w:val="auto"/>
          <w:kern w:val="2"/>
          <w:sz w:val="21"/>
          <w:szCs w:val="21"/>
          <w:lang w:val="en-US" w:eastAsia="zh-CN"/>
        </w:rPr>
        <w:t>Supporting Information consists of 6 pages, including this one. This file includes Supplementary tables S1-S3.</w:t>
      </w:r>
    </w:p>
    <w:p w14:paraId="172DA04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auto"/>
          <w:kern w:val="2"/>
          <w:sz w:val="21"/>
          <w:szCs w:val="21"/>
        </w:rPr>
      </w:pPr>
    </w:p>
    <w:p w14:paraId="541120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0F3BCD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73B407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6DC278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6EFE476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1305836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3DF46AD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1513D26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5625205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143C1B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1DC7A75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044550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31299E5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10" w:firstLineChars="100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09805E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423E11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5DACAC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66B9CB0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ascii="Times New Roman" w:hAnsi="Times New Roman"/>
          <w:color w:val="FF0000"/>
          <w:kern w:val="2"/>
          <w:sz w:val="21"/>
          <w:szCs w:val="21"/>
        </w:rPr>
      </w:pPr>
    </w:p>
    <w:p w14:paraId="7B95E52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kern w:val="2"/>
          <w:sz w:val="18"/>
          <w:szCs w:val="18"/>
        </w:rPr>
        <w:t>Supplementary Table S1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. Demographic and clinical characteristics of PMM and MRM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patients</w:t>
      </w:r>
      <w:r>
        <w:rPr>
          <w:rFonts w:hint="default" w:ascii="Times New Roman" w:hAnsi="Times New Roman" w:cs="Times New Roman"/>
          <w:color w:val="auto"/>
          <w:sz w:val="18"/>
          <w:szCs w:val="18"/>
          <w:lang w:val="en-US" w:eastAsia="zh-CN"/>
        </w:rPr>
        <w:t xml:space="preserve"> with </w:t>
      </w:r>
      <w:r>
        <w:rPr>
          <w:rFonts w:hint="eastAsia" w:ascii="Times New Roman" w:hAnsi="Times New Roman" w:cs="Times New Roman"/>
          <w:color w:val="auto"/>
          <w:sz w:val="18"/>
          <w:szCs w:val="18"/>
          <w:lang w:val="en-US" w:eastAsia="zh-CN"/>
        </w:rPr>
        <w:t>&lt;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4 migraine attacks per month</w:t>
      </w:r>
    </w:p>
    <w:tbl>
      <w:tblPr>
        <w:tblStyle w:val="5"/>
        <w:tblW w:w="8521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825"/>
        <w:gridCol w:w="2060"/>
        <w:gridCol w:w="2215"/>
        <w:gridCol w:w="1421"/>
      </w:tblGrid>
      <w:tr w14:paraId="5C0EE7F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82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403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Characteristic</w:t>
            </w:r>
          </w:p>
        </w:tc>
        <w:tc>
          <w:tcPr>
            <w:tcW w:w="206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97235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PMM (n=43)</w:t>
            </w:r>
          </w:p>
        </w:tc>
        <w:tc>
          <w:tcPr>
            <w:tcW w:w="2215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D6C70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MRM (n=197)</w:t>
            </w:r>
          </w:p>
        </w:tc>
        <w:tc>
          <w:tcPr>
            <w:tcW w:w="142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C405D7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 value</w:t>
            </w:r>
          </w:p>
        </w:tc>
      </w:tr>
      <w:tr w14:paraId="22FAE7D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25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8C28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Dysmenorrhea, n (%)</w:t>
            </w:r>
          </w:p>
        </w:tc>
        <w:tc>
          <w:tcPr>
            <w:tcW w:w="2060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E7075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15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0661FE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1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D5B40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eastAsia="等线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0.070</w:t>
            </w:r>
          </w:p>
        </w:tc>
      </w:tr>
      <w:tr w14:paraId="109CA98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2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4A231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Yes</w:t>
            </w:r>
          </w:p>
        </w:tc>
        <w:tc>
          <w:tcPr>
            <w:tcW w:w="20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E7CA64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14 (32.6)</w:t>
            </w:r>
          </w:p>
        </w:tc>
        <w:tc>
          <w:tcPr>
            <w:tcW w:w="221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0F2AD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94(47.7)</w:t>
            </w:r>
          </w:p>
        </w:tc>
        <w:tc>
          <w:tcPr>
            <w:tcW w:w="142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4AAFB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43385C3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2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B1E5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No</w:t>
            </w:r>
          </w:p>
        </w:tc>
        <w:tc>
          <w:tcPr>
            <w:tcW w:w="20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9E494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29 (67.4)</w:t>
            </w:r>
          </w:p>
        </w:tc>
        <w:tc>
          <w:tcPr>
            <w:tcW w:w="221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EF72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103(52.3)</w:t>
            </w:r>
          </w:p>
        </w:tc>
        <w:tc>
          <w:tcPr>
            <w:tcW w:w="142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22FC14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5D84661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2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132C0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Heredity, n (%)</w:t>
            </w:r>
          </w:p>
        </w:tc>
        <w:tc>
          <w:tcPr>
            <w:tcW w:w="20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02129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21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9687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42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38AF03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eastAsia="等线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0.816</w:t>
            </w:r>
          </w:p>
        </w:tc>
      </w:tr>
      <w:tr w14:paraId="1F9DFFE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2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6647B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Paternal</w:t>
            </w:r>
          </w:p>
        </w:tc>
        <w:tc>
          <w:tcPr>
            <w:tcW w:w="20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23909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 (11.6)</w:t>
            </w:r>
          </w:p>
        </w:tc>
        <w:tc>
          <w:tcPr>
            <w:tcW w:w="221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BC3723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20(10.2)</w:t>
            </w:r>
          </w:p>
        </w:tc>
        <w:tc>
          <w:tcPr>
            <w:tcW w:w="142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1B540A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31BF48A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2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A8D2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Maternal</w:t>
            </w:r>
          </w:p>
        </w:tc>
        <w:tc>
          <w:tcPr>
            <w:tcW w:w="20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C461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 (20.9)</w:t>
            </w:r>
          </w:p>
        </w:tc>
        <w:tc>
          <w:tcPr>
            <w:tcW w:w="221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CD82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50(25.4)</w:t>
            </w:r>
          </w:p>
        </w:tc>
        <w:tc>
          <w:tcPr>
            <w:tcW w:w="142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95414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4A5B38B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2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93D484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None</w:t>
            </w:r>
          </w:p>
        </w:tc>
        <w:tc>
          <w:tcPr>
            <w:tcW w:w="20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1D6533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29 (67.4)</w:t>
            </w:r>
          </w:p>
        </w:tc>
        <w:tc>
          <w:tcPr>
            <w:tcW w:w="221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9F524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127(64.5)</w:t>
            </w:r>
          </w:p>
        </w:tc>
        <w:tc>
          <w:tcPr>
            <w:tcW w:w="142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41D84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0CF1C1C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2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2AF82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Disease duration, years</w:t>
            </w:r>
          </w:p>
        </w:tc>
        <w:tc>
          <w:tcPr>
            <w:tcW w:w="20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D88C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6.8 ± 5.7</w:t>
            </w:r>
          </w:p>
        </w:tc>
        <w:tc>
          <w:tcPr>
            <w:tcW w:w="221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424FD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10.4 ± 7.7</w:t>
            </w:r>
          </w:p>
        </w:tc>
        <w:tc>
          <w:tcPr>
            <w:tcW w:w="142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5FCCE9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0.005*</w:t>
            </w:r>
          </w:p>
        </w:tc>
      </w:tr>
      <w:tr w14:paraId="746F1D5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2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9271E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GAD-7 score</w:t>
            </w:r>
          </w:p>
        </w:tc>
        <w:tc>
          <w:tcPr>
            <w:tcW w:w="20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29996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5.0 ± 5.3</w:t>
            </w:r>
          </w:p>
        </w:tc>
        <w:tc>
          <w:tcPr>
            <w:tcW w:w="221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28E1E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4.7± 3.8</w:t>
            </w:r>
          </w:p>
        </w:tc>
        <w:tc>
          <w:tcPr>
            <w:tcW w:w="142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CFA88C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eastAsia="等线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0.051</w:t>
            </w:r>
          </w:p>
        </w:tc>
      </w:tr>
      <w:tr w14:paraId="4D19B4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825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2AB53B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PHQ-9 score</w:t>
            </w:r>
          </w:p>
        </w:tc>
        <w:tc>
          <w:tcPr>
            <w:tcW w:w="2060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81D8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4.7 ± 4.9</w:t>
            </w:r>
          </w:p>
        </w:tc>
        <w:tc>
          <w:tcPr>
            <w:tcW w:w="2215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D50F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5.5± 4.4</w:t>
            </w:r>
          </w:p>
        </w:tc>
        <w:tc>
          <w:tcPr>
            <w:tcW w:w="1421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AC46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eastAsia="等线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0.591</w:t>
            </w:r>
          </w:p>
        </w:tc>
      </w:tr>
    </w:tbl>
    <w:p w14:paraId="083761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</w:rPr>
        <w:t>Data were presented as n (%) or mean ± SD. P values were calculated using Chi-square test, Fisher's exact test, or independent t-test as appropriate. *p≤0.05. PMM: pure menstrual migraine; MRM: menstrually-related migraine; GAD-7: Generalized Anxiety Disorder-7; PHQ-9: Patient Health Questionnaire-9.</w:t>
      </w:r>
    </w:p>
    <w:p w14:paraId="18C452C5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180" w:firstLineChars="100"/>
        <w:jc w:val="both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40B400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634B60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2FDEFA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33E996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7746893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1929F6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kern w:val="2"/>
          <w:sz w:val="18"/>
          <w:szCs w:val="18"/>
        </w:rPr>
        <w:t>Supplementary Table S2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. Headache characteristics</w:t>
      </w:r>
      <w:r>
        <w:rPr>
          <w:rFonts w:hint="eastAsia" w:ascii="Times New Roman" w:hAnsi="Times New Roman" w:cs="Times New Roman"/>
          <w:color w:val="auto"/>
          <w:sz w:val="18"/>
          <w:szCs w:val="18"/>
          <w:lang w:eastAsia="zh-CN"/>
        </w:rPr>
        <w:t xml:space="preserve"> 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and associated symptoms in PMM and MRM patients with &lt;4 migraine attacks per month</w:t>
      </w:r>
    </w:p>
    <w:tbl>
      <w:tblPr>
        <w:tblStyle w:val="5"/>
        <w:tblW w:w="7797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261"/>
        <w:gridCol w:w="1559"/>
        <w:gridCol w:w="1701"/>
        <w:gridCol w:w="1276"/>
      </w:tblGrid>
      <w:tr w14:paraId="44B428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</w:trPr>
        <w:tc>
          <w:tcPr>
            <w:tcW w:w="326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FC254F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80F4FD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PMM (n=43)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48E9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MRM (n=197)</w:t>
            </w:r>
          </w:p>
        </w:tc>
        <w:tc>
          <w:tcPr>
            <w:tcW w:w="127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51FEB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 value</w:t>
            </w:r>
          </w:p>
        </w:tc>
      </w:tr>
      <w:tr w14:paraId="357DAD0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C754F0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Headache location, n (%)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030DE6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E025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B6B62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0.357</w:t>
            </w:r>
          </w:p>
        </w:tc>
      </w:tr>
      <w:tr w14:paraId="28EBA8A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82C7A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Unilateral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3EC3A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30 (69.8)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08F5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124(62.9)</w:t>
            </w:r>
          </w:p>
        </w:tc>
        <w:tc>
          <w:tcPr>
            <w:tcW w:w="1276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01D47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eastAsia="等线" w:cs="Times New Roman"/>
                <w:color w:val="auto"/>
                <w:sz w:val="18"/>
                <w:szCs w:val="18"/>
              </w:rPr>
            </w:pPr>
          </w:p>
        </w:tc>
      </w:tr>
      <w:tr w14:paraId="54DEDBA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C7DB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Bilateral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FB15A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13 (30.2)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BE3F3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75(38.1)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36E08C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5020306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F13595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Headache quality, n (%)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AA967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ABED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F42E60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3632310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B423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Pressing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58824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31 (72.1)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FAAF3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130(66.0)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F4B4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0.440 </w:t>
            </w:r>
          </w:p>
        </w:tc>
      </w:tr>
      <w:tr w14:paraId="16B16F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B107A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Pulsating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CBA4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24 (55.8)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17604E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108(54.8)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FD383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0.906</w:t>
            </w:r>
          </w:p>
        </w:tc>
      </w:tr>
      <w:tr w14:paraId="719D468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708BC8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Explosive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5640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17 (39.5)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68683D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73(37.1)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CF914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0.761</w:t>
            </w:r>
          </w:p>
        </w:tc>
      </w:tr>
      <w:tr w14:paraId="3CC65CA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1A2D26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Prodromal symptoms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12146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D8E27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BF868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6396844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5C68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Any prodromal symptoms, n (%)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A2C1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25 (58.1)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69A5EB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147(74.6)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39A078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0.030</w:t>
            </w:r>
          </w:p>
        </w:tc>
      </w:tr>
      <w:tr w14:paraId="119B800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B027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Neck stiffness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1FAD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9 (20.9)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69E7E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75(38.1)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27DD20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0.033</w:t>
            </w:r>
          </w:p>
        </w:tc>
      </w:tr>
      <w:tr w14:paraId="36D3037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7156D1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Dizziness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E712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13 (30.2)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A98A44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86(43.7)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01707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0.105</w:t>
            </w:r>
          </w:p>
        </w:tc>
      </w:tr>
      <w:tr w14:paraId="173E157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99A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Photophobia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DEE4FB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 (14.0)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DD1BE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61(31.0)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07C2C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0.024</w:t>
            </w:r>
          </w:p>
        </w:tc>
      </w:tr>
      <w:tr w14:paraId="750FDA7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7C85C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Fatigue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E6195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14 (32.6)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A46F6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101(51.3)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1E4DF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0.026</w:t>
            </w:r>
          </w:p>
        </w:tc>
      </w:tr>
      <w:tr w14:paraId="0E649D8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D4890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Mood changes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C3593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7 (16.3)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115FC9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72(36.5)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40DF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0.010 </w:t>
            </w:r>
          </w:p>
        </w:tc>
      </w:tr>
      <w:tr w14:paraId="7CC5322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BEBF79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Poor concentration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B801BA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 (14.0)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FDD00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57(28.9)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179F65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0.043</w:t>
            </w:r>
          </w:p>
        </w:tc>
      </w:tr>
      <w:tr w14:paraId="78FEC4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3D5D8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Yawning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90699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8 (18.6)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79BA22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61(31.0)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4D1FCB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0.105</w:t>
            </w:r>
          </w:p>
        </w:tc>
      </w:tr>
      <w:tr w14:paraId="63F7FC0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7794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Drowsiness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4E65C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10 (23.3)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2C8281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65(33.0)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F947C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0.212</w:t>
            </w:r>
          </w:p>
        </w:tc>
      </w:tr>
      <w:tr w14:paraId="3C9EBBA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4679E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Aura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38D607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29E83C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7753B8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226E57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2ACB81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Any aura, n (%)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61BB5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eastAsia="等线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7(16.3%)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C0AE9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48(24.4)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B37F2F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0.250</w:t>
            </w:r>
          </w:p>
        </w:tc>
      </w:tr>
      <w:tr w14:paraId="33AE70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EAFD6E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Visual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3FB8F5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7 (16.3)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8BCE30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41(20.8)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06D5DA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0.501</w:t>
            </w:r>
          </w:p>
        </w:tc>
      </w:tr>
      <w:tr w14:paraId="4A645E7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77034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Sensory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907EA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 (0.0)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E772CA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24(12.2)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DA00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0.016</w:t>
            </w:r>
          </w:p>
        </w:tc>
      </w:tr>
      <w:tr w14:paraId="558C26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7DA2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Language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7684D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 (0.0)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0D6F1A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3(1.5)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5C9C22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0.415</w:t>
            </w:r>
          </w:p>
        </w:tc>
      </w:tr>
      <w:tr w14:paraId="456C699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13973AC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Accompanying symptoms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648A27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5A717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954DB2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14:paraId="1F54592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39294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Ocular pain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BC0D8C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12 (27.9)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D119F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89(45.2)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0CEEE8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0.038</w:t>
            </w:r>
          </w:p>
        </w:tc>
      </w:tr>
      <w:tr w14:paraId="0AE8A06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0C8D86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Nausea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8EC8A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23 (53.5)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F1CDA6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149(75.6)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DEC1C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0.004</w:t>
            </w:r>
          </w:p>
        </w:tc>
      </w:tr>
      <w:tr w14:paraId="3D3A62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BD4710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Vomiting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F1444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18 (41.9)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9E9E7C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112(56.9)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C9461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0.074</w:t>
            </w:r>
          </w:p>
        </w:tc>
      </w:tr>
      <w:tr w14:paraId="3B33FA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44F4873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Osmophobia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7E69C4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 (9.3)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FE5A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44(22.3)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4004E91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0.053</w:t>
            </w:r>
          </w:p>
        </w:tc>
      </w:tr>
      <w:tr w14:paraId="27966A3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AA983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Nasal congestion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330CEB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 (0.0)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D518F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17(8.6)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1C4A8B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0.046</w:t>
            </w:r>
          </w:p>
        </w:tc>
      </w:tr>
      <w:tr w14:paraId="053AC1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16692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Photophobia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26C0C2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16 (37.2)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4EE67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81(41.1)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64E40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0.636</w:t>
            </w:r>
          </w:p>
        </w:tc>
      </w:tr>
      <w:tr w14:paraId="7DDDA9E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5D584B4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Phonophobia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B45F9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23 (53.5)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78F637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111(56.3)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B73A2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0.733</w:t>
            </w:r>
          </w:p>
        </w:tc>
      </w:tr>
      <w:tr w14:paraId="1FD9D9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2242987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Tearing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B3C57C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5 (11.6)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94F376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29(14.7)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62DA8C8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0.598</w:t>
            </w:r>
          </w:p>
        </w:tc>
      </w:tr>
      <w:tr w14:paraId="4B1D5511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261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2DF27C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Rhinorrhea</w:t>
            </w:r>
          </w:p>
        </w:tc>
        <w:tc>
          <w:tcPr>
            <w:tcW w:w="1559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5002AA9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 (2.3)</w:t>
            </w:r>
          </w:p>
        </w:tc>
        <w:tc>
          <w:tcPr>
            <w:tcW w:w="1701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1B797ED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15(7.6)</w:t>
            </w:r>
          </w:p>
        </w:tc>
        <w:tc>
          <w:tcPr>
            <w:tcW w:w="1276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2150B6E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0.208</w:t>
            </w:r>
          </w:p>
        </w:tc>
      </w:tr>
    </w:tbl>
    <w:p w14:paraId="00DF7A3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</w:rPr>
        <w:t>Data are presented as n (%). P values were calculated using Chi-square test or Fisher's exact test as appropriate. *p≤0.05.</w:t>
      </w:r>
    </w:p>
    <w:p w14:paraId="412586FC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360" w:lineRule="auto"/>
        <w:ind w:firstLine="180" w:firstLineChars="100"/>
        <w:jc w:val="both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78EB1AD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64CA21D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744F6CB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067C96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2A5385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04E57A2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6F9CA59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57557B8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3660EA0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10D02B4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4DD0444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70804B2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6DF9B02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366DA80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25AE149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5A1C646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1E96A1A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7D8074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7C1160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08986E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6E43397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62E2920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15C3A8E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kern w:val="2"/>
          <w:sz w:val="18"/>
          <w:szCs w:val="18"/>
        </w:rPr>
      </w:pPr>
    </w:p>
    <w:p w14:paraId="6D5710C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kern w:val="2"/>
          <w:sz w:val="18"/>
          <w:szCs w:val="18"/>
        </w:rPr>
        <w:t>Supplementary Table S</w:t>
      </w:r>
      <w:r>
        <w:rPr>
          <w:rFonts w:hint="default" w:ascii="Times New Roman" w:hAnsi="Times New Roman" w:cs="Times New Roman"/>
          <w:color w:val="auto"/>
          <w:kern w:val="2"/>
          <w:sz w:val="18"/>
          <w:szCs w:val="18"/>
          <w:lang w:val="en-US" w:eastAsia="zh-CN"/>
        </w:rPr>
        <w:t>3</w:t>
      </w:r>
      <w:r>
        <w:rPr>
          <w:rFonts w:hint="default" w:ascii="Times New Roman" w:hAnsi="Times New Roman" w:cs="Times New Roman"/>
          <w:color w:val="auto"/>
          <w:sz w:val="18"/>
          <w:szCs w:val="18"/>
        </w:rPr>
        <w:t>. Acute treatment response in PMM and MRM patients with &lt;4 migraine attacks per month</w:t>
      </w:r>
    </w:p>
    <w:tbl>
      <w:tblPr>
        <w:tblStyle w:val="5"/>
        <w:tblW w:w="8004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746"/>
        <w:gridCol w:w="1944"/>
        <w:gridCol w:w="2097"/>
        <w:gridCol w:w="1217"/>
      </w:tblGrid>
      <w:tr w14:paraId="66765D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Header/>
          <w:jc w:val="center"/>
        </w:trPr>
        <w:tc>
          <w:tcPr>
            <w:tcW w:w="2746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7BED5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944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CBE3D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PMM group</w:t>
            </w:r>
          </w:p>
        </w:tc>
        <w:tc>
          <w:tcPr>
            <w:tcW w:w="209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45BF480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 xml:space="preserve">MRM group </w:t>
            </w:r>
          </w:p>
        </w:tc>
        <w:tc>
          <w:tcPr>
            <w:tcW w:w="1217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1CF3D9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P value</w:t>
            </w:r>
          </w:p>
        </w:tc>
      </w:tr>
      <w:tr w14:paraId="507F801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746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302BCC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NSAIDs efficacy, n/N (%)</w:t>
            </w:r>
          </w:p>
        </w:tc>
        <w:tc>
          <w:tcPr>
            <w:tcW w:w="1944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3F746E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27/28 (96.4)</w:t>
            </w:r>
          </w:p>
        </w:tc>
        <w:tc>
          <w:tcPr>
            <w:tcW w:w="2097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3F8DE79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79/95(83.2%)</w:t>
            </w:r>
          </w:p>
        </w:tc>
        <w:tc>
          <w:tcPr>
            <w:tcW w:w="1217" w:type="dxa"/>
            <w:tcBorders>
              <w:top w:val="single" w:color="auto" w:sz="4" w:space="0"/>
            </w:tcBorders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311FB4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0.116</w:t>
            </w:r>
          </w:p>
        </w:tc>
      </w:tr>
      <w:tr w14:paraId="63EE933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2746" w:type="dxa"/>
            <w:shd w:val="clear" w:color="auto" w:fill="FFFFFF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</w:tcPr>
          <w:p w14:paraId="655B4E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Triptans efficacy, n/N (%)</w:t>
            </w:r>
          </w:p>
        </w:tc>
        <w:tc>
          <w:tcPr>
            <w:tcW w:w="1944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26035BF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4/4 (100)</w:t>
            </w:r>
          </w:p>
        </w:tc>
        <w:tc>
          <w:tcPr>
            <w:tcW w:w="2097" w:type="dxa"/>
            <w:shd w:val="clear" w:color="auto" w:fill="FFFFFF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</w:tcPr>
          <w:p w14:paraId="62464C0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16/20(80%)</w:t>
            </w:r>
          </w:p>
        </w:tc>
        <w:tc>
          <w:tcPr>
            <w:tcW w:w="1217" w:type="dxa"/>
            <w:shd w:val="clear" w:color="auto" w:fill="FFFFFF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</w:tcPr>
          <w:p w14:paraId="17CB53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180" w:firstLineChars="100"/>
              <w:textAlignment w:val="auto"/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8"/>
                <w:szCs w:val="18"/>
              </w:rPr>
              <w:t>0.571</w:t>
            </w:r>
          </w:p>
        </w:tc>
      </w:tr>
    </w:tbl>
    <w:p w14:paraId="05A3F20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180" w:firstLineChars="100"/>
        <w:textAlignment w:val="auto"/>
        <w:rPr>
          <w:rFonts w:hint="default" w:ascii="Times New Roman" w:hAnsi="Times New Roman" w:cs="Times New Roman"/>
          <w:color w:val="auto"/>
          <w:sz w:val="18"/>
          <w:szCs w:val="18"/>
        </w:rPr>
      </w:pPr>
      <w:r>
        <w:rPr>
          <w:rFonts w:hint="default" w:ascii="Times New Roman" w:hAnsi="Times New Roman" w:cs="Times New Roman"/>
          <w:color w:val="auto"/>
          <w:sz w:val="18"/>
          <w:szCs w:val="18"/>
        </w:rPr>
        <w:t xml:space="preserve">Data are presented as n/N (%). P values were calculated using Chi-square test for 3 × 2 contingency tables. PMM: pure menstrual migraine; MRM: menstrual-related migraine; NSAIDs: non-steroidal anti-inflammatory drugs. </w:t>
      </w:r>
      <w:r>
        <w:rPr>
          <w:rFonts w:hint="default" w:ascii="Times New Roman" w:hAnsi="Times New Roman" w:eastAsia="等线" w:cs="Times New Roman"/>
          <w:color w:val="auto"/>
          <w:sz w:val="18"/>
          <w:szCs w:val="18"/>
        </w:rPr>
        <w:t>Only patients with evaluable efficacy data were included in the analysis for each medication. Sample sizes reflect medication users with valid data, not the total subgroup population.</w:t>
      </w:r>
    </w:p>
    <w:p w14:paraId="1ACBAAF9">
      <w:pPr>
        <w:rPr>
          <w:rFonts w:hint="default" w:ascii="Times New Roman" w:hAnsi="Times New Roman" w:cs="Times New Roman"/>
          <w:color w:val="auto"/>
          <w:sz w:val="18"/>
          <w:szCs w:val="1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lnNumType w:countBy="0" w:restart="continuous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65A272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A3B748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DA3B748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A41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宋体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styleId="8">
    <w:name w:val="annotation reference"/>
    <w:basedOn w:val="6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493</Words>
  <Characters>2897</Characters>
  <Lines>0</Lines>
  <Paragraphs>0</Paragraphs>
  <TotalTime>0</TotalTime>
  <ScaleCrop>false</ScaleCrop>
  <LinksUpToDate>false</LinksUpToDate>
  <CharactersWithSpaces>3220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2026-04-23T23:11:00Z</dcterms:created>
  <dc:creator>普卡</dc:creator>
  <cp:lastModifiedBy>普卡</cp:lastModifiedBy>
  <dcterms:modified xsi:type="dcterms:W3CDTF">2026-04-27T13:06:03Z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14595B69B85F44FAB4CCB69DB090D680_13</vt:lpwstr>
  </property>
  <property fmtid="{D5CDD505-2E9C-101B-9397-08002B2CF9AE}" pid="4" name="KSOTemplateDocerSaveRecord">
    <vt:lpwstr>eyJoZGlkIjoiN2QzNzAzZTNmNmI3NDJlMGZiM2ZhODVlYWZiZTQ4NmIiLCJ1c2VySWQiOiI0MDYwMjYzNjkifQ==</vt:lpwstr>
  </property>
</Properties>
</file>