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32AA9">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3EE539AD">
      <w:pPr>
        <w:rPr>
          <w:rFonts w:eastAsia="Times New Roman"/>
          <w:b/>
          <w:sz w:val="20"/>
          <w:szCs w:val="20"/>
          <w:lang w:eastAsia="en-GB"/>
        </w:rPr>
      </w:pPr>
    </w:p>
    <w:tbl>
      <w:tblPr>
        <w:tblStyle w:val="4"/>
        <w:tblW w:w="14490" w:type="dxa"/>
        <w:tblInd w:w="0" w:type="dxa"/>
        <w:tblLayout w:type="autofit"/>
        <w:tblCellMar>
          <w:top w:w="0" w:type="dxa"/>
          <w:left w:w="108" w:type="dxa"/>
          <w:bottom w:w="0" w:type="dxa"/>
          <w:right w:w="108" w:type="dxa"/>
        </w:tblCellMar>
      </w:tblPr>
      <w:tblGrid>
        <w:gridCol w:w="587"/>
        <w:gridCol w:w="1810"/>
        <w:gridCol w:w="6525"/>
        <w:gridCol w:w="1427"/>
        <w:gridCol w:w="4141"/>
      </w:tblGrid>
      <w:tr w14:paraId="68BC94E2">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14:paraId="00DEF8A5">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Item No.</w:t>
            </w:r>
          </w:p>
        </w:tc>
        <w:tc>
          <w:tcPr>
            <w:tcW w:w="1810" w:type="dxa"/>
            <w:tcBorders>
              <w:top w:val="single" w:color="auto" w:sz="4" w:space="0"/>
              <w:bottom w:val="single" w:color="7F7F7F" w:sz="6" w:space="0"/>
            </w:tcBorders>
            <w:shd w:val="clear" w:color="auto" w:fill="auto"/>
          </w:tcPr>
          <w:p w14:paraId="04F587D2">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Section</w:t>
            </w:r>
          </w:p>
        </w:tc>
        <w:tc>
          <w:tcPr>
            <w:tcW w:w="6525" w:type="dxa"/>
            <w:tcBorders>
              <w:top w:val="single" w:color="auto" w:sz="4" w:space="0"/>
              <w:bottom w:val="single" w:color="7F7F7F" w:sz="6" w:space="0"/>
            </w:tcBorders>
            <w:shd w:val="clear" w:color="auto" w:fill="auto"/>
          </w:tcPr>
          <w:p w14:paraId="5A682768">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1427" w:type="dxa"/>
            <w:tcBorders>
              <w:top w:val="single" w:color="auto" w:sz="4" w:space="0"/>
              <w:bottom w:val="single" w:color="7F7F7F" w:sz="6" w:space="0"/>
            </w:tcBorders>
          </w:tcPr>
          <w:p w14:paraId="26D050FB">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Page No.</w:t>
            </w:r>
          </w:p>
        </w:tc>
        <w:tc>
          <w:tcPr>
            <w:tcW w:w="4141" w:type="dxa"/>
            <w:tcBorders>
              <w:top w:val="single" w:color="auto" w:sz="4" w:space="0"/>
              <w:bottom w:val="single" w:color="7F7F7F" w:sz="6" w:space="0"/>
            </w:tcBorders>
          </w:tcPr>
          <w:p w14:paraId="3B169EDD">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Relevant text from manuscript</w:t>
            </w:r>
          </w:p>
        </w:tc>
      </w:tr>
      <w:tr w14:paraId="6D71F361">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14:paraId="25A8835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w:t>
            </w:r>
          </w:p>
        </w:tc>
        <w:tc>
          <w:tcPr>
            <w:tcW w:w="1810" w:type="dxa"/>
            <w:tcBorders>
              <w:top w:val="single" w:color="7F7F7F" w:sz="6" w:space="0"/>
              <w:bottom w:val="single" w:color="7F7F7F" w:sz="6" w:space="0"/>
            </w:tcBorders>
            <w:shd w:val="clear" w:color="auto" w:fill="EEEEEE"/>
          </w:tcPr>
          <w:p w14:paraId="4CC4316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6525" w:type="dxa"/>
            <w:tcBorders>
              <w:top w:val="single" w:color="7F7F7F" w:sz="6" w:space="0"/>
              <w:bottom w:val="single" w:color="7F7F7F" w:sz="6" w:space="0"/>
            </w:tcBorders>
            <w:shd w:val="clear" w:color="auto" w:fill="EEEEEE"/>
          </w:tcPr>
          <w:p w14:paraId="1DA8BD4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Indicate Mendelian randomization (MR) as the study’s design in the title and/or the abstract if that is a main purpose of the study</w:t>
            </w:r>
          </w:p>
        </w:tc>
        <w:tc>
          <w:tcPr>
            <w:tcW w:w="1427" w:type="dxa"/>
            <w:tcBorders>
              <w:top w:val="single" w:color="7F7F7F" w:sz="6" w:space="0"/>
              <w:bottom w:val="single" w:color="7F7F7F" w:sz="6" w:space="0"/>
            </w:tcBorders>
            <w:shd w:val="clear" w:color="auto" w:fill="EEEEEE"/>
          </w:tcPr>
          <w:p w14:paraId="428F187D">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1</w:t>
            </w:r>
          </w:p>
        </w:tc>
        <w:tc>
          <w:tcPr>
            <w:tcW w:w="4141" w:type="dxa"/>
            <w:tcBorders>
              <w:top w:val="single" w:color="7F7F7F" w:sz="6" w:space="0"/>
              <w:bottom w:val="single" w:color="7F7F7F" w:sz="6" w:space="0"/>
            </w:tcBorders>
            <w:shd w:val="clear" w:color="auto" w:fill="EEEEEE"/>
          </w:tcPr>
          <w:p w14:paraId="2F6D1FAF">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Life’s Essential 8 Factors and Their Impact on the Risk of Stroke and Dementia: A Mendelian Randomization Study. The title and abstract clearly indicate that this was a Mendelian randomization study. The abstract states that a two-sample Mendelian randomization approach was used to assess the associations between Life’s Essential 8-related factors and the risks of stroke and dementia.</w:t>
            </w:r>
          </w:p>
        </w:tc>
      </w:tr>
      <w:tr w14:paraId="641E6A58">
        <w:tblPrEx>
          <w:tblCellMar>
            <w:top w:w="0" w:type="dxa"/>
            <w:left w:w="108" w:type="dxa"/>
            <w:bottom w:w="0" w:type="dxa"/>
            <w:right w:w="108" w:type="dxa"/>
          </w:tblCellMar>
        </w:tblPrEx>
        <w:tc>
          <w:tcPr>
            <w:tcW w:w="587" w:type="dxa"/>
            <w:tcBorders>
              <w:top w:val="single" w:color="7F7F7F" w:sz="6" w:space="0"/>
            </w:tcBorders>
            <w:shd w:val="clear" w:color="auto" w:fill="auto"/>
          </w:tcPr>
          <w:p w14:paraId="4792BEFB">
            <w:pPr>
              <w:spacing w:before="96" w:beforeLines="40" w:after="96" w:afterLines="40" w:line="24" w:lineRule="atLeast"/>
              <w:rPr>
                <w:rFonts w:eastAsia="Times New Roman"/>
                <w:b/>
                <w:bCs/>
                <w:sz w:val="18"/>
                <w:szCs w:val="18"/>
                <w:lang w:val="en-GB" w:eastAsia="en-GB"/>
              </w:rPr>
            </w:pPr>
          </w:p>
        </w:tc>
        <w:tc>
          <w:tcPr>
            <w:tcW w:w="1810" w:type="dxa"/>
            <w:tcBorders>
              <w:top w:val="single" w:color="7F7F7F" w:sz="6" w:space="0"/>
            </w:tcBorders>
            <w:shd w:val="clear" w:color="auto" w:fill="auto"/>
          </w:tcPr>
          <w:p w14:paraId="63B58F01">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INTRODUCTION</w:t>
            </w:r>
          </w:p>
        </w:tc>
        <w:tc>
          <w:tcPr>
            <w:tcW w:w="6525" w:type="dxa"/>
            <w:tcBorders>
              <w:top w:val="single" w:color="7F7F7F" w:sz="6" w:space="0"/>
            </w:tcBorders>
            <w:shd w:val="clear" w:color="auto" w:fill="auto"/>
          </w:tcPr>
          <w:p w14:paraId="473C01D0">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tcPr>
          <w:p w14:paraId="6681F500">
            <w:pPr>
              <w:spacing w:before="96" w:beforeLines="40" w:after="96" w:afterLines="40" w:line="24" w:lineRule="atLeast"/>
              <w:rPr>
                <w:rFonts w:eastAsia="Cambria"/>
                <w:sz w:val="18"/>
                <w:szCs w:val="18"/>
                <w:lang w:val="en-GB" w:eastAsia="en-US"/>
              </w:rPr>
            </w:pPr>
          </w:p>
        </w:tc>
        <w:tc>
          <w:tcPr>
            <w:tcW w:w="4141" w:type="dxa"/>
            <w:tcBorders>
              <w:top w:val="single" w:color="7F7F7F" w:sz="6" w:space="0"/>
            </w:tcBorders>
          </w:tcPr>
          <w:p w14:paraId="7A6DC6E9">
            <w:pPr>
              <w:spacing w:before="96" w:beforeLines="40" w:after="96" w:afterLines="40" w:line="24" w:lineRule="atLeast"/>
              <w:rPr>
                <w:rFonts w:eastAsia="Cambria"/>
                <w:sz w:val="18"/>
                <w:szCs w:val="18"/>
                <w:lang w:val="en-GB" w:eastAsia="en-US"/>
              </w:rPr>
            </w:pPr>
          </w:p>
        </w:tc>
      </w:tr>
      <w:tr w14:paraId="7DB622D8">
        <w:tblPrEx>
          <w:tblCellMar>
            <w:top w:w="0" w:type="dxa"/>
            <w:left w:w="108" w:type="dxa"/>
            <w:bottom w:w="0" w:type="dxa"/>
            <w:right w:w="108" w:type="dxa"/>
          </w:tblCellMar>
        </w:tblPrEx>
        <w:tc>
          <w:tcPr>
            <w:tcW w:w="587" w:type="dxa"/>
            <w:shd w:val="clear" w:color="auto" w:fill="EEEEEE"/>
          </w:tcPr>
          <w:p w14:paraId="7DE28D61">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w:t>
            </w:r>
          </w:p>
        </w:tc>
        <w:tc>
          <w:tcPr>
            <w:tcW w:w="1810" w:type="dxa"/>
            <w:shd w:val="clear" w:color="auto" w:fill="EEEEEE"/>
          </w:tcPr>
          <w:p w14:paraId="7756B327">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Background</w:t>
            </w:r>
          </w:p>
        </w:tc>
        <w:tc>
          <w:tcPr>
            <w:tcW w:w="6525" w:type="dxa"/>
            <w:shd w:val="clear" w:color="auto" w:fill="EEEEEE"/>
          </w:tcPr>
          <w:p w14:paraId="5423D52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1427" w:type="dxa"/>
            <w:shd w:val="clear" w:color="auto" w:fill="EEEEEE"/>
          </w:tcPr>
          <w:p w14:paraId="460FB29C">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2-4</w:t>
            </w:r>
          </w:p>
        </w:tc>
        <w:tc>
          <w:tcPr>
            <w:tcW w:w="4141" w:type="dxa"/>
            <w:shd w:val="clear" w:color="auto" w:fill="EEEEEE"/>
          </w:tcPr>
          <w:p w14:paraId="5D990A22">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The manuscript explains that stroke and dementia impose substantial global health and economic burdens and are associated with modifiable lifestyle and cardiometabolic factors, including diet, physical activity, nicotine exposure, sleep health, body mass index, blood lipids, blood glucose, and blood pressure. Life’s Essential 8 provides a systematic framework for evaluating these modifiable factors. Mendelian randomization was used because it can reduce confounding and reverse causation compared with conventional observational studies, although causal interpretation depends on the validity of the instrumental variable assumptions.</w:t>
            </w:r>
          </w:p>
        </w:tc>
      </w:tr>
      <w:tr w14:paraId="7907A3D3">
        <w:tblPrEx>
          <w:tblCellMar>
            <w:top w:w="0" w:type="dxa"/>
            <w:left w:w="108" w:type="dxa"/>
            <w:bottom w:w="0" w:type="dxa"/>
            <w:right w:w="108" w:type="dxa"/>
          </w:tblCellMar>
        </w:tblPrEx>
        <w:tc>
          <w:tcPr>
            <w:tcW w:w="587" w:type="dxa"/>
            <w:tcBorders>
              <w:bottom w:val="single" w:color="7F7F7F" w:sz="6" w:space="0"/>
            </w:tcBorders>
            <w:shd w:val="clear" w:color="auto" w:fill="auto"/>
          </w:tcPr>
          <w:p w14:paraId="4F63B034">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3</w:t>
            </w:r>
          </w:p>
        </w:tc>
        <w:tc>
          <w:tcPr>
            <w:tcW w:w="1810" w:type="dxa"/>
            <w:tcBorders>
              <w:bottom w:val="single" w:color="7F7F7F" w:sz="6" w:space="0"/>
            </w:tcBorders>
            <w:shd w:val="clear" w:color="auto" w:fill="auto"/>
          </w:tcPr>
          <w:p w14:paraId="3E6B9EE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Objectives</w:t>
            </w:r>
          </w:p>
        </w:tc>
        <w:tc>
          <w:tcPr>
            <w:tcW w:w="6525" w:type="dxa"/>
            <w:tcBorders>
              <w:bottom w:val="single" w:color="7F7F7F" w:sz="6" w:space="0"/>
            </w:tcBorders>
            <w:shd w:val="clear" w:color="auto" w:fill="auto"/>
          </w:tcPr>
          <w:p w14:paraId="41BC8A0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1427" w:type="dxa"/>
            <w:tcBorders>
              <w:bottom w:val="single" w:color="7F7F7F" w:sz="6" w:space="0"/>
            </w:tcBorders>
          </w:tcPr>
          <w:p w14:paraId="2294F6C5">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2-4</w:t>
            </w:r>
          </w:p>
        </w:tc>
        <w:tc>
          <w:tcPr>
            <w:tcW w:w="4141" w:type="dxa"/>
            <w:tcBorders>
              <w:bottom w:val="single" w:color="7F7F7F" w:sz="6" w:space="0"/>
            </w:tcBorders>
          </w:tcPr>
          <w:p w14:paraId="11250836">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objective of this study was to evaluate the potential causal associations between Life’s Essential 8-related lifestyle and cardiometabolic factors and the risks of stroke and dementia using a two-sample Mendelian randomization design. The manuscript states that MR estimates may represent potential causal effects only under specific assumptions, including instrument relevance, independence from confounders, and exclusion restriction.</w:t>
            </w:r>
          </w:p>
        </w:tc>
      </w:tr>
      <w:tr w14:paraId="59599383">
        <w:tblPrEx>
          <w:tblCellMar>
            <w:top w:w="0" w:type="dxa"/>
            <w:left w:w="108" w:type="dxa"/>
            <w:bottom w:w="0" w:type="dxa"/>
            <w:right w:w="108" w:type="dxa"/>
          </w:tblCellMar>
        </w:tblPrEx>
        <w:tc>
          <w:tcPr>
            <w:tcW w:w="587" w:type="dxa"/>
            <w:tcBorders>
              <w:top w:val="single" w:color="7F7F7F" w:sz="6" w:space="0"/>
            </w:tcBorders>
            <w:shd w:val="clear" w:color="auto" w:fill="EEEEEE"/>
          </w:tcPr>
          <w:p w14:paraId="3524D6D4">
            <w:pPr>
              <w:spacing w:before="96" w:beforeLines="40" w:after="96" w:afterLines="40" w:line="24" w:lineRule="atLeast"/>
              <w:rPr>
                <w:rFonts w:eastAsia="Times New Roman"/>
                <w:b/>
                <w:bCs/>
                <w:sz w:val="18"/>
                <w:szCs w:val="18"/>
                <w:lang w:val="en-GB" w:eastAsia="en-GB"/>
              </w:rPr>
            </w:pPr>
          </w:p>
        </w:tc>
        <w:tc>
          <w:tcPr>
            <w:tcW w:w="1810" w:type="dxa"/>
            <w:tcBorders>
              <w:top w:val="single" w:color="7F7F7F" w:sz="6" w:space="0"/>
            </w:tcBorders>
            <w:shd w:val="clear" w:color="auto" w:fill="EEEEEE"/>
          </w:tcPr>
          <w:p w14:paraId="6152628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METHODS</w:t>
            </w:r>
          </w:p>
        </w:tc>
        <w:tc>
          <w:tcPr>
            <w:tcW w:w="6525" w:type="dxa"/>
            <w:tcBorders>
              <w:top w:val="single" w:color="7F7F7F" w:sz="6" w:space="0"/>
            </w:tcBorders>
            <w:shd w:val="clear" w:color="auto" w:fill="EEEEEE"/>
          </w:tcPr>
          <w:p w14:paraId="309B8567">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shd w:val="clear" w:color="auto" w:fill="EEEEEE"/>
          </w:tcPr>
          <w:p w14:paraId="2FFEF450">
            <w:pPr>
              <w:spacing w:before="96" w:beforeLines="40" w:after="96" w:afterLines="40" w:line="24" w:lineRule="atLeast"/>
              <w:rPr>
                <w:rFonts w:eastAsia="Cambria"/>
                <w:sz w:val="18"/>
                <w:szCs w:val="18"/>
                <w:lang w:val="en-GB" w:eastAsia="en-US"/>
              </w:rPr>
            </w:pPr>
          </w:p>
        </w:tc>
        <w:tc>
          <w:tcPr>
            <w:tcW w:w="4141" w:type="dxa"/>
            <w:tcBorders>
              <w:top w:val="single" w:color="7F7F7F" w:sz="6" w:space="0"/>
            </w:tcBorders>
            <w:shd w:val="clear" w:color="auto" w:fill="EEEEEE"/>
          </w:tcPr>
          <w:p w14:paraId="6CB9315A">
            <w:pPr>
              <w:spacing w:before="96" w:beforeLines="40" w:after="96" w:afterLines="40" w:line="24" w:lineRule="atLeast"/>
              <w:rPr>
                <w:rFonts w:eastAsia="Cambria"/>
                <w:sz w:val="18"/>
                <w:szCs w:val="18"/>
                <w:lang w:val="en-GB" w:eastAsia="en-US"/>
              </w:rPr>
            </w:pPr>
          </w:p>
        </w:tc>
      </w:tr>
      <w:tr w14:paraId="6440155E">
        <w:tblPrEx>
          <w:tblCellMar>
            <w:top w:w="0" w:type="dxa"/>
            <w:left w:w="108" w:type="dxa"/>
            <w:bottom w:w="0" w:type="dxa"/>
            <w:right w:w="108" w:type="dxa"/>
          </w:tblCellMar>
        </w:tblPrEx>
        <w:tc>
          <w:tcPr>
            <w:tcW w:w="587" w:type="dxa"/>
            <w:shd w:val="clear" w:color="auto" w:fill="auto"/>
          </w:tcPr>
          <w:p w14:paraId="5C7CF34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4</w:t>
            </w:r>
          </w:p>
        </w:tc>
        <w:tc>
          <w:tcPr>
            <w:tcW w:w="1810" w:type="dxa"/>
            <w:shd w:val="clear" w:color="auto" w:fill="auto"/>
          </w:tcPr>
          <w:p w14:paraId="408E2A8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6525" w:type="dxa"/>
            <w:shd w:val="clear" w:color="auto" w:fill="auto"/>
          </w:tcPr>
          <w:p w14:paraId="29029CA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1427" w:type="dxa"/>
          </w:tcPr>
          <w:p w14:paraId="0E181C7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5</w:t>
            </w:r>
          </w:p>
        </w:tc>
        <w:tc>
          <w:tcPr>
            <w:tcW w:w="4141" w:type="dxa"/>
          </w:tcPr>
          <w:p w14:paraId="23CE0AC6">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manuscript presents the key elements of the two-sample MR design in the Methods section and illustrates the study workflow in Figure 2. Summary-level GWAS data were used for Life’s Essential 8-related exposures and for stroke and dementia-related outcomes. The outcome datasets included ischemic stroke subtypes and dementia-related outcomes.</w:t>
            </w:r>
          </w:p>
        </w:tc>
      </w:tr>
      <w:tr w14:paraId="47D5AE21">
        <w:tblPrEx>
          <w:tblCellMar>
            <w:top w:w="0" w:type="dxa"/>
            <w:left w:w="108" w:type="dxa"/>
            <w:bottom w:w="0" w:type="dxa"/>
            <w:right w:w="108" w:type="dxa"/>
          </w:tblCellMar>
        </w:tblPrEx>
        <w:tc>
          <w:tcPr>
            <w:tcW w:w="587" w:type="dxa"/>
            <w:shd w:val="clear" w:color="auto" w:fill="EEEEEE"/>
          </w:tcPr>
          <w:p w14:paraId="0980B688">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29E72ACB">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25" w:type="dxa"/>
            <w:shd w:val="clear" w:color="auto" w:fill="EEEEEE"/>
          </w:tcPr>
          <w:p w14:paraId="246167BE">
            <w:pPr>
              <w:spacing w:before="96" w:beforeLines="40" w:after="96" w:afterLines="40" w:line="24" w:lineRule="atLeast"/>
              <w:rPr>
                <w:rFonts w:eastAsia="Cambria"/>
                <w:sz w:val="18"/>
                <w:szCs w:val="18"/>
                <w:lang w:val="en-GB" w:eastAsia="en-US"/>
              </w:rPr>
            </w:pPr>
            <w:r>
              <w:rPr>
                <w:rFonts w:eastAsia="Times New Roman"/>
                <w:sz w:val="18"/>
                <w:szCs w:val="18"/>
                <w:shd w:val="clear" w:color="auto" w:fill="FFFFFF"/>
                <w:lang w:val="en-GB" w:eastAsia="en-GB"/>
              </w:rPr>
              <w:t xml:space="preserve">Setting: </w:t>
            </w:r>
            <w:r>
              <w:rPr>
                <w:rFonts w:eastAsia="Times New Roman"/>
                <w:sz w:val="18"/>
                <w:szCs w:val="18"/>
                <w:lang w:val="en-GB" w:eastAsia="en-GB"/>
              </w:rPr>
              <w:t xml:space="preserve">Describe the study design and the underlying population, if possible. </w:t>
            </w:r>
            <w:r>
              <w:rPr>
                <w:rFonts w:eastAsia="Times New Roman"/>
                <w:sz w:val="18"/>
                <w:szCs w:val="18"/>
                <w:shd w:val="clear" w:color="auto" w:fill="FFFFFF"/>
                <w:lang w:val="en-GB" w:eastAsia="en-GB"/>
              </w:rPr>
              <w:t xml:space="preserve">Describe the setting, locations, and relevant dates, including periods </w:t>
            </w:r>
            <w:r>
              <w:rPr>
                <w:rFonts w:eastAsia="Times New Roman"/>
                <w:color w:val="000000"/>
                <w:sz w:val="18"/>
                <w:szCs w:val="18"/>
                <w:shd w:val="clear" w:color="auto" w:fill="FFFFFF"/>
                <w:lang w:val="en-GB" w:eastAsia="en-GB"/>
              </w:rPr>
              <w:t>of recruitment, exposure, follow-up, and data collection, when available.</w:t>
            </w:r>
          </w:p>
        </w:tc>
        <w:tc>
          <w:tcPr>
            <w:tcW w:w="1427" w:type="dxa"/>
            <w:shd w:val="clear" w:color="auto" w:fill="EEEEEE"/>
          </w:tcPr>
          <w:p w14:paraId="048ED5CF">
            <w:pPr>
              <w:spacing w:before="96" w:beforeLines="40" w:after="96" w:afterLines="40" w:line="24" w:lineRule="atLeast"/>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5-8</w:t>
            </w:r>
          </w:p>
        </w:tc>
        <w:tc>
          <w:tcPr>
            <w:tcW w:w="4141" w:type="dxa"/>
            <w:shd w:val="clear" w:color="auto" w:fill="EEEEEE"/>
          </w:tcPr>
          <w:p w14:paraId="33F4171D">
            <w:pPr>
              <w:spacing w:before="96" w:beforeLines="40" w:after="96" w:afterLines="40" w:line="24" w:lineRule="atLeast"/>
              <w:rPr>
                <w:rFonts w:eastAsia="Times New Roman"/>
                <w:sz w:val="18"/>
                <w:szCs w:val="18"/>
                <w:shd w:val="clear" w:color="auto" w:fill="FFFFFF"/>
                <w:lang w:val="en-GB" w:eastAsia="en-GB"/>
              </w:rPr>
            </w:pPr>
            <w:r>
              <w:rPr>
                <w:rFonts w:eastAsia="Times New Roman"/>
                <w:sz w:val="18"/>
                <w:szCs w:val="18"/>
                <w:shd w:val="clear" w:color="auto" w:fill="FFFFFF"/>
                <w:lang w:val="en-GB" w:eastAsia="en-GB"/>
              </w:rPr>
              <w:t>The exposure data were derived mainly from UK Biobank-related GWAS datasets. The UK Biobank is a large-scale cohort study of 502,383 participants aged 40–69 years recruited from 22 centers in the United Kingdom between March 2006 and October 2010. The outcome GWAS datasets included European-ancestry populations for large artery atherosclerotic stroke, small-vessel stroke, cardioembolic stroke, all-cause dementia, Alzheimer’s disease dementia, and vascular dementia.</w:t>
            </w:r>
          </w:p>
        </w:tc>
      </w:tr>
      <w:tr w14:paraId="376A6F82">
        <w:tblPrEx>
          <w:tblCellMar>
            <w:top w:w="0" w:type="dxa"/>
            <w:left w:w="108" w:type="dxa"/>
            <w:bottom w:w="0" w:type="dxa"/>
            <w:right w:w="108" w:type="dxa"/>
          </w:tblCellMar>
        </w:tblPrEx>
        <w:tc>
          <w:tcPr>
            <w:tcW w:w="587" w:type="dxa"/>
            <w:shd w:val="clear" w:color="auto" w:fill="auto"/>
          </w:tcPr>
          <w:p w14:paraId="6B85F41D">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0CF2EB5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25" w:type="dxa"/>
            <w:shd w:val="clear" w:color="auto" w:fill="auto"/>
          </w:tcPr>
          <w:p w14:paraId="5E3BCE69">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 xml:space="preserve">Participants: Give the eligibility criteria, and the sources and methods of selection of participants. </w:t>
            </w:r>
            <w:r>
              <w:rPr>
                <w:rFonts w:eastAsia="Times New Roman"/>
                <w:color w:val="000000"/>
                <w:sz w:val="18"/>
                <w:szCs w:val="18"/>
              </w:rPr>
              <w:t>Report the sample size, and whether any power or sample size calculations were carried out prior to the main analysis</w:t>
            </w:r>
            <w:r>
              <w:rPr>
                <w:rFonts w:eastAsia="Times New Roman"/>
                <w:sz w:val="18"/>
                <w:szCs w:val="18"/>
                <w:lang w:val="en-GB" w:eastAsia="en-GB"/>
              </w:rPr>
              <w:t> </w:t>
            </w:r>
          </w:p>
        </w:tc>
        <w:tc>
          <w:tcPr>
            <w:tcW w:w="1427" w:type="dxa"/>
          </w:tcPr>
          <w:p w14:paraId="29ACC32C">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5-8</w:t>
            </w:r>
          </w:p>
        </w:tc>
        <w:tc>
          <w:tcPr>
            <w:tcW w:w="4141" w:type="dxa"/>
          </w:tcPr>
          <w:p w14:paraId="37C3B4C3">
            <w:pPr>
              <w:spacing w:before="96" w:beforeLines="40" w:after="96" w:afterLines="40" w:line="24" w:lineRule="atLeast"/>
              <w:textAlignment w:val="baseline"/>
              <w:rPr>
                <w:rFonts w:eastAsia="Times New Roman"/>
                <w:sz w:val="18"/>
                <w:szCs w:val="18"/>
                <w:shd w:val="clear" w:color="auto" w:fill="FFFFFF"/>
                <w:lang w:val="en-GB" w:eastAsia="en-GB"/>
              </w:rPr>
            </w:pPr>
            <w:r>
              <w:rPr>
                <w:rFonts w:eastAsia="Times New Roman"/>
                <w:sz w:val="18"/>
                <w:szCs w:val="18"/>
                <w:shd w:val="clear" w:color="auto" w:fill="FFFFFF"/>
                <w:lang w:val="en-GB" w:eastAsia="en-GB"/>
              </w:rPr>
              <w:t>This study used summary-level GWAS data rather than individual-level participant data. Participant eligibility criteria, recruitment procedures, and missing-data handling were determined by the original GWAS and UK Biobank studies. The outcome datasets included large artery atherosclerotic stroke, small-vessel stroke, cardioembolic stroke, all-cause dementia, Alzheimer’s disease dementia, and vascular dementia. No independent sample-size or power calculation was performed before the main MR analysis.</w:t>
            </w:r>
          </w:p>
        </w:tc>
      </w:tr>
      <w:tr w14:paraId="04B065C7">
        <w:tblPrEx>
          <w:tblCellMar>
            <w:top w:w="0" w:type="dxa"/>
            <w:left w:w="108" w:type="dxa"/>
            <w:bottom w:w="0" w:type="dxa"/>
            <w:right w:w="108" w:type="dxa"/>
          </w:tblCellMar>
        </w:tblPrEx>
        <w:tc>
          <w:tcPr>
            <w:tcW w:w="587" w:type="dxa"/>
            <w:shd w:val="clear" w:color="auto" w:fill="EEEEEE"/>
          </w:tcPr>
          <w:p w14:paraId="09448E25">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260DD29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25" w:type="dxa"/>
            <w:shd w:val="clear" w:color="auto" w:fill="EEEEEE"/>
          </w:tcPr>
          <w:p w14:paraId="7B54F10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measurement, quality control and selection of genetic variants</w:t>
            </w:r>
          </w:p>
        </w:tc>
        <w:tc>
          <w:tcPr>
            <w:tcW w:w="1427" w:type="dxa"/>
            <w:shd w:val="clear" w:color="auto" w:fill="EEEEEE"/>
          </w:tcPr>
          <w:p w14:paraId="2CDB28F5">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141" w:type="dxa"/>
            <w:shd w:val="clear" w:color="auto" w:fill="EEEEEE"/>
          </w:tcPr>
          <w:p w14:paraId="26B556E6">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Independent genetic variants associated with Life’s Essential 8-related exposures were selected as instrumental variables. SNPs were screened according to genome-wide significance or exposure-specific selection thresholds where applicable. Linkage disequilibrium clumping was performed using r² &lt; 0.001 and a clumping distance of 10,000 kb based on the European 1000 Genomes reference panel. Palindromic SNPs and incompatible variants were removed during harmonization. PhenoScanner was used to identify and exclude SNPs potentially associated with confounders.</w:t>
            </w:r>
          </w:p>
        </w:tc>
      </w:tr>
      <w:tr w14:paraId="215DDE8E">
        <w:tblPrEx>
          <w:tblCellMar>
            <w:top w:w="0" w:type="dxa"/>
            <w:left w:w="108" w:type="dxa"/>
            <w:bottom w:w="0" w:type="dxa"/>
            <w:right w:w="108" w:type="dxa"/>
          </w:tblCellMar>
        </w:tblPrEx>
        <w:tc>
          <w:tcPr>
            <w:tcW w:w="587" w:type="dxa"/>
            <w:shd w:val="clear" w:color="auto" w:fill="auto"/>
          </w:tcPr>
          <w:p w14:paraId="7E3D460D">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0FB55AD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25" w:type="dxa"/>
            <w:shd w:val="clear" w:color="auto" w:fill="auto"/>
          </w:tcPr>
          <w:p w14:paraId="3B6B6065">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1427" w:type="dxa"/>
          </w:tcPr>
          <w:p w14:paraId="37FB656C">
            <w:pPr>
              <w:spacing w:before="96" w:beforeLines="40" w:after="96" w:afterLines="40" w:line="24" w:lineRule="atLeast"/>
              <w:textAlignment w:val="baseline"/>
              <w:rPr>
                <w:rFonts w:hint="eastAsia" w:eastAsia="宋体"/>
                <w:sz w:val="18"/>
                <w:szCs w:val="18"/>
                <w:shd w:val="clear" w:color="auto" w:fill="FFFFFF"/>
                <w:lang w:val="en-US" w:eastAsia="zh-CN"/>
              </w:rPr>
            </w:pPr>
            <w:r>
              <w:rPr>
                <w:rFonts w:hint="eastAsia" w:eastAsia="宋体"/>
                <w:sz w:val="18"/>
                <w:szCs w:val="18"/>
                <w:shd w:val="clear" w:color="auto" w:fill="FFFFFF"/>
                <w:lang w:val="en-US" w:eastAsia="zh-CN"/>
              </w:rPr>
              <w:t>7</w:t>
            </w:r>
          </w:p>
        </w:tc>
        <w:tc>
          <w:tcPr>
            <w:tcW w:w="4141" w:type="dxa"/>
          </w:tcPr>
          <w:p w14:paraId="13C2FF6C">
            <w:pPr>
              <w:spacing w:before="96" w:beforeLines="40" w:after="96" w:afterLines="40" w:line="24" w:lineRule="atLeast"/>
              <w:textAlignment w:val="baseline"/>
              <w:rPr>
                <w:rFonts w:eastAsia="Times New Roman"/>
                <w:sz w:val="18"/>
                <w:szCs w:val="18"/>
                <w:shd w:val="clear" w:color="auto" w:fill="FFFFFF"/>
                <w:lang w:val="en-GB" w:eastAsia="en-GB"/>
              </w:rPr>
            </w:pPr>
            <w:r>
              <w:rPr>
                <w:rFonts w:eastAsia="Times New Roman"/>
                <w:sz w:val="18"/>
                <w:szCs w:val="18"/>
                <w:shd w:val="clear" w:color="auto" w:fill="FFFFFF"/>
                <w:lang w:val="en-GB" w:eastAsia="en-GB"/>
              </w:rPr>
              <w:t>Life’s Essential 8-related exposures included diet, physical activity, nicotine exposure, sleep health, body mass index, blood lipids, blood glucose, and blood pressure-related traits. Stroke outcomes included large artery atherosclerotic stroke, small-vessel stroke, and cardioembolic stroke. Dementia-related outcomes included all-cause dementia, Alzheimer’s disease dementia, and vascular dementia. Outcome GWAS datasets were listed in Table 1 with GWAS IDs, sample sizes, SNP numbers, and population ancestry.</w:t>
            </w:r>
          </w:p>
        </w:tc>
      </w:tr>
      <w:tr w14:paraId="69A6C8B1">
        <w:tblPrEx>
          <w:tblCellMar>
            <w:top w:w="0" w:type="dxa"/>
            <w:left w:w="108" w:type="dxa"/>
            <w:bottom w:w="0" w:type="dxa"/>
            <w:right w:w="108" w:type="dxa"/>
          </w:tblCellMar>
        </w:tblPrEx>
        <w:tc>
          <w:tcPr>
            <w:tcW w:w="587" w:type="dxa"/>
            <w:shd w:val="clear" w:color="auto" w:fill="EEEEEE"/>
          </w:tcPr>
          <w:p w14:paraId="292FBB97">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273C46B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6525" w:type="dxa"/>
            <w:shd w:val="clear" w:color="auto" w:fill="EEEEEE"/>
          </w:tcPr>
          <w:p w14:paraId="4E713FBB">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Provide details of ethics committee approval and participant informed consent, if relevant</w:t>
            </w:r>
          </w:p>
        </w:tc>
        <w:tc>
          <w:tcPr>
            <w:tcW w:w="1427" w:type="dxa"/>
            <w:shd w:val="clear" w:color="auto" w:fill="EEEEEE"/>
          </w:tcPr>
          <w:p w14:paraId="2754FA07">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7-8</w:t>
            </w:r>
          </w:p>
        </w:tc>
        <w:tc>
          <w:tcPr>
            <w:tcW w:w="4141" w:type="dxa"/>
            <w:shd w:val="clear" w:color="auto" w:fill="EEEEEE"/>
          </w:tcPr>
          <w:p w14:paraId="6067A95B">
            <w:pPr>
              <w:spacing w:before="96" w:beforeLines="40" w:after="96" w:afterLines="40" w:line="24" w:lineRule="atLeast"/>
              <w:textAlignment w:val="baseline"/>
              <w:rPr>
                <w:rFonts w:hint="eastAsia" w:eastAsia="宋体"/>
                <w:sz w:val="18"/>
                <w:szCs w:val="18"/>
                <w:shd w:val="clear" w:color="auto" w:fill="FFFFFF"/>
                <w:lang w:val="en-US" w:eastAsia="zh-CN"/>
              </w:rPr>
            </w:pPr>
            <w:r>
              <w:rPr>
                <w:rFonts w:hint="eastAsia" w:eastAsia="Times New Roman"/>
                <w:sz w:val="18"/>
                <w:szCs w:val="18"/>
                <w:shd w:val="clear" w:color="auto" w:fill="FFFFFF"/>
                <w:lang w:val="en-GB" w:eastAsia="en-GB"/>
              </w:rPr>
              <w:t xml:space="preserve">The datasets presented in this study can be found in online repositories. The names of the repository/repositories and accession number(s) can be found at: </w:t>
            </w:r>
            <w:r>
              <w:rPr>
                <w:rFonts w:hint="eastAsia" w:eastAsia="Times New Roman"/>
                <w:sz w:val="18"/>
                <w:szCs w:val="18"/>
                <w:shd w:val="clear" w:color="auto" w:fill="FFFFFF"/>
                <w:lang w:val="en-GB" w:eastAsia="en-GB"/>
              </w:rPr>
              <w:fldChar w:fldCharType="begin"/>
            </w:r>
            <w:r>
              <w:rPr>
                <w:rFonts w:hint="eastAsia" w:eastAsia="Times New Roman"/>
                <w:sz w:val="18"/>
                <w:szCs w:val="18"/>
                <w:shd w:val="clear" w:color="auto" w:fill="FFFFFF"/>
                <w:lang w:val="en-GB" w:eastAsia="en-GB"/>
              </w:rPr>
              <w:instrText xml:space="preserve"> HYPERLINK "https://gwas.mrcieu.ac.uk/." </w:instrText>
            </w:r>
            <w:r>
              <w:rPr>
                <w:rFonts w:hint="eastAsia" w:eastAsia="Times New Roman"/>
                <w:sz w:val="18"/>
                <w:szCs w:val="18"/>
                <w:shd w:val="clear" w:color="auto" w:fill="FFFFFF"/>
                <w:lang w:val="en-GB" w:eastAsia="en-GB"/>
              </w:rPr>
              <w:fldChar w:fldCharType="separate"/>
            </w:r>
            <w:r>
              <w:rPr>
                <w:rStyle w:val="9"/>
                <w:rFonts w:hint="eastAsia" w:eastAsia="Times New Roman"/>
                <w:sz w:val="18"/>
                <w:szCs w:val="18"/>
                <w:shd w:val="clear" w:color="auto" w:fill="FFFFFF"/>
                <w:lang w:val="en-GB" w:eastAsia="en-GB"/>
              </w:rPr>
              <w:t>https://gwas.mrcieu.ac.uk/.</w:t>
            </w:r>
            <w:r>
              <w:rPr>
                <w:rFonts w:hint="eastAsia" w:eastAsia="Times New Roman"/>
                <w:sz w:val="18"/>
                <w:szCs w:val="18"/>
                <w:shd w:val="clear" w:color="auto" w:fill="FFFFFF"/>
                <w:lang w:val="en-GB" w:eastAsia="en-GB"/>
              </w:rPr>
              <w:fldChar w:fldCharType="end"/>
            </w:r>
            <w:r>
              <w:rPr>
                <w:rFonts w:hint="eastAsia" w:eastAsia="宋体"/>
                <w:sz w:val="18"/>
                <w:szCs w:val="18"/>
                <w:shd w:val="clear" w:color="auto" w:fill="FFFFFF"/>
                <w:lang w:val="en-US" w:eastAsia="zh-CN"/>
              </w:rPr>
              <w:t xml:space="preserve"> The data used in this study were obtained from publicly available summary statistics from genome-wide association studies (GWASs). All studies were approved by the relevant institutional review boards, and informed consent was obtained from all participants.</w:t>
            </w:r>
          </w:p>
        </w:tc>
      </w:tr>
      <w:tr w14:paraId="23EA53EC">
        <w:tblPrEx>
          <w:tblCellMar>
            <w:top w:w="0" w:type="dxa"/>
            <w:left w:w="108" w:type="dxa"/>
            <w:bottom w:w="0" w:type="dxa"/>
            <w:right w:w="108" w:type="dxa"/>
          </w:tblCellMar>
        </w:tblPrEx>
        <w:tc>
          <w:tcPr>
            <w:tcW w:w="587" w:type="dxa"/>
            <w:shd w:val="clear" w:color="auto" w:fill="auto"/>
          </w:tcPr>
          <w:p w14:paraId="3E6E0D63">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5</w:t>
            </w:r>
          </w:p>
        </w:tc>
        <w:tc>
          <w:tcPr>
            <w:tcW w:w="1810" w:type="dxa"/>
            <w:shd w:val="clear" w:color="auto" w:fill="auto"/>
          </w:tcPr>
          <w:p w14:paraId="1F0455B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Assumptions</w:t>
            </w:r>
          </w:p>
          <w:p w14:paraId="0458797D">
            <w:pPr>
              <w:spacing w:before="96" w:beforeLines="40" w:after="96" w:afterLines="40" w:line="24" w:lineRule="atLeast"/>
              <w:jc w:val="center"/>
              <w:rPr>
                <w:rFonts w:eastAsia="Cambria"/>
                <w:sz w:val="18"/>
                <w:szCs w:val="18"/>
                <w:lang w:val="en-GB" w:eastAsia="en-US"/>
              </w:rPr>
            </w:pPr>
          </w:p>
        </w:tc>
        <w:tc>
          <w:tcPr>
            <w:tcW w:w="6525" w:type="dxa"/>
            <w:shd w:val="clear" w:color="auto" w:fill="auto"/>
          </w:tcPr>
          <w:p w14:paraId="5139727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1427" w:type="dxa"/>
          </w:tcPr>
          <w:p w14:paraId="6A2AE76D">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6-7</w:t>
            </w:r>
          </w:p>
        </w:tc>
        <w:tc>
          <w:tcPr>
            <w:tcW w:w="4141" w:type="dxa"/>
          </w:tcPr>
          <w:p w14:paraId="6D1B8A2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manuscript explicitly states the three core MR assumptions: relevance, independence, and exclusion restriction. Relevance requires that the selected instrumental variables are strongly associated with the exposure. Independence requires that the instrumental variables are not associated with confounders. Exclusion restriction requires that the instrumental variables affect the outcomes only through the exposure and not through alternative pathways.</w:t>
            </w:r>
          </w:p>
          <w:p w14:paraId="3F0589DB">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7A54DE1B">
            <w:pPr>
              <w:spacing w:before="96" w:beforeLines="40" w:after="96" w:afterLines="40" w:line="24" w:lineRule="atLeast"/>
              <w:rPr>
                <w:rFonts w:eastAsia="Times New Roman"/>
                <w:sz w:val="18"/>
                <w:szCs w:val="18"/>
                <w:lang w:val="en-GB" w:eastAsia="en-GB"/>
              </w:rPr>
            </w:pPr>
          </w:p>
        </w:tc>
      </w:tr>
      <w:tr w14:paraId="6209F8C8">
        <w:tblPrEx>
          <w:tblCellMar>
            <w:top w:w="0" w:type="dxa"/>
            <w:left w:w="108" w:type="dxa"/>
            <w:bottom w:w="0" w:type="dxa"/>
            <w:right w:w="108" w:type="dxa"/>
          </w:tblCellMar>
        </w:tblPrEx>
        <w:tc>
          <w:tcPr>
            <w:tcW w:w="587" w:type="dxa"/>
            <w:shd w:val="clear" w:color="auto" w:fill="EEEEEE"/>
          </w:tcPr>
          <w:p w14:paraId="6FA239C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6</w:t>
            </w:r>
          </w:p>
        </w:tc>
        <w:tc>
          <w:tcPr>
            <w:tcW w:w="1810" w:type="dxa"/>
            <w:shd w:val="clear" w:color="auto" w:fill="EEEEEE"/>
          </w:tcPr>
          <w:p w14:paraId="3D8F9E93">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6525" w:type="dxa"/>
            <w:shd w:val="clear" w:color="auto" w:fill="EEEEEE"/>
          </w:tcPr>
          <w:p w14:paraId="49C33D0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1427" w:type="dxa"/>
            <w:shd w:val="clear" w:color="auto" w:fill="EEEEEE"/>
          </w:tcPr>
          <w:p w14:paraId="0D1191BA">
            <w:pPr>
              <w:spacing w:before="96" w:beforeLines="40" w:after="96" w:afterLines="40" w:line="24" w:lineRule="atLeast"/>
              <w:rPr>
                <w:rFonts w:eastAsia="Times New Roman"/>
                <w:sz w:val="18"/>
                <w:szCs w:val="18"/>
                <w:lang w:val="en-GB" w:eastAsia="en-GB"/>
              </w:rPr>
            </w:pPr>
          </w:p>
        </w:tc>
        <w:tc>
          <w:tcPr>
            <w:tcW w:w="4141" w:type="dxa"/>
            <w:shd w:val="clear" w:color="auto" w:fill="EEEEEE"/>
          </w:tcPr>
          <w:p w14:paraId="75DF0C4B">
            <w:pPr>
              <w:spacing w:before="96" w:beforeLines="40" w:after="96" w:afterLines="40" w:line="24" w:lineRule="atLeast"/>
              <w:rPr>
                <w:rFonts w:eastAsia="Times New Roman"/>
                <w:sz w:val="18"/>
                <w:szCs w:val="18"/>
                <w:lang w:val="en-GB" w:eastAsia="en-GB"/>
              </w:rPr>
            </w:pPr>
          </w:p>
        </w:tc>
      </w:tr>
      <w:tr w14:paraId="4346E621">
        <w:tblPrEx>
          <w:tblCellMar>
            <w:top w:w="0" w:type="dxa"/>
            <w:left w:w="108" w:type="dxa"/>
            <w:bottom w:w="0" w:type="dxa"/>
            <w:right w:w="108" w:type="dxa"/>
          </w:tblCellMar>
        </w:tblPrEx>
        <w:tc>
          <w:tcPr>
            <w:tcW w:w="587" w:type="dxa"/>
            <w:shd w:val="clear" w:color="auto" w:fill="auto"/>
          </w:tcPr>
          <w:p w14:paraId="339A016D">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3635743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25" w:type="dxa"/>
            <w:shd w:val="clear" w:color="auto" w:fill="auto"/>
          </w:tcPr>
          <w:p w14:paraId="3BB90022">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quantitative variables were handled in the analyses (i.e., scale, units, model)</w:t>
            </w:r>
          </w:p>
        </w:tc>
        <w:tc>
          <w:tcPr>
            <w:tcW w:w="1427" w:type="dxa"/>
          </w:tcPr>
          <w:p w14:paraId="22720A53">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6-8</w:t>
            </w:r>
          </w:p>
        </w:tc>
        <w:tc>
          <w:tcPr>
            <w:tcW w:w="4141" w:type="dxa"/>
          </w:tcPr>
          <w:p w14:paraId="70CD3762">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MR estimates were reported as odds ratios (ORs) with 95% confidence intervals (CIs) and P values. Continuous exposure traits were analyzed according to the scale and units defined in the original GWAS datasets. For interpretability, the main findings were summarized in the manuscript using both ORs and plain-language descriptions of higher or lower odds.</w:t>
            </w:r>
          </w:p>
        </w:tc>
      </w:tr>
      <w:tr w14:paraId="642A4D4B">
        <w:tblPrEx>
          <w:tblCellMar>
            <w:top w:w="0" w:type="dxa"/>
            <w:left w:w="108" w:type="dxa"/>
            <w:bottom w:w="0" w:type="dxa"/>
            <w:right w:w="108" w:type="dxa"/>
          </w:tblCellMar>
        </w:tblPrEx>
        <w:tc>
          <w:tcPr>
            <w:tcW w:w="587" w:type="dxa"/>
            <w:shd w:val="clear" w:color="auto" w:fill="EEEEEE"/>
          </w:tcPr>
          <w:p w14:paraId="11F7484C">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569D49F3">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25" w:type="dxa"/>
            <w:shd w:val="clear" w:color="auto" w:fill="EEEEEE"/>
          </w:tcPr>
          <w:p w14:paraId="6B2ACDE9">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genetic variants were handled in the analyses and, if applicable, how their weights were selected</w:t>
            </w:r>
          </w:p>
        </w:tc>
        <w:tc>
          <w:tcPr>
            <w:tcW w:w="1427" w:type="dxa"/>
            <w:shd w:val="clear" w:color="auto" w:fill="EEEEEE"/>
          </w:tcPr>
          <w:p w14:paraId="0DAE64B0">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6-8</w:t>
            </w:r>
          </w:p>
        </w:tc>
        <w:tc>
          <w:tcPr>
            <w:tcW w:w="4141" w:type="dxa"/>
            <w:shd w:val="clear" w:color="auto" w:fill="EEEEEE"/>
          </w:tcPr>
          <w:p w14:paraId="1612F89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 formal multiple-testing correction was applied. Given the large number of Life’s Essential 8-related exposures and multiple stroke and dementia outcomes, the findings were interpreted as exploratory. Results with wide confidence intervals or limited instrumental support were interpreted cautiously.</w:t>
            </w:r>
          </w:p>
        </w:tc>
      </w:tr>
      <w:tr w14:paraId="70378831">
        <w:tblPrEx>
          <w:tblCellMar>
            <w:top w:w="0" w:type="dxa"/>
            <w:left w:w="108" w:type="dxa"/>
            <w:bottom w:w="0" w:type="dxa"/>
            <w:right w:w="108" w:type="dxa"/>
          </w:tblCellMar>
        </w:tblPrEx>
        <w:tc>
          <w:tcPr>
            <w:tcW w:w="587" w:type="dxa"/>
            <w:shd w:val="clear" w:color="auto" w:fill="auto"/>
          </w:tcPr>
          <w:p w14:paraId="45E41495">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59F665E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25" w:type="dxa"/>
            <w:shd w:val="clear" w:color="auto" w:fill="auto"/>
          </w:tcPr>
          <w:p w14:paraId="5CB03D9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1427" w:type="dxa"/>
          </w:tcPr>
          <w:p w14:paraId="7B7E7C35">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7-8，Figure2</w:t>
            </w:r>
          </w:p>
        </w:tc>
        <w:tc>
          <w:tcPr>
            <w:tcW w:w="4141" w:type="dxa"/>
          </w:tcPr>
          <w:p w14:paraId="334D44EB">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TSMR Analysis was performed in this experiment using five main methods: inverse variance weighting (IVW), MR Egger regression, weighted median (WM), simple mode, and weighted mode. Initially, the IVW method was used to evaluate the presupposed SNPs as valid IVs and the ratio method was used to calculate the single SNP to obtain the estimate under the premise of no horizontal pleiotropy, thereby precisely estimating the aggregate causal effect between exposure and outcome. MR-Egger regression and the WM were complementary to the IVW method. The MR-Egger regression method needed to satisfy the InSIDE (instrument strength independent of direct effect assumption, which weakens the exclusivity assumption in the IVW method. The WM assumed that there is pleiotropy in less than 50% of SNPs and the median of the distribution function obtained by ordering the effect sizes of all individual SNPs by weight.</w:t>
            </w:r>
          </w:p>
        </w:tc>
      </w:tr>
      <w:tr w14:paraId="0D8F3A7E">
        <w:tblPrEx>
          <w:tblCellMar>
            <w:top w:w="0" w:type="dxa"/>
            <w:left w:w="108" w:type="dxa"/>
            <w:bottom w:w="0" w:type="dxa"/>
            <w:right w:w="108" w:type="dxa"/>
          </w:tblCellMar>
        </w:tblPrEx>
        <w:tc>
          <w:tcPr>
            <w:tcW w:w="587" w:type="dxa"/>
            <w:shd w:val="clear" w:color="auto" w:fill="EEEEEE"/>
          </w:tcPr>
          <w:p w14:paraId="1D70C4CD">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0A3AAFD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25" w:type="dxa"/>
            <w:shd w:val="clear" w:color="auto" w:fill="EEEEEE"/>
          </w:tcPr>
          <w:p w14:paraId="0878638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how missing data were addressed</w:t>
            </w:r>
          </w:p>
        </w:tc>
        <w:tc>
          <w:tcPr>
            <w:tcW w:w="1427" w:type="dxa"/>
            <w:shd w:val="clear" w:color="auto" w:fill="EEEEEE"/>
          </w:tcPr>
          <w:p w14:paraId="297C3632">
            <w:pPr>
              <w:spacing w:before="96" w:beforeLines="40" w:after="96" w:afterLines="40" w:line="24" w:lineRule="atLeast"/>
              <w:rPr>
                <w:rFonts w:eastAsia="Times New Roman"/>
                <w:sz w:val="18"/>
                <w:szCs w:val="18"/>
                <w:lang w:val="en-GB" w:eastAsia="en-GB"/>
              </w:rPr>
            </w:pPr>
          </w:p>
        </w:tc>
        <w:tc>
          <w:tcPr>
            <w:tcW w:w="4141" w:type="dxa"/>
            <w:shd w:val="clear" w:color="auto" w:fill="EEEEEE"/>
          </w:tcPr>
          <w:p w14:paraId="16808665">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Not applicable</w:t>
            </w:r>
          </w:p>
        </w:tc>
      </w:tr>
      <w:tr w14:paraId="77F037B8">
        <w:tblPrEx>
          <w:tblCellMar>
            <w:top w:w="0" w:type="dxa"/>
            <w:left w:w="108" w:type="dxa"/>
            <w:bottom w:w="0" w:type="dxa"/>
            <w:right w:w="108" w:type="dxa"/>
          </w:tblCellMar>
        </w:tblPrEx>
        <w:tc>
          <w:tcPr>
            <w:tcW w:w="587" w:type="dxa"/>
            <w:shd w:val="clear" w:color="auto" w:fill="auto"/>
          </w:tcPr>
          <w:p w14:paraId="4AC39E55">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4D9E035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6525" w:type="dxa"/>
            <w:shd w:val="clear" w:color="auto" w:fill="auto"/>
          </w:tcPr>
          <w:p w14:paraId="41F1E52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1427" w:type="dxa"/>
          </w:tcPr>
          <w:p w14:paraId="6B5C4982">
            <w:pPr>
              <w:spacing w:before="96" w:beforeLines="40" w:after="96" w:afterLines="40" w:line="24" w:lineRule="atLeast"/>
              <w:rPr>
                <w:rFonts w:eastAsia="Times New Roman"/>
                <w:sz w:val="18"/>
                <w:szCs w:val="18"/>
                <w:lang w:val="en-GB" w:eastAsia="en-GB"/>
              </w:rPr>
            </w:pPr>
          </w:p>
        </w:tc>
        <w:tc>
          <w:tcPr>
            <w:tcW w:w="4141" w:type="dxa"/>
          </w:tcPr>
          <w:p w14:paraId="490E44D4">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Not applicable</w:t>
            </w:r>
          </w:p>
        </w:tc>
      </w:tr>
      <w:tr w14:paraId="585043CE">
        <w:tblPrEx>
          <w:tblCellMar>
            <w:top w:w="0" w:type="dxa"/>
            <w:left w:w="108" w:type="dxa"/>
            <w:bottom w:w="0" w:type="dxa"/>
            <w:right w:w="108" w:type="dxa"/>
          </w:tblCellMar>
        </w:tblPrEx>
        <w:tc>
          <w:tcPr>
            <w:tcW w:w="587" w:type="dxa"/>
            <w:shd w:val="clear" w:color="auto" w:fill="EEEEEE"/>
          </w:tcPr>
          <w:p w14:paraId="55967D0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7</w:t>
            </w:r>
          </w:p>
        </w:tc>
        <w:tc>
          <w:tcPr>
            <w:tcW w:w="1810" w:type="dxa"/>
            <w:shd w:val="clear" w:color="auto" w:fill="EEEEEE"/>
          </w:tcPr>
          <w:p w14:paraId="0947B164">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6525" w:type="dxa"/>
            <w:shd w:val="clear" w:color="auto" w:fill="EEEEEE"/>
          </w:tcPr>
          <w:p w14:paraId="1E6D0B1E">
            <w:pPr>
              <w:tabs>
                <w:tab w:val="left" w:pos="162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1427" w:type="dxa"/>
            <w:shd w:val="clear" w:color="auto" w:fill="EEEEEE"/>
          </w:tcPr>
          <w:p w14:paraId="61C50F74">
            <w:pPr>
              <w:tabs>
                <w:tab w:val="left" w:pos="1620"/>
              </w:tabs>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7-9</w:t>
            </w:r>
          </w:p>
        </w:tc>
        <w:tc>
          <w:tcPr>
            <w:tcW w:w="4141" w:type="dxa"/>
            <w:shd w:val="clear" w:color="auto" w:fill="EEEEEE"/>
          </w:tcPr>
          <w:p w14:paraId="5D46DB2B">
            <w:pPr>
              <w:tabs>
                <w:tab w:val="left" w:pos="1620"/>
              </w:tabs>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validity of MR assumptions was assessed using several approaches. Instrument relevance was addressed through SNP selection based on exposure associations. Independence and exclusion restriction were assessed by harmonization, exclusion of potentially confounding SNPs using PhenoScanner, MR-Egger intercept testing for directional pleiotropy, Cochran’s Q test for heterogeneity, MR-PRESSO for potential outlier effects, and leave-one-out analyses to evaluate whether the results were driven by individual SNPs.</w:t>
            </w:r>
          </w:p>
        </w:tc>
      </w:tr>
      <w:tr w14:paraId="383932D9">
        <w:tblPrEx>
          <w:tblCellMar>
            <w:top w:w="0" w:type="dxa"/>
            <w:left w:w="108" w:type="dxa"/>
            <w:bottom w:w="0" w:type="dxa"/>
            <w:right w:w="108" w:type="dxa"/>
          </w:tblCellMar>
        </w:tblPrEx>
        <w:tc>
          <w:tcPr>
            <w:tcW w:w="587" w:type="dxa"/>
            <w:shd w:val="clear" w:color="auto" w:fill="auto"/>
          </w:tcPr>
          <w:p w14:paraId="1A4621B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8</w:t>
            </w:r>
          </w:p>
        </w:tc>
        <w:tc>
          <w:tcPr>
            <w:tcW w:w="1810" w:type="dxa"/>
            <w:shd w:val="clear" w:color="auto" w:fill="auto"/>
          </w:tcPr>
          <w:p w14:paraId="0F88F25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6525" w:type="dxa"/>
            <w:shd w:val="clear" w:color="auto" w:fill="auto"/>
          </w:tcPr>
          <w:p w14:paraId="13C6445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1427" w:type="dxa"/>
          </w:tcPr>
          <w:p w14:paraId="4B9B6FF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7-9</w:t>
            </w:r>
          </w:p>
        </w:tc>
        <w:tc>
          <w:tcPr>
            <w:tcW w:w="4141" w:type="dxa"/>
          </w:tcPr>
          <w:p w14:paraId="229BFDFD">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Sensitivity analyses included MR-Egger regression, weighted median, weighted mode, simple mode, Cochran’s Q test, MR-Egger intercept, MR-PRESSO, and leave-one-out analysis. These analyses were performed to evaluate heterogeneity, horizontal pleiotropy, potential outlier effects, and the influence of individual SNPs on the MR estimates..</w:t>
            </w:r>
          </w:p>
        </w:tc>
      </w:tr>
      <w:tr w14:paraId="55C7A410">
        <w:tblPrEx>
          <w:tblCellMar>
            <w:top w:w="0" w:type="dxa"/>
            <w:left w:w="108" w:type="dxa"/>
            <w:bottom w:w="0" w:type="dxa"/>
            <w:right w:w="108" w:type="dxa"/>
          </w:tblCellMar>
        </w:tblPrEx>
        <w:tc>
          <w:tcPr>
            <w:tcW w:w="587" w:type="dxa"/>
            <w:shd w:val="clear" w:color="auto" w:fill="EEEEEE"/>
          </w:tcPr>
          <w:p w14:paraId="056075DE">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9</w:t>
            </w:r>
          </w:p>
        </w:tc>
        <w:tc>
          <w:tcPr>
            <w:tcW w:w="1810" w:type="dxa"/>
            <w:shd w:val="clear" w:color="auto" w:fill="EEEEEE"/>
          </w:tcPr>
          <w:p w14:paraId="6096809E">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6525" w:type="dxa"/>
            <w:shd w:val="clear" w:color="auto" w:fill="EEEEEE"/>
          </w:tcPr>
          <w:p w14:paraId="08D1055E">
            <w:pPr>
              <w:spacing w:before="96" w:beforeLines="40" w:after="96" w:afterLines="40" w:line="24" w:lineRule="atLeast"/>
              <w:rPr>
                <w:rFonts w:eastAsia="Cambria"/>
                <w:sz w:val="18"/>
                <w:szCs w:val="18"/>
                <w:lang w:val="en-GB" w:eastAsia="en-US"/>
              </w:rPr>
            </w:pPr>
          </w:p>
        </w:tc>
        <w:tc>
          <w:tcPr>
            <w:tcW w:w="1427" w:type="dxa"/>
            <w:shd w:val="clear" w:color="auto" w:fill="EEEEEE"/>
          </w:tcPr>
          <w:p w14:paraId="721E714E">
            <w:pPr>
              <w:spacing w:before="96" w:beforeLines="40" w:after="96" w:afterLines="40" w:line="24" w:lineRule="atLeast"/>
              <w:rPr>
                <w:rFonts w:eastAsia="Cambria"/>
                <w:sz w:val="18"/>
                <w:szCs w:val="18"/>
                <w:lang w:val="en-GB" w:eastAsia="en-US"/>
              </w:rPr>
            </w:pPr>
          </w:p>
        </w:tc>
        <w:tc>
          <w:tcPr>
            <w:tcW w:w="4141" w:type="dxa"/>
            <w:shd w:val="clear" w:color="auto" w:fill="EEEEEE"/>
          </w:tcPr>
          <w:p w14:paraId="495710C0">
            <w:pPr>
              <w:spacing w:before="96" w:beforeLines="40" w:after="96" w:afterLines="40" w:line="24" w:lineRule="atLeast"/>
              <w:rPr>
                <w:rFonts w:eastAsia="Cambria"/>
                <w:sz w:val="18"/>
                <w:szCs w:val="18"/>
                <w:lang w:val="en-GB" w:eastAsia="en-US"/>
              </w:rPr>
            </w:pPr>
          </w:p>
        </w:tc>
      </w:tr>
      <w:tr w14:paraId="5EA9EBD1">
        <w:tblPrEx>
          <w:tblCellMar>
            <w:top w:w="0" w:type="dxa"/>
            <w:left w:w="108" w:type="dxa"/>
            <w:bottom w:w="0" w:type="dxa"/>
            <w:right w:w="108" w:type="dxa"/>
          </w:tblCellMar>
        </w:tblPrEx>
        <w:tc>
          <w:tcPr>
            <w:tcW w:w="587" w:type="dxa"/>
            <w:shd w:val="clear" w:color="auto" w:fill="auto"/>
          </w:tcPr>
          <w:p w14:paraId="66EDED80">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50BD32B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25" w:type="dxa"/>
            <w:shd w:val="clear" w:color="auto" w:fill="auto"/>
          </w:tcPr>
          <w:p w14:paraId="054FBA4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1427" w:type="dxa"/>
          </w:tcPr>
          <w:p w14:paraId="305BB821">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8</w:t>
            </w:r>
          </w:p>
        </w:tc>
        <w:tc>
          <w:tcPr>
            <w:tcW w:w="4141" w:type="dxa"/>
          </w:tcPr>
          <w:p w14:paraId="79626260">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All methods used in this study were analyzed using the TwoSampleMR package in R (Version 4.3.0).</w:t>
            </w:r>
          </w:p>
        </w:tc>
      </w:tr>
      <w:tr w14:paraId="6A631D93">
        <w:tblPrEx>
          <w:tblCellMar>
            <w:top w:w="0" w:type="dxa"/>
            <w:left w:w="108" w:type="dxa"/>
            <w:bottom w:w="0" w:type="dxa"/>
            <w:right w:w="108" w:type="dxa"/>
          </w:tblCellMar>
        </w:tblPrEx>
        <w:tc>
          <w:tcPr>
            <w:tcW w:w="587" w:type="dxa"/>
            <w:tcBorders>
              <w:bottom w:val="single" w:color="7F7F7F" w:sz="6" w:space="0"/>
            </w:tcBorders>
            <w:shd w:val="clear" w:color="auto" w:fill="EEEEEE"/>
          </w:tcPr>
          <w:p w14:paraId="37C88958">
            <w:pPr>
              <w:spacing w:before="96" w:beforeLines="40" w:after="96" w:afterLines="40" w:line="24" w:lineRule="atLeast"/>
              <w:jc w:val="right"/>
              <w:rPr>
                <w:rFonts w:eastAsia="Cambria"/>
                <w:b/>
                <w:bCs/>
                <w:sz w:val="18"/>
                <w:szCs w:val="18"/>
                <w:lang w:val="en-GB" w:eastAsia="en-US"/>
              </w:rPr>
            </w:pPr>
          </w:p>
        </w:tc>
        <w:tc>
          <w:tcPr>
            <w:tcW w:w="1810" w:type="dxa"/>
            <w:tcBorders>
              <w:bottom w:val="single" w:color="7F7F7F" w:sz="6" w:space="0"/>
            </w:tcBorders>
            <w:shd w:val="clear" w:color="auto" w:fill="EEEEEE"/>
          </w:tcPr>
          <w:p w14:paraId="2349B55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25" w:type="dxa"/>
            <w:tcBorders>
              <w:bottom w:val="single" w:color="7F7F7F" w:sz="6" w:space="0"/>
            </w:tcBorders>
            <w:shd w:val="clear" w:color="auto" w:fill="EEEEEE"/>
          </w:tcPr>
          <w:p w14:paraId="5DBE58D7">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1427" w:type="dxa"/>
            <w:tcBorders>
              <w:bottom w:val="single" w:color="7F7F7F" w:sz="6" w:space="0"/>
            </w:tcBorders>
            <w:shd w:val="clear" w:color="auto" w:fill="EEEEEE"/>
          </w:tcPr>
          <w:p w14:paraId="2325504F">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8</w:t>
            </w:r>
          </w:p>
        </w:tc>
        <w:tc>
          <w:tcPr>
            <w:tcW w:w="4141" w:type="dxa"/>
            <w:tcBorders>
              <w:bottom w:val="single" w:color="7F7F7F" w:sz="6" w:space="0"/>
            </w:tcBorders>
            <w:shd w:val="clear" w:color="auto" w:fill="EEEEEE"/>
          </w:tcPr>
          <w:p w14:paraId="3EFCD23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This study protocol and details are not pre registered.</w:t>
            </w:r>
          </w:p>
        </w:tc>
      </w:tr>
      <w:tr w14:paraId="040F15E5">
        <w:tblPrEx>
          <w:tblCellMar>
            <w:top w:w="0" w:type="dxa"/>
            <w:left w:w="108" w:type="dxa"/>
            <w:bottom w:w="0" w:type="dxa"/>
            <w:right w:w="108" w:type="dxa"/>
          </w:tblCellMar>
        </w:tblPrEx>
        <w:tc>
          <w:tcPr>
            <w:tcW w:w="587" w:type="dxa"/>
            <w:tcBorders>
              <w:top w:val="single" w:color="7F7F7F" w:sz="6" w:space="0"/>
            </w:tcBorders>
            <w:shd w:val="clear" w:color="auto" w:fill="auto"/>
          </w:tcPr>
          <w:p w14:paraId="777278B3">
            <w:pPr>
              <w:spacing w:before="96" w:beforeLines="40" w:after="96" w:afterLines="40" w:line="24" w:lineRule="atLeast"/>
              <w:rPr>
                <w:rFonts w:eastAsia="Times New Roman"/>
                <w:b/>
                <w:bCs/>
                <w:sz w:val="18"/>
                <w:szCs w:val="18"/>
                <w:lang w:val="en-GB" w:eastAsia="en-GB"/>
              </w:rPr>
            </w:pPr>
          </w:p>
        </w:tc>
        <w:tc>
          <w:tcPr>
            <w:tcW w:w="1810" w:type="dxa"/>
            <w:tcBorders>
              <w:top w:val="single" w:color="7F7F7F" w:sz="6" w:space="0"/>
            </w:tcBorders>
            <w:shd w:val="clear" w:color="auto" w:fill="auto"/>
          </w:tcPr>
          <w:p w14:paraId="7D8D653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RESULTS</w:t>
            </w:r>
          </w:p>
        </w:tc>
        <w:tc>
          <w:tcPr>
            <w:tcW w:w="6525" w:type="dxa"/>
            <w:tcBorders>
              <w:top w:val="single" w:color="7F7F7F" w:sz="6" w:space="0"/>
            </w:tcBorders>
            <w:shd w:val="clear" w:color="auto" w:fill="auto"/>
          </w:tcPr>
          <w:p w14:paraId="34719287">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tcPr>
          <w:p w14:paraId="0E355A69">
            <w:pPr>
              <w:spacing w:before="96" w:beforeLines="40" w:after="96" w:afterLines="40" w:line="24" w:lineRule="atLeast"/>
              <w:rPr>
                <w:rFonts w:eastAsia="Cambria"/>
                <w:sz w:val="18"/>
                <w:szCs w:val="18"/>
                <w:lang w:val="en-GB" w:eastAsia="en-US"/>
              </w:rPr>
            </w:pPr>
          </w:p>
        </w:tc>
        <w:tc>
          <w:tcPr>
            <w:tcW w:w="4141" w:type="dxa"/>
            <w:tcBorders>
              <w:top w:val="single" w:color="7F7F7F" w:sz="6" w:space="0"/>
            </w:tcBorders>
          </w:tcPr>
          <w:p w14:paraId="33E956D1">
            <w:pPr>
              <w:spacing w:before="96" w:beforeLines="40" w:after="96" w:afterLines="40" w:line="24" w:lineRule="atLeast"/>
              <w:rPr>
                <w:rFonts w:eastAsia="Cambria"/>
                <w:sz w:val="18"/>
                <w:szCs w:val="18"/>
                <w:lang w:val="en-GB" w:eastAsia="en-US"/>
              </w:rPr>
            </w:pPr>
          </w:p>
        </w:tc>
      </w:tr>
      <w:tr w14:paraId="67F47EED">
        <w:tblPrEx>
          <w:tblCellMar>
            <w:top w:w="0" w:type="dxa"/>
            <w:left w:w="108" w:type="dxa"/>
            <w:bottom w:w="0" w:type="dxa"/>
            <w:right w:w="108" w:type="dxa"/>
          </w:tblCellMar>
        </w:tblPrEx>
        <w:tc>
          <w:tcPr>
            <w:tcW w:w="587" w:type="dxa"/>
            <w:shd w:val="clear" w:color="auto" w:fill="EEEEEE"/>
          </w:tcPr>
          <w:p w14:paraId="51C7A54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10</w:t>
            </w:r>
          </w:p>
        </w:tc>
        <w:tc>
          <w:tcPr>
            <w:tcW w:w="1810" w:type="dxa"/>
            <w:shd w:val="clear" w:color="auto" w:fill="EEEEEE"/>
          </w:tcPr>
          <w:p w14:paraId="731D0370">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6525" w:type="dxa"/>
            <w:shd w:val="clear" w:color="auto" w:fill="EEEEEE"/>
          </w:tcPr>
          <w:p w14:paraId="3B19CDAF">
            <w:pPr>
              <w:spacing w:before="96" w:beforeLines="40" w:after="96" w:afterLines="40" w:line="24" w:lineRule="atLeast"/>
              <w:rPr>
                <w:rFonts w:eastAsia="Cambria"/>
                <w:sz w:val="18"/>
                <w:szCs w:val="18"/>
                <w:lang w:val="en-GB" w:eastAsia="en-US"/>
              </w:rPr>
            </w:pPr>
          </w:p>
        </w:tc>
        <w:tc>
          <w:tcPr>
            <w:tcW w:w="1427" w:type="dxa"/>
            <w:shd w:val="clear" w:color="auto" w:fill="EEEEEE"/>
          </w:tcPr>
          <w:p w14:paraId="1091FF57">
            <w:pPr>
              <w:spacing w:before="96" w:beforeLines="40" w:after="96" w:afterLines="40" w:line="24" w:lineRule="atLeast"/>
              <w:rPr>
                <w:rFonts w:eastAsia="Cambria"/>
                <w:sz w:val="18"/>
                <w:szCs w:val="18"/>
                <w:lang w:val="en-GB" w:eastAsia="en-US"/>
              </w:rPr>
            </w:pPr>
          </w:p>
        </w:tc>
        <w:tc>
          <w:tcPr>
            <w:tcW w:w="4141" w:type="dxa"/>
            <w:shd w:val="clear" w:color="auto" w:fill="EEEEEE"/>
          </w:tcPr>
          <w:p w14:paraId="4B684E79">
            <w:pPr>
              <w:spacing w:before="96" w:beforeLines="40" w:after="96" w:afterLines="40" w:line="24" w:lineRule="atLeast"/>
              <w:rPr>
                <w:rFonts w:eastAsia="Cambria"/>
                <w:sz w:val="18"/>
                <w:szCs w:val="18"/>
                <w:lang w:val="en-GB" w:eastAsia="en-US"/>
              </w:rPr>
            </w:pPr>
          </w:p>
        </w:tc>
      </w:tr>
      <w:tr w14:paraId="6CA228D1">
        <w:tblPrEx>
          <w:tblCellMar>
            <w:top w:w="0" w:type="dxa"/>
            <w:left w:w="108" w:type="dxa"/>
            <w:bottom w:w="0" w:type="dxa"/>
            <w:right w:w="108" w:type="dxa"/>
          </w:tblCellMar>
        </w:tblPrEx>
        <w:tc>
          <w:tcPr>
            <w:tcW w:w="587" w:type="dxa"/>
            <w:shd w:val="clear" w:color="auto" w:fill="auto"/>
          </w:tcPr>
          <w:p w14:paraId="29B62776">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4C1499C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25" w:type="dxa"/>
            <w:shd w:val="clear" w:color="auto" w:fill="auto"/>
          </w:tcPr>
          <w:p w14:paraId="4D5C652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numbers of individuals at each stage of included studies and reasons for exclusion. Consider use of a flow diagram</w:t>
            </w:r>
          </w:p>
        </w:tc>
        <w:tc>
          <w:tcPr>
            <w:tcW w:w="1427" w:type="dxa"/>
          </w:tcPr>
          <w:p w14:paraId="7AF8CC23">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8 and Table 1</w:t>
            </w:r>
          </w:p>
        </w:tc>
        <w:tc>
          <w:tcPr>
            <w:tcW w:w="4141" w:type="dxa"/>
          </w:tcPr>
          <w:p w14:paraId="1F27008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outcome GWAS datasets are summarized in Table 1. The sample sizes were 150,765 for large artery atherosclerotic stroke, 198,048 for small-vessel stroke, 211,763 for cardioembolic stroke, 209,487 for all-cause dementia, 209,487 for Alzheimer’s disease dementia, and 211,508 for vascular dementia. All outcome datasets were based on European-ancestry populations.</w:t>
            </w:r>
          </w:p>
        </w:tc>
      </w:tr>
      <w:tr w14:paraId="0765C344">
        <w:tblPrEx>
          <w:tblCellMar>
            <w:top w:w="0" w:type="dxa"/>
            <w:left w:w="108" w:type="dxa"/>
            <w:bottom w:w="0" w:type="dxa"/>
            <w:right w:w="108" w:type="dxa"/>
          </w:tblCellMar>
        </w:tblPrEx>
        <w:tc>
          <w:tcPr>
            <w:tcW w:w="587" w:type="dxa"/>
            <w:shd w:val="clear" w:color="auto" w:fill="EEEEEE"/>
          </w:tcPr>
          <w:p w14:paraId="2404BFFB">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6545C2F1">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25" w:type="dxa"/>
            <w:shd w:val="clear" w:color="auto" w:fill="EEEEEE"/>
          </w:tcPr>
          <w:p w14:paraId="405491A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summary statistics for phenotypic exposure(s), outcome(s), and other relevant variables (e.g. means, SDs, proportions)</w:t>
            </w:r>
          </w:p>
        </w:tc>
        <w:tc>
          <w:tcPr>
            <w:tcW w:w="1427" w:type="dxa"/>
            <w:shd w:val="clear" w:color="auto" w:fill="EEEEEE"/>
          </w:tcPr>
          <w:p w14:paraId="03BBA613">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10-14</w:t>
            </w:r>
          </w:p>
        </w:tc>
        <w:tc>
          <w:tcPr>
            <w:tcW w:w="4141" w:type="dxa"/>
            <w:shd w:val="clear" w:color="auto" w:fill="EEEEEE"/>
          </w:tcPr>
          <w:p w14:paraId="37CBA751">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The main MR results are presented as ORs with 95% CIs and P values. For stroke-related outcomes, protective associations were observed for increased grain intake, higher HDL-C levels, dried fruit intake, genetically normal blood pressure status, and accelerometer-measured physical activity. Risk factors were presented in descending order of effect size where applicable, including current smoking, genetically predicted high blood pressure, increased daytime napping, prolonged TV watching or sedentary behavior, age at smoking initiation, and higher salt intake. For dementia-related outcomes, higher salt intake and total cholesterol were associated with increased odds of dementia, whereas diastolic blood pressure showed an inverse association and should not be interpreted as a risk factor. The extremely large estimate for vigorous physical activity and vascular dementia had a very wide confidence interval and was regarded as statistically unstable; therefore, no specific causal inference was drawn from this result.</w:t>
            </w:r>
          </w:p>
        </w:tc>
      </w:tr>
      <w:tr w14:paraId="48F10342">
        <w:tblPrEx>
          <w:tblCellMar>
            <w:top w:w="0" w:type="dxa"/>
            <w:left w:w="108" w:type="dxa"/>
            <w:bottom w:w="0" w:type="dxa"/>
            <w:right w:w="108" w:type="dxa"/>
          </w:tblCellMar>
        </w:tblPrEx>
        <w:tc>
          <w:tcPr>
            <w:tcW w:w="587" w:type="dxa"/>
            <w:shd w:val="clear" w:color="auto" w:fill="auto"/>
          </w:tcPr>
          <w:p w14:paraId="6600AF43">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435099F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25" w:type="dxa"/>
            <w:shd w:val="clear" w:color="auto" w:fill="auto"/>
          </w:tcPr>
          <w:p w14:paraId="062EB56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the data sources include meta-analyses of previous studies, provide the assessments of heterogeneity across these studies</w:t>
            </w:r>
          </w:p>
        </w:tc>
        <w:tc>
          <w:tcPr>
            <w:tcW w:w="1427" w:type="dxa"/>
          </w:tcPr>
          <w:p w14:paraId="10F6EF39">
            <w:pPr>
              <w:spacing w:before="96" w:beforeLines="40" w:after="96" w:afterLines="40" w:line="24" w:lineRule="atLeast"/>
              <w:rPr>
                <w:rFonts w:eastAsia="Times New Roman"/>
                <w:sz w:val="18"/>
                <w:szCs w:val="18"/>
                <w:lang w:val="en-GB" w:eastAsia="en-GB"/>
              </w:rPr>
            </w:pPr>
          </w:p>
        </w:tc>
        <w:tc>
          <w:tcPr>
            <w:tcW w:w="4141" w:type="dxa"/>
          </w:tcPr>
          <w:p w14:paraId="449D40FD">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Not involved</w:t>
            </w:r>
          </w:p>
        </w:tc>
      </w:tr>
      <w:tr w14:paraId="51930A8C">
        <w:tblPrEx>
          <w:tblCellMar>
            <w:top w:w="0" w:type="dxa"/>
            <w:left w:w="108" w:type="dxa"/>
            <w:bottom w:w="0" w:type="dxa"/>
            <w:right w:w="108" w:type="dxa"/>
          </w:tblCellMar>
        </w:tblPrEx>
        <w:tc>
          <w:tcPr>
            <w:tcW w:w="587" w:type="dxa"/>
            <w:shd w:val="clear" w:color="auto" w:fill="EEEEEE"/>
          </w:tcPr>
          <w:p w14:paraId="6116DD95">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453F787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25" w:type="dxa"/>
            <w:shd w:val="clear" w:color="auto" w:fill="EEEEEE"/>
          </w:tcPr>
          <w:p w14:paraId="2EFD572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For </w:t>
            </w:r>
            <w:r>
              <w:rPr>
                <w:rFonts w:eastAsia="Times New Roman"/>
                <w:iCs/>
                <w:sz w:val="18"/>
                <w:szCs w:val="18"/>
                <w:lang w:val="en-GB" w:eastAsia="en-GB"/>
              </w:rPr>
              <w:t>two-sample</w:t>
            </w:r>
            <w:r>
              <w:rPr>
                <w:rFonts w:eastAsia="Times New Roman"/>
                <w:sz w:val="18"/>
                <w:szCs w:val="18"/>
                <w:lang w:val="en-GB" w:eastAsia="en-GB"/>
              </w:rPr>
              <w:t xml:space="preserve"> MR:</w:t>
            </w:r>
          </w:p>
          <w:p w14:paraId="48065368">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   i.  Provide justification of the similarity of the genetic variant-exposure associations between the exposure and outcome samples</w:t>
            </w:r>
          </w:p>
          <w:p w14:paraId="35BA928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   ii.  Provide information on the number of individuals who overlap between the exposure and outcome studies</w:t>
            </w:r>
          </w:p>
        </w:tc>
        <w:tc>
          <w:tcPr>
            <w:tcW w:w="1427" w:type="dxa"/>
            <w:shd w:val="clear" w:color="auto" w:fill="EEEEEE"/>
          </w:tcPr>
          <w:p w14:paraId="4948EE3D">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7-8</w:t>
            </w:r>
          </w:p>
        </w:tc>
        <w:tc>
          <w:tcPr>
            <w:tcW w:w="4141" w:type="dxa"/>
            <w:shd w:val="clear" w:color="auto" w:fill="EEEEEE"/>
          </w:tcPr>
          <w:p w14:paraId="5B2A1A71">
            <w:pPr>
              <w:spacing w:before="96" w:beforeLines="40" w:after="96" w:afterLines="40" w:line="24" w:lineRule="atLeast"/>
              <w:rPr>
                <w:rFonts w:hint="eastAsia" w:eastAsia="宋体"/>
                <w:sz w:val="18"/>
                <w:szCs w:val="18"/>
                <w:lang w:val="en-US" w:eastAsia="zh-CN"/>
              </w:rPr>
            </w:pPr>
            <w:r>
              <w:rPr>
                <w:rFonts w:hint="eastAsia" w:eastAsia="Times New Roman"/>
                <w:sz w:val="18"/>
                <w:szCs w:val="18"/>
                <w:lang w:val="en-GB" w:eastAsia="en-GB"/>
              </w:rPr>
              <w:t>W</w:t>
            </w:r>
            <w:r>
              <w:rPr>
                <w:rFonts w:eastAsia="Times New Roman"/>
                <w:sz w:val="18"/>
                <w:szCs w:val="18"/>
                <w:lang w:val="en-GB" w:eastAsia="en-GB"/>
              </w:rPr>
              <w:t>e conducted the following quality control measures during the selection of eligible instrumental variables (IVs) for the Mendelian randomization (MR) analysis:</w:t>
            </w:r>
            <w:r>
              <w:rPr>
                <w:rFonts w:hint="eastAsia" w:eastAsia="Times New Roman"/>
                <w:sz w:val="18"/>
                <w:szCs w:val="18"/>
                <w:lang w:val="en-GB" w:eastAsia="en-GB"/>
              </w:rPr>
              <w:t xml:space="preserve"> 1.</w:t>
            </w:r>
            <w:r>
              <w:rPr>
                <w:rFonts w:eastAsia="Times New Roman"/>
                <w:sz w:val="18"/>
                <w:szCs w:val="18"/>
                <w:lang w:val="en-GB" w:eastAsia="en-GB"/>
              </w:rPr>
              <w:t xml:space="preserve">Selection of SNPs: We initially selected candidate IVs by screening SNPs related to lifestyle factors (such as physical activity, diet, smoking, and blood pressure) at a genome-wide significance level (P &lt; 5 × 10⁻⁸). </w:t>
            </w:r>
            <w:r>
              <w:rPr>
                <w:rFonts w:hint="eastAsia" w:eastAsia="Times New Roman"/>
                <w:sz w:val="18"/>
                <w:szCs w:val="18"/>
                <w:lang w:val="en-GB" w:eastAsia="en-GB"/>
              </w:rPr>
              <w:t>2.</w:t>
            </w:r>
            <w:r>
              <w:rPr>
                <w:rFonts w:eastAsia="Times New Roman"/>
                <w:sz w:val="18"/>
                <w:szCs w:val="18"/>
                <w:lang w:val="en-GB" w:eastAsia="en-GB"/>
              </w:rPr>
              <w:t>Linkage Disequilibrium (LD) and Independence: To ensure the independence of each IV, we applied a stringent linkage disequilibrium (LD) filtering threshold of r² &lt; 0.001 and set the clustering distance to 10,000 kb, using the European 1000 Genomes Project reference panel. This criterion ensured that the selected SNPs were independent of each other, which is crucial for the validity of the MR analysis.</w:t>
            </w:r>
            <w:r>
              <w:rPr>
                <w:rFonts w:hint="eastAsia" w:eastAsia="Times New Roman"/>
                <w:sz w:val="18"/>
                <w:szCs w:val="18"/>
                <w:lang w:val="en-GB" w:eastAsia="en-GB"/>
              </w:rPr>
              <w:t xml:space="preserve"> 3.</w:t>
            </w:r>
            <w:r>
              <w:rPr>
                <w:rFonts w:eastAsia="Times New Roman"/>
                <w:sz w:val="18"/>
                <w:szCs w:val="18"/>
                <w:lang w:val="en-GB" w:eastAsia="en-GB"/>
              </w:rPr>
              <w:t>Data Consistency: We meticulously coordinated the datasets for lifestyle factors, stroke, and dementia outcomes to ensure consistency and accuracy across all data sources. This coordination was essential to guarantee that the MR analysis was based on reliable and compatible data.</w:t>
            </w:r>
            <w:r>
              <w:rPr>
                <w:rFonts w:hint="eastAsia" w:eastAsia="Times New Roman"/>
                <w:sz w:val="18"/>
                <w:szCs w:val="18"/>
                <w:lang w:val="en-GB" w:eastAsia="en-GB"/>
              </w:rPr>
              <w:t xml:space="preserve"> 4.</w:t>
            </w:r>
            <w:r>
              <w:rPr>
                <w:rFonts w:eastAsia="Times New Roman"/>
                <w:sz w:val="18"/>
                <w:szCs w:val="18"/>
                <w:lang w:val="en-GB" w:eastAsia="en-GB"/>
              </w:rPr>
              <w:t>Palindromic SNPs: To maintain consistency between the allelic effect of each SNP on exposure and its effect on the outcome, we eliminated palindromic SNPs, as these could introduce ambiguity in the analysis</w:t>
            </w:r>
            <w:r>
              <w:rPr>
                <w:rFonts w:hint="eastAsia" w:eastAsia="宋体"/>
                <w:sz w:val="18"/>
                <w:szCs w:val="18"/>
                <w:lang w:val="en-US" w:eastAsia="zh-CN"/>
              </w:rPr>
              <w:t>.</w:t>
            </w:r>
          </w:p>
        </w:tc>
      </w:tr>
      <w:tr w14:paraId="52CFCA59">
        <w:tblPrEx>
          <w:tblCellMar>
            <w:top w:w="0" w:type="dxa"/>
            <w:left w:w="108" w:type="dxa"/>
            <w:bottom w:w="0" w:type="dxa"/>
            <w:right w:w="108" w:type="dxa"/>
          </w:tblCellMar>
        </w:tblPrEx>
        <w:tc>
          <w:tcPr>
            <w:tcW w:w="587" w:type="dxa"/>
            <w:shd w:val="clear" w:color="auto" w:fill="auto"/>
          </w:tcPr>
          <w:p w14:paraId="110872B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11</w:t>
            </w:r>
          </w:p>
        </w:tc>
        <w:tc>
          <w:tcPr>
            <w:tcW w:w="1810" w:type="dxa"/>
            <w:shd w:val="clear" w:color="auto" w:fill="auto"/>
          </w:tcPr>
          <w:p w14:paraId="0C26298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Main results</w:t>
            </w:r>
          </w:p>
        </w:tc>
        <w:tc>
          <w:tcPr>
            <w:tcW w:w="6525" w:type="dxa"/>
            <w:shd w:val="clear" w:color="auto" w:fill="auto"/>
          </w:tcPr>
          <w:p w14:paraId="2F14FA37">
            <w:pPr>
              <w:spacing w:before="96" w:beforeLines="40" w:after="96" w:afterLines="40" w:line="24" w:lineRule="atLeast"/>
              <w:rPr>
                <w:rFonts w:eastAsia="Cambria"/>
                <w:sz w:val="18"/>
                <w:szCs w:val="18"/>
                <w:lang w:val="en-GB" w:eastAsia="en-US"/>
              </w:rPr>
            </w:pPr>
          </w:p>
        </w:tc>
        <w:tc>
          <w:tcPr>
            <w:tcW w:w="1427" w:type="dxa"/>
          </w:tcPr>
          <w:p w14:paraId="035B3367">
            <w:pPr>
              <w:spacing w:before="96" w:beforeLines="40" w:after="96" w:afterLines="40" w:line="24" w:lineRule="atLeast"/>
              <w:rPr>
                <w:rFonts w:eastAsia="Cambria"/>
                <w:sz w:val="18"/>
                <w:szCs w:val="18"/>
                <w:lang w:val="en-GB" w:eastAsia="en-US"/>
              </w:rPr>
            </w:pPr>
          </w:p>
        </w:tc>
        <w:tc>
          <w:tcPr>
            <w:tcW w:w="4141" w:type="dxa"/>
          </w:tcPr>
          <w:p w14:paraId="0AFA0083">
            <w:pPr>
              <w:spacing w:before="96" w:beforeLines="40" w:after="96" w:afterLines="40" w:line="24" w:lineRule="atLeast"/>
              <w:rPr>
                <w:rFonts w:eastAsia="Cambria"/>
                <w:sz w:val="18"/>
                <w:szCs w:val="18"/>
                <w:lang w:val="en-GB" w:eastAsia="en-US"/>
              </w:rPr>
            </w:pPr>
          </w:p>
        </w:tc>
      </w:tr>
      <w:tr w14:paraId="56845A2A">
        <w:tblPrEx>
          <w:tblCellMar>
            <w:top w:w="0" w:type="dxa"/>
            <w:left w:w="108" w:type="dxa"/>
            <w:bottom w:w="0" w:type="dxa"/>
            <w:right w:w="108" w:type="dxa"/>
          </w:tblCellMar>
        </w:tblPrEx>
        <w:tc>
          <w:tcPr>
            <w:tcW w:w="587" w:type="dxa"/>
            <w:shd w:val="clear" w:color="auto" w:fill="EEEEEE"/>
          </w:tcPr>
          <w:p w14:paraId="0892A548">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7CDB72A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25" w:type="dxa"/>
            <w:shd w:val="clear" w:color="auto" w:fill="EEEEEE"/>
          </w:tcPr>
          <w:p w14:paraId="09CB478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1427" w:type="dxa"/>
            <w:shd w:val="clear" w:color="auto" w:fill="EEEEEE"/>
          </w:tcPr>
          <w:p w14:paraId="7F1B8B69">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10-14</w:t>
            </w:r>
          </w:p>
        </w:tc>
        <w:tc>
          <w:tcPr>
            <w:tcW w:w="4141" w:type="dxa"/>
            <w:shd w:val="clear" w:color="auto" w:fill="EEEEEE"/>
          </w:tcPr>
          <w:p w14:paraId="342D95C6">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associations between genetic instruments, Life’s Essential 8-related exposures, and stroke or dementia outcomes are reported in the main text and supplementary tables. The main findings are summarized as MR effect estimates with ORs, 95% CIs, and P values. The results were interpreted cautiously under the assumptions of Mendelian randomization.</w:t>
            </w:r>
          </w:p>
        </w:tc>
      </w:tr>
      <w:tr w14:paraId="2FAEFE68">
        <w:tblPrEx>
          <w:tblCellMar>
            <w:top w:w="0" w:type="dxa"/>
            <w:left w:w="108" w:type="dxa"/>
            <w:bottom w:w="0" w:type="dxa"/>
            <w:right w:w="108" w:type="dxa"/>
          </w:tblCellMar>
        </w:tblPrEx>
        <w:tc>
          <w:tcPr>
            <w:tcW w:w="587" w:type="dxa"/>
            <w:shd w:val="clear" w:color="auto" w:fill="auto"/>
          </w:tcPr>
          <w:p w14:paraId="2E83DFB7">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142A3CE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25" w:type="dxa"/>
            <w:shd w:val="clear" w:color="auto" w:fill="auto"/>
          </w:tcPr>
          <w:p w14:paraId="336E75EE">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1427" w:type="dxa"/>
          </w:tcPr>
          <w:p w14:paraId="1E1B567F">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10-14</w:t>
            </w:r>
          </w:p>
        </w:tc>
        <w:tc>
          <w:tcPr>
            <w:tcW w:w="4141" w:type="dxa"/>
            <w:shd w:val="clear" w:color="auto" w:fill="EEEEEE"/>
            <w:vAlign w:val="top"/>
          </w:tcPr>
          <w:p w14:paraId="4564CEDB">
            <w:pPr>
              <w:spacing w:before="96" w:beforeLines="40" w:after="96" w:afterLines="40" w:line="24" w:lineRule="atLeast"/>
              <w:rPr>
                <w:rFonts w:ascii="Arial" w:hAnsi="Arial" w:eastAsia="Times New Roman" w:cs="Arial"/>
                <w:sz w:val="18"/>
                <w:szCs w:val="18"/>
                <w:lang w:val="en-GB" w:eastAsia="en-GB" w:bidi="ar-SA"/>
              </w:rPr>
            </w:pPr>
            <w:r>
              <w:rPr>
                <w:rFonts w:ascii="Arial" w:hAnsi="Arial" w:eastAsia="Times New Roman" w:cs="Arial"/>
                <w:sz w:val="18"/>
                <w:szCs w:val="18"/>
                <w:lang w:val="en-GB" w:eastAsia="en-GB" w:bidi="ar-SA"/>
              </w:rPr>
              <w:t>MR estimates were reported as ORs with 95% CIs and P values. For stroke-related outcomes, increased grain intake, higher HDL-C levels, and accelerometer-measured physical activity were associated with lower odds of stroke, whereas current smoking, genetically predicted high blood pressure, increased daytime napping, prolonged sedentary behavior, age at smoking initiation, and higher salt intake were associated with higher odds of stroke. For dementia-related outcomes, higher salt intake and total cholesterol were associated with higher odds, whereas diastolic blood pressure showed an inverse association. The estimate for vigorous physical activity and vascular dementia was extremely imprecise and was not interpreted as robust causal evidence.</w:t>
            </w:r>
          </w:p>
        </w:tc>
      </w:tr>
      <w:tr w14:paraId="1FAC379E">
        <w:tblPrEx>
          <w:tblCellMar>
            <w:top w:w="0" w:type="dxa"/>
            <w:left w:w="108" w:type="dxa"/>
            <w:bottom w:w="0" w:type="dxa"/>
            <w:right w:w="108" w:type="dxa"/>
          </w:tblCellMar>
        </w:tblPrEx>
        <w:tc>
          <w:tcPr>
            <w:tcW w:w="587" w:type="dxa"/>
            <w:shd w:val="clear" w:color="auto" w:fill="EEEEEE"/>
          </w:tcPr>
          <w:p w14:paraId="6762B88A">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514E816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25" w:type="dxa"/>
            <w:shd w:val="clear" w:color="auto" w:fill="EEEEEE"/>
          </w:tcPr>
          <w:p w14:paraId="4BC6AB7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1427" w:type="dxa"/>
            <w:shd w:val="clear" w:color="auto" w:fill="EEEEEE"/>
          </w:tcPr>
          <w:p w14:paraId="326BA5CA">
            <w:pPr>
              <w:spacing w:before="96" w:beforeLines="40" w:after="96" w:afterLines="40" w:line="24" w:lineRule="atLeast"/>
              <w:rPr>
                <w:rFonts w:eastAsia="Times New Roman"/>
                <w:sz w:val="18"/>
                <w:szCs w:val="18"/>
                <w:lang w:val="en-GB" w:eastAsia="en-GB"/>
              </w:rPr>
            </w:pPr>
          </w:p>
        </w:tc>
        <w:tc>
          <w:tcPr>
            <w:tcW w:w="4141" w:type="dxa"/>
            <w:shd w:val="clear" w:color="auto" w:fill="EEEEEE"/>
          </w:tcPr>
          <w:p w14:paraId="4A2216F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Absolute risk over a defined time period was not estimated because this study used summary-level GWAS data and MR estimates were reported as odds ratios rather than absolute risks.</w:t>
            </w:r>
          </w:p>
        </w:tc>
      </w:tr>
      <w:tr w14:paraId="00F87C74">
        <w:tblPrEx>
          <w:tblCellMar>
            <w:top w:w="0" w:type="dxa"/>
            <w:left w:w="108" w:type="dxa"/>
            <w:bottom w:w="0" w:type="dxa"/>
            <w:right w:w="108" w:type="dxa"/>
          </w:tblCellMar>
        </w:tblPrEx>
        <w:tc>
          <w:tcPr>
            <w:tcW w:w="587" w:type="dxa"/>
            <w:shd w:val="clear" w:color="auto" w:fill="auto"/>
          </w:tcPr>
          <w:p w14:paraId="2CDE5DE6">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69C50E8E">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25" w:type="dxa"/>
            <w:shd w:val="clear" w:color="auto" w:fill="auto"/>
          </w:tcPr>
          <w:p w14:paraId="47CC3AC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1427" w:type="dxa"/>
          </w:tcPr>
          <w:p w14:paraId="777DAC23">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(Figure3,4，5,6)</w:t>
            </w:r>
          </w:p>
        </w:tc>
        <w:tc>
          <w:tcPr>
            <w:tcW w:w="4141" w:type="dxa"/>
          </w:tcPr>
          <w:p w14:paraId="7B9F0A4D">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Figures 3–6 visualize the MR associations between Life’s Essential 8-related dietary, lifestyle, behavioral, metabolic, lipid, body composition, and blood pressure-related traits and stroke or dementia outcomes. The heatmaps present the direction and relative strength of MR associations, with asterisks indicating statistically significant estimates.</w:t>
            </w:r>
          </w:p>
        </w:tc>
      </w:tr>
      <w:tr w14:paraId="62E6DFEA">
        <w:tblPrEx>
          <w:tblCellMar>
            <w:top w:w="0" w:type="dxa"/>
            <w:left w:w="108" w:type="dxa"/>
            <w:bottom w:w="0" w:type="dxa"/>
            <w:right w:w="108" w:type="dxa"/>
          </w:tblCellMar>
        </w:tblPrEx>
        <w:tc>
          <w:tcPr>
            <w:tcW w:w="587" w:type="dxa"/>
            <w:shd w:val="clear" w:color="auto" w:fill="EEEEEE"/>
          </w:tcPr>
          <w:p w14:paraId="57CB278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12</w:t>
            </w:r>
          </w:p>
        </w:tc>
        <w:tc>
          <w:tcPr>
            <w:tcW w:w="1810" w:type="dxa"/>
            <w:shd w:val="clear" w:color="auto" w:fill="EEEEEE"/>
          </w:tcPr>
          <w:p w14:paraId="27B891D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6525" w:type="dxa"/>
            <w:shd w:val="clear" w:color="auto" w:fill="EEEEEE"/>
          </w:tcPr>
          <w:p w14:paraId="6EC050C1">
            <w:pPr>
              <w:spacing w:before="96" w:beforeLines="40" w:after="96" w:afterLines="40" w:line="24" w:lineRule="atLeast"/>
              <w:rPr>
                <w:rFonts w:eastAsia="Cambria"/>
                <w:sz w:val="18"/>
                <w:szCs w:val="18"/>
                <w:lang w:val="en-GB" w:eastAsia="en-US"/>
              </w:rPr>
            </w:pPr>
          </w:p>
        </w:tc>
        <w:tc>
          <w:tcPr>
            <w:tcW w:w="1427" w:type="dxa"/>
            <w:shd w:val="clear" w:color="auto" w:fill="EEEEEE"/>
          </w:tcPr>
          <w:p w14:paraId="3871A389">
            <w:pPr>
              <w:spacing w:before="96" w:beforeLines="40" w:after="96" w:afterLines="40" w:line="24" w:lineRule="atLeast"/>
              <w:rPr>
                <w:rFonts w:eastAsia="Cambria"/>
                <w:sz w:val="18"/>
                <w:szCs w:val="18"/>
                <w:lang w:val="en-GB" w:eastAsia="en-US"/>
              </w:rPr>
            </w:pPr>
            <w:r>
              <w:rPr>
                <w:rFonts w:eastAsia="Cambria"/>
                <w:sz w:val="18"/>
                <w:szCs w:val="18"/>
                <w:lang w:val="en-GB" w:eastAsia="en-US"/>
              </w:rPr>
              <w:t>Supplementary Tables</w:t>
            </w:r>
          </w:p>
        </w:tc>
        <w:tc>
          <w:tcPr>
            <w:tcW w:w="4141" w:type="dxa"/>
            <w:shd w:val="clear" w:color="auto" w:fill="EEEEEE"/>
          </w:tcPr>
          <w:p w14:paraId="10C8ADE2">
            <w:pPr>
              <w:spacing w:before="96" w:beforeLines="40" w:after="96" w:afterLines="40" w:line="24" w:lineRule="atLeast"/>
              <w:rPr>
                <w:rFonts w:eastAsia="Cambria"/>
                <w:sz w:val="18"/>
                <w:szCs w:val="18"/>
                <w:lang w:val="en-GB" w:eastAsia="en-US"/>
              </w:rPr>
            </w:pPr>
            <w:r>
              <w:rPr>
                <w:rFonts w:eastAsia="Cambria"/>
                <w:sz w:val="18"/>
                <w:szCs w:val="18"/>
                <w:lang w:val="en-GB" w:eastAsia="en-US"/>
              </w:rPr>
              <w:t>The assessment of MR assumptions, including heterogeneity and pleiotropy analyses, is reported in the supplementary tables. Cochran’s Q test, MR-Egger intercept, MR-PRESSO, and leave-one-out analyses were used to evaluate heterogeneity, horizontal pleiotropy, outlier effects, and the influence of individual SNPs.</w:t>
            </w:r>
          </w:p>
        </w:tc>
      </w:tr>
      <w:tr w14:paraId="48EE0AFA">
        <w:tblPrEx>
          <w:tblCellMar>
            <w:top w:w="0" w:type="dxa"/>
            <w:left w:w="108" w:type="dxa"/>
            <w:bottom w:w="0" w:type="dxa"/>
            <w:right w:w="108" w:type="dxa"/>
          </w:tblCellMar>
        </w:tblPrEx>
        <w:tc>
          <w:tcPr>
            <w:tcW w:w="587" w:type="dxa"/>
            <w:shd w:val="clear" w:color="auto" w:fill="auto"/>
          </w:tcPr>
          <w:p w14:paraId="4E29121D">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18A8B0E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25" w:type="dxa"/>
            <w:shd w:val="clear" w:color="auto" w:fill="auto"/>
          </w:tcPr>
          <w:p w14:paraId="1A97B45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1427" w:type="dxa"/>
          </w:tcPr>
          <w:p w14:paraId="6E2D56F0">
            <w:pPr>
              <w:spacing w:before="96" w:beforeLines="40" w:after="96" w:afterLines="40" w:line="24" w:lineRule="atLeast"/>
              <w:rPr>
                <w:rFonts w:hint="default" w:eastAsia="宋体"/>
                <w:sz w:val="18"/>
                <w:szCs w:val="18"/>
                <w:lang w:val="en-US" w:eastAsia="zh-CN"/>
              </w:rPr>
            </w:pPr>
          </w:p>
        </w:tc>
        <w:tc>
          <w:tcPr>
            <w:tcW w:w="4141" w:type="dxa"/>
          </w:tcPr>
          <w:p w14:paraId="5E7081D1">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Supplementary1. Sheet4-15</w:t>
            </w:r>
          </w:p>
        </w:tc>
      </w:tr>
      <w:tr w14:paraId="7BDA55CD">
        <w:tblPrEx>
          <w:tblCellMar>
            <w:top w:w="0" w:type="dxa"/>
            <w:left w:w="108" w:type="dxa"/>
            <w:bottom w:w="0" w:type="dxa"/>
            <w:right w:w="108" w:type="dxa"/>
          </w:tblCellMar>
        </w:tblPrEx>
        <w:tc>
          <w:tcPr>
            <w:tcW w:w="587" w:type="dxa"/>
            <w:shd w:val="clear" w:color="auto" w:fill="EEEEEE"/>
          </w:tcPr>
          <w:p w14:paraId="6F27FA73">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6BC0019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25" w:type="dxa"/>
            <w:shd w:val="clear" w:color="auto" w:fill="EEEEEE"/>
          </w:tcPr>
          <w:p w14:paraId="400ADD5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1427" w:type="dxa"/>
            <w:shd w:val="clear" w:color="auto" w:fill="EEEEEE"/>
          </w:tcPr>
          <w:p w14:paraId="2D6E39C6">
            <w:pPr>
              <w:spacing w:before="96" w:beforeLines="40" w:after="96" w:afterLines="40" w:line="24" w:lineRule="atLeast"/>
              <w:rPr>
                <w:rFonts w:eastAsia="Times New Roman"/>
                <w:sz w:val="18"/>
                <w:szCs w:val="18"/>
                <w:lang w:val="en-GB" w:eastAsia="en-GB"/>
              </w:rPr>
            </w:pPr>
          </w:p>
        </w:tc>
        <w:tc>
          <w:tcPr>
            <w:tcW w:w="4141" w:type="dxa"/>
            <w:shd w:val="clear" w:color="auto" w:fill="EEEEEE"/>
          </w:tcPr>
          <w:p w14:paraId="205C4ED8">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Supplementary1. Sheet4-15</w:t>
            </w:r>
          </w:p>
        </w:tc>
      </w:tr>
      <w:tr w14:paraId="23F1C43D">
        <w:tblPrEx>
          <w:tblCellMar>
            <w:top w:w="0" w:type="dxa"/>
            <w:left w:w="108" w:type="dxa"/>
            <w:bottom w:w="0" w:type="dxa"/>
            <w:right w:w="108" w:type="dxa"/>
          </w:tblCellMar>
        </w:tblPrEx>
        <w:trPr>
          <w:trHeight w:val="90" w:hRule="atLeast"/>
        </w:trPr>
        <w:tc>
          <w:tcPr>
            <w:tcW w:w="587" w:type="dxa"/>
            <w:shd w:val="clear" w:color="auto" w:fill="auto"/>
          </w:tcPr>
          <w:p w14:paraId="021A9BB4">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13</w:t>
            </w:r>
          </w:p>
        </w:tc>
        <w:tc>
          <w:tcPr>
            <w:tcW w:w="1810" w:type="dxa"/>
            <w:shd w:val="clear" w:color="auto" w:fill="auto"/>
          </w:tcPr>
          <w:p w14:paraId="51D3F02D">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6525" w:type="dxa"/>
            <w:shd w:val="clear" w:color="auto" w:fill="auto"/>
          </w:tcPr>
          <w:p w14:paraId="4AB1D97F">
            <w:pPr>
              <w:spacing w:before="96" w:beforeLines="40" w:after="96" w:afterLines="40" w:line="24" w:lineRule="atLeast"/>
              <w:rPr>
                <w:rFonts w:eastAsia="Cambria"/>
                <w:sz w:val="18"/>
                <w:szCs w:val="18"/>
                <w:lang w:val="en-GB" w:eastAsia="en-US"/>
              </w:rPr>
            </w:pPr>
          </w:p>
        </w:tc>
        <w:tc>
          <w:tcPr>
            <w:tcW w:w="1427" w:type="dxa"/>
          </w:tcPr>
          <w:p w14:paraId="50481D19">
            <w:pPr>
              <w:spacing w:before="96" w:beforeLines="40" w:after="96" w:afterLines="40" w:line="24" w:lineRule="atLeast"/>
              <w:rPr>
                <w:rFonts w:eastAsia="Cambria"/>
                <w:sz w:val="18"/>
                <w:szCs w:val="18"/>
                <w:lang w:val="en-GB" w:eastAsia="en-US"/>
              </w:rPr>
            </w:pPr>
          </w:p>
        </w:tc>
        <w:tc>
          <w:tcPr>
            <w:tcW w:w="4141" w:type="dxa"/>
          </w:tcPr>
          <w:p w14:paraId="0F2C43F0">
            <w:pPr>
              <w:spacing w:before="96" w:beforeLines="40" w:after="96" w:afterLines="40" w:line="24" w:lineRule="atLeast"/>
              <w:rPr>
                <w:rFonts w:eastAsia="Cambria"/>
                <w:sz w:val="18"/>
                <w:szCs w:val="18"/>
                <w:lang w:val="en-GB" w:eastAsia="en-US"/>
              </w:rPr>
            </w:pPr>
          </w:p>
        </w:tc>
      </w:tr>
      <w:tr w14:paraId="1ABE2F1D">
        <w:tblPrEx>
          <w:tblCellMar>
            <w:top w:w="0" w:type="dxa"/>
            <w:left w:w="108" w:type="dxa"/>
            <w:bottom w:w="0" w:type="dxa"/>
            <w:right w:w="108" w:type="dxa"/>
          </w:tblCellMar>
        </w:tblPrEx>
        <w:trPr>
          <w:trHeight w:val="695" w:hRule="atLeast"/>
        </w:trPr>
        <w:tc>
          <w:tcPr>
            <w:tcW w:w="587" w:type="dxa"/>
            <w:shd w:val="clear" w:color="auto" w:fill="EEEEEE"/>
          </w:tcPr>
          <w:p w14:paraId="0D022F9B">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27E8FFD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25" w:type="dxa"/>
            <w:shd w:val="clear" w:color="auto" w:fill="EEEEEE"/>
          </w:tcPr>
          <w:p w14:paraId="30AA926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1427" w:type="dxa"/>
            <w:shd w:val="clear" w:color="auto" w:fill="EEEEEE"/>
          </w:tcPr>
          <w:p w14:paraId="39DB2F0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Supplementary Tables and Supplementary Figures</w:t>
            </w:r>
          </w:p>
        </w:tc>
        <w:tc>
          <w:tcPr>
            <w:tcW w:w="4141" w:type="dxa"/>
            <w:shd w:val="clear" w:color="auto" w:fill="EEEEEE"/>
          </w:tcPr>
          <w:p w14:paraId="73386906">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Sensitivity analyses assessing the robustness of the main MR findings are reported in the supplementary tables and figures. These included MR-Egger regression, weighted median, weighted mode, simple mode, Cochran’s Q test, MR-Egger intercept, MR-PRESSO, and leave-one-out analyses.</w:t>
            </w:r>
          </w:p>
        </w:tc>
      </w:tr>
      <w:tr w14:paraId="3696A9F1">
        <w:tblPrEx>
          <w:tblCellMar>
            <w:top w:w="0" w:type="dxa"/>
            <w:left w:w="108" w:type="dxa"/>
            <w:bottom w:w="0" w:type="dxa"/>
            <w:right w:w="108" w:type="dxa"/>
          </w:tblCellMar>
        </w:tblPrEx>
        <w:tc>
          <w:tcPr>
            <w:tcW w:w="587" w:type="dxa"/>
            <w:shd w:val="clear" w:color="auto" w:fill="auto"/>
          </w:tcPr>
          <w:p w14:paraId="0D2234E5">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7453E1F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25" w:type="dxa"/>
            <w:shd w:val="clear" w:color="auto" w:fill="auto"/>
          </w:tcPr>
          <w:p w14:paraId="5111E54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1427" w:type="dxa"/>
          </w:tcPr>
          <w:p w14:paraId="447F5BF5">
            <w:pPr>
              <w:spacing w:before="96" w:beforeLines="40" w:after="96" w:afterLines="40" w:line="24" w:lineRule="atLeast"/>
              <w:rPr>
                <w:rFonts w:eastAsia="Times New Roman"/>
                <w:sz w:val="18"/>
                <w:szCs w:val="18"/>
                <w:lang w:val="en-GB" w:eastAsia="en-GB"/>
              </w:rPr>
            </w:pPr>
          </w:p>
        </w:tc>
        <w:tc>
          <w:tcPr>
            <w:tcW w:w="4141" w:type="dxa"/>
          </w:tcPr>
          <w:p w14:paraId="5BB83735">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Additional analyses included comparisons of MR estimates across different MR methods and leave-one-out analyses to assess whether individual SNPs disproportionately influenced the observed associations.</w:t>
            </w:r>
          </w:p>
        </w:tc>
      </w:tr>
      <w:tr w14:paraId="1650BAB8">
        <w:tblPrEx>
          <w:tblCellMar>
            <w:top w:w="0" w:type="dxa"/>
            <w:left w:w="108" w:type="dxa"/>
            <w:bottom w:w="0" w:type="dxa"/>
            <w:right w:w="108" w:type="dxa"/>
          </w:tblCellMar>
        </w:tblPrEx>
        <w:tc>
          <w:tcPr>
            <w:tcW w:w="587" w:type="dxa"/>
            <w:shd w:val="clear" w:color="auto" w:fill="EEEEEE"/>
          </w:tcPr>
          <w:p w14:paraId="4D025CC4">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6EAD995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25" w:type="dxa"/>
            <w:shd w:val="clear" w:color="auto" w:fill="EEEEEE"/>
          </w:tcPr>
          <w:p w14:paraId="14E0FCD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1427" w:type="dxa"/>
            <w:shd w:val="clear" w:color="auto" w:fill="EEEEEE"/>
          </w:tcPr>
          <w:p w14:paraId="03D1A085">
            <w:pPr>
              <w:spacing w:before="96" w:beforeLines="40" w:after="96" w:afterLines="40" w:line="24" w:lineRule="atLeast"/>
              <w:rPr>
                <w:rFonts w:eastAsia="Times New Roman"/>
                <w:sz w:val="18"/>
                <w:szCs w:val="18"/>
                <w:lang w:val="en-GB" w:eastAsia="en-GB"/>
              </w:rPr>
            </w:pPr>
          </w:p>
        </w:tc>
        <w:tc>
          <w:tcPr>
            <w:tcW w:w="4141" w:type="dxa"/>
            <w:shd w:val="clear" w:color="auto" w:fill="EEEEEE"/>
          </w:tcPr>
          <w:p w14:paraId="66751F0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Formal bidirectional MR was not performed in this study. The direction of the reported associations was interpreted according to the study design and the selected exposure-to-outcome MR framework, under the core instrumental variable assumptions.</w:t>
            </w:r>
          </w:p>
        </w:tc>
      </w:tr>
      <w:tr w14:paraId="2034ACF7">
        <w:tblPrEx>
          <w:tblCellMar>
            <w:top w:w="0" w:type="dxa"/>
            <w:left w:w="108" w:type="dxa"/>
            <w:bottom w:w="0" w:type="dxa"/>
            <w:right w:w="108" w:type="dxa"/>
          </w:tblCellMar>
        </w:tblPrEx>
        <w:tc>
          <w:tcPr>
            <w:tcW w:w="587" w:type="dxa"/>
            <w:shd w:val="clear" w:color="auto" w:fill="auto"/>
          </w:tcPr>
          <w:p w14:paraId="3217ECED">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5AE90FE5">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6525" w:type="dxa"/>
            <w:shd w:val="clear" w:color="auto" w:fill="auto"/>
          </w:tcPr>
          <w:p w14:paraId="3A13AF3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1427" w:type="dxa"/>
          </w:tcPr>
          <w:p w14:paraId="528F9F4C">
            <w:pPr>
              <w:spacing w:before="96" w:beforeLines="40" w:after="96" w:afterLines="40" w:line="24" w:lineRule="atLeast"/>
              <w:rPr>
                <w:rFonts w:eastAsia="Times New Roman"/>
                <w:sz w:val="18"/>
                <w:szCs w:val="18"/>
                <w:lang w:val="en-GB" w:eastAsia="en-GB"/>
              </w:rPr>
            </w:pPr>
          </w:p>
        </w:tc>
        <w:tc>
          <w:tcPr>
            <w:tcW w:w="4141" w:type="dxa"/>
          </w:tcPr>
          <w:p w14:paraId="7B882C5B">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No new non-MR analysis was performed in the present study. The MR findings were interpreted in the context of previously published observational and genetic evidence discussed in the manuscript.</w:t>
            </w:r>
          </w:p>
        </w:tc>
      </w:tr>
      <w:tr w14:paraId="3E7CFBFC">
        <w:tblPrEx>
          <w:tblCellMar>
            <w:top w:w="0" w:type="dxa"/>
            <w:left w:w="108" w:type="dxa"/>
            <w:bottom w:w="0" w:type="dxa"/>
            <w:right w:w="108" w:type="dxa"/>
          </w:tblCellMar>
        </w:tblPrEx>
        <w:tc>
          <w:tcPr>
            <w:tcW w:w="587" w:type="dxa"/>
            <w:tcBorders>
              <w:bottom w:val="single" w:color="7F7F7F" w:sz="6" w:space="0"/>
            </w:tcBorders>
            <w:shd w:val="clear" w:color="auto" w:fill="EEEEEE"/>
          </w:tcPr>
          <w:p w14:paraId="1FDC421F">
            <w:pPr>
              <w:spacing w:before="96" w:beforeLines="40" w:after="96" w:afterLines="40" w:line="24" w:lineRule="atLeast"/>
              <w:jc w:val="right"/>
              <w:rPr>
                <w:rFonts w:eastAsia="Cambria"/>
                <w:b/>
                <w:bCs/>
                <w:sz w:val="18"/>
                <w:szCs w:val="18"/>
                <w:lang w:val="en-GB" w:eastAsia="en-US"/>
              </w:rPr>
            </w:pPr>
          </w:p>
        </w:tc>
        <w:tc>
          <w:tcPr>
            <w:tcW w:w="1810" w:type="dxa"/>
            <w:tcBorders>
              <w:bottom w:val="single" w:color="7F7F7F" w:sz="6" w:space="0"/>
            </w:tcBorders>
            <w:shd w:val="clear" w:color="auto" w:fill="EEEEEE"/>
          </w:tcPr>
          <w:p w14:paraId="5FE1503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6525" w:type="dxa"/>
            <w:tcBorders>
              <w:bottom w:val="single" w:color="7F7F7F" w:sz="6" w:space="0"/>
            </w:tcBorders>
            <w:shd w:val="clear" w:color="auto" w:fill="EEEEEE"/>
          </w:tcPr>
          <w:p w14:paraId="61CE32BA">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1427" w:type="dxa"/>
            <w:tcBorders>
              <w:bottom w:val="single" w:color="7F7F7F" w:sz="6" w:space="0"/>
            </w:tcBorders>
            <w:shd w:val="clear" w:color="auto" w:fill="EEEEEE"/>
          </w:tcPr>
          <w:p w14:paraId="33892A62">
            <w:pPr>
              <w:spacing w:before="96" w:beforeLines="40" w:after="96" w:afterLines="40" w:line="24" w:lineRule="atLeast"/>
              <w:rPr>
                <w:rFonts w:eastAsia="Times New Roman"/>
                <w:sz w:val="18"/>
                <w:szCs w:val="18"/>
                <w:lang w:val="en-GB" w:eastAsia="en-GB"/>
              </w:rPr>
            </w:pPr>
          </w:p>
        </w:tc>
        <w:tc>
          <w:tcPr>
            <w:tcW w:w="4141" w:type="dxa"/>
            <w:tcBorders>
              <w:bottom w:val="single" w:color="7F7F7F" w:sz="6" w:space="0"/>
            </w:tcBorders>
            <w:shd w:val="clear" w:color="auto" w:fill="EEEEEE"/>
          </w:tcPr>
          <w:p w14:paraId="03A6AB93">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Supplementary 2-7</w:t>
            </w:r>
          </w:p>
        </w:tc>
      </w:tr>
      <w:tr w14:paraId="5B7D2773">
        <w:tblPrEx>
          <w:tblCellMar>
            <w:top w:w="0" w:type="dxa"/>
            <w:left w:w="108" w:type="dxa"/>
            <w:bottom w:w="0" w:type="dxa"/>
            <w:right w:w="108" w:type="dxa"/>
          </w:tblCellMar>
        </w:tblPrEx>
        <w:tc>
          <w:tcPr>
            <w:tcW w:w="587" w:type="dxa"/>
            <w:tcBorders>
              <w:top w:val="single" w:color="7F7F7F" w:sz="6" w:space="0"/>
            </w:tcBorders>
            <w:shd w:val="clear" w:color="auto" w:fill="auto"/>
          </w:tcPr>
          <w:p w14:paraId="5BDBDA65">
            <w:pPr>
              <w:spacing w:before="96" w:beforeLines="40" w:after="96" w:afterLines="40" w:line="24" w:lineRule="atLeast"/>
              <w:rPr>
                <w:rFonts w:eastAsia="Times New Roman"/>
                <w:b/>
                <w:bCs/>
                <w:sz w:val="18"/>
                <w:szCs w:val="18"/>
                <w:lang w:val="en-GB" w:eastAsia="en-GB"/>
              </w:rPr>
            </w:pPr>
          </w:p>
        </w:tc>
        <w:tc>
          <w:tcPr>
            <w:tcW w:w="1810" w:type="dxa"/>
            <w:tcBorders>
              <w:top w:val="single" w:color="7F7F7F" w:sz="6" w:space="0"/>
            </w:tcBorders>
            <w:shd w:val="clear" w:color="auto" w:fill="auto"/>
          </w:tcPr>
          <w:p w14:paraId="1C564B75">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DISCUSSION</w:t>
            </w:r>
          </w:p>
        </w:tc>
        <w:tc>
          <w:tcPr>
            <w:tcW w:w="6525" w:type="dxa"/>
            <w:tcBorders>
              <w:top w:val="single" w:color="7F7F7F" w:sz="6" w:space="0"/>
            </w:tcBorders>
            <w:shd w:val="clear" w:color="auto" w:fill="auto"/>
          </w:tcPr>
          <w:p w14:paraId="35997729">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tcPr>
          <w:p w14:paraId="1AAD7FFB">
            <w:pPr>
              <w:spacing w:before="96" w:beforeLines="40" w:after="96" w:afterLines="40" w:line="24" w:lineRule="atLeast"/>
              <w:rPr>
                <w:rFonts w:eastAsia="Cambria"/>
                <w:sz w:val="18"/>
                <w:szCs w:val="18"/>
                <w:lang w:val="en-GB" w:eastAsia="en-US"/>
              </w:rPr>
            </w:pPr>
          </w:p>
        </w:tc>
        <w:tc>
          <w:tcPr>
            <w:tcW w:w="4141" w:type="dxa"/>
            <w:tcBorders>
              <w:top w:val="single" w:color="7F7F7F" w:sz="6" w:space="0"/>
            </w:tcBorders>
          </w:tcPr>
          <w:p w14:paraId="2AE3A897">
            <w:pPr>
              <w:spacing w:before="96" w:beforeLines="40" w:after="96" w:afterLines="40" w:line="24" w:lineRule="atLeast"/>
              <w:rPr>
                <w:rFonts w:eastAsia="Cambria"/>
                <w:sz w:val="18"/>
                <w:szCs w:val="18"/>
                <w:lang w:val="en-GB" w:eastAsia="en-US"/>
              </w:rPr>
            </w:pPr>
          </w:p>
        </w:tc>
      </w:tr>
      <w:tr w14:paraId="1800AF05">
        <w:tblPrEx>
          <w:tblCellMar>
            <w:top w:w="0" w:type="dxa"/>
            <w:left w:w="108" w:type="dxa"/>
            <w:bottom w:w="0" w:type="dxa"/>
            <w:right w:w="108" w:type="dxa"/>
          </w:tblCellMar>
        </w:tblPrEx>
        <w:tc>
          <w:tcPr>
            <w:tcW w:w="587" w:type="dxa"/>
            <w:shd w:val="clear" w:color="auto" w:fill="EEEEEE"/>
          </w:tcPr>
          <w:p w14:paraId="6B5F5286">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14</w:t>
            </w:r>
          </w:p>
        </w:tc>
        <w:tc>
          <w:tcPr>
            <w:tcW w:w="1810" w:type="dxa"/>
            <w:shd w:val="clear" w:color="auto" w:fill="EEEEEE"/>
          </w:tcPr>
          <w:p w14:paraId="42EDC02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Key results </w:t>
            </w:r>
          </w:p>
        </w:tc>
        <w:tc>
          <w:tcPr>
            <w:tcW w:w="6525" w:type="dxa"/>
            <w:shd w:val="clear" w:color="auto" w:fill="EEEEEE"/>
          </w:tcPr>
          <w:p w14:paraId="35F1CAD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Summarize key results with reference to study objectives</w:t>
            </w:r>
          </w:p>
        </w:tc>
        <w:tc>
          <w:tcPr>
            <w:tcW w:w="1427" w:type="dxa"/>
            <w:shd w:val="clear" w:color="auto" w:fill="EEEEEE"/>
          </w:tcPr>
          <w:p w14:paraId="2C7117BF">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13-22</w:t>
            </w:r>
          </w:p>
        </w:tc>
        <w:tc>
          <w:tcPr>
            <w:tcW w:w="4141" w:type="dxa"/>
            <w:shd w:val="clear" w:color="auto" w:fill="EEEEEE"/>
          </w:tcPr>
          <w:p w14:paraId="1AD4B95A">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This study identified several Life’s Essential 8-related lifestyle and cardiometabolic factors associated with stroke and dementia outcomes. The associations were stronger and more consistent for stroke than for dementia. Increased grain intake, higher HDL-C levels, and accelerometer-measured physical activity were associated with lower odds of stroke. In contrast, current smoking, genetically predicted high blood pressure, increased daytime napping, prolonged sedentary behavior, age at smoking initiation, and higher salt intake were associated with higher odds of stroke. For dementia-related outcomes, higher salt intake and total cholesterol were associated with higher odds, whereas diastolic blood pressure showed an inverse association and should not be described as a risk factor. The extremely large estimate for vigorous physical activity and vascular dementia was statistically unstable and was not interpreted as robust causal evidence.</w:t>
            </w:r>
          </w:p>
        </w:tc>
      </w:tr>
      <w:tr w14:paraId="06BFAFA4">
        <w:tblPrEx>
          <w:tblCellMar>
            <w:top w:w="0" w:type="dxa"/>
            <w:left w:w="108" w:type="dxa"/>
            <w:bottom w:w="0" w:type="dxa"/>
            <w:right w:w="108" w:type="dxa"/>
          </w:tblCellMar>
        </w:tblPrEx>
        <w:tc>
          <w:tcPr>
            <w:tcW w:w="587" w:type="dxa"/>
            <w:shd w:val="clear" w:color="auto" w:fill="auto"/>
          </w:tcPr>
          <w:p w14:paraId="6D471CC5">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15</w:t>
            </w:r>
          </w:p>
        </w:tc>
        <w:tc>
          <w:tcPr>
            <w:tcW w:w="1810" w:type="dxa"/>
            <w:shd w:val="clear" w:color="auto" w:fill="auto"/>
          </w:tcPr>
          <w:p w14:paraId="5C27961E">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Limitations</w:t>
            </w:r>
          </w:p>
        </w:tc>
        <w:tc>
          <w:tcPr>
            <w:tcW w:w="6525" w:type="dxa"/>
            <w:shd w:val="clear" w:color="auto" w:fill="auto"/>
          </w:tcPr>
          <w:p w14:paraId="75B6F41B">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1427" w:type="dxa"/>
          </w:tcPr>
          <w:p w14:paraId="201D4281">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20–22</w:t>
            </w:r>
          </w:p>
        </w:tc>
        <w:tc>
          <w:tcPr>
            <w:tcW w:w="4141" w:type="dxa"/>
          </w:tcPr>
          <w:p w14:paraId="7CB4BA33">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manuscript discusses several limitations. First, most GWAS data were derived from individuals of European ancestry, which may limit generalizability to other populations. Second, weak instrument bias could not be entirely excluded, especially for exposure–outcome pairs with limited SNP availability or very wide confidence intervals. This limitation was particularly relevant to the estimate for vigorous physical activity and vascular dementia, which was considered statistically unstable. Third, because the study used summary-level GWAS data, individual-level subgroup analyses, exposure timing, and detailed intervention effects could not be evaluated. Finally, MR estimates may reflect lifelong genetic predisposition to an exposure and may not fully correspond to short-term lifestyle or clinical interventions.</w:t>
            </w:r>
          </w:p>
        </w:tc>
      </w:tr>
      <w:tr w14:paraId="71F8B8B5">
        <w:tblPrEx>
          <w:tblCellMar>
            <w:top w:w="0" w:type="dxa"/>
            <w:left w:w="108" w:type="dxa"/>
            <w:bottom w:w="0" w:type="dxa"/>
            <w:right w:w="108" w:type="dxa"/>
          </w:tblCellMar>
        </w:tblPrEx>
        <w:tc>
          <w:tcPr>
            <w:tcW w:w="587" w:type="dxa"/>
            <w:shd w:val="clear" w:color="auto" w:fill="EEEEEE"/>
          </w:tcPr>
          <w:p w14:paraId="02C1D590">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16</w:t>
            </w:r>
          </w:p>
        </w:tc>
        <w:tc>
          <w:tcPr>
            <w:tcW w:w="1810" w:type="dxa"/>
            <w:shd w:val="clear" w:color="auto" w:fill="EEEEEE"/>
          </w:tcPr>
          <w:p w14:paraId="612AA484">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6525" w:type="dxa"/>
            <w:shd w:val="clear" w:color="auto" w:fill="EEEEEE"/>
          </w:tcPr>
          <w:p w14:paraId="3BF6466E">
            <w:pPr>
              <w:spacing w:before="96" w:beforeLines="40" w:after="96" w:afterLines="40" w:line="24" w:lineRule="atLeast"/>
              <w:rPr>
                <w:rFonts w:eastAsia="Cambria"/>
                <w:sz w:val="18"/>
                <w:szCs w:val="18"/>
                <w:lang w:val="en-GB" w:eastAsia="en-US"/>
              </w:rPr>
            </w:pPr>
          </w:p>
        </w:tc>
        <w:tc>
          <w:tcPr>
            <w:tcW w:w="1427" w:type="dxa"/>
            <w:shd w:val="clear" w:color="auto" w:fill="EEEEEE"/>
          </w:tcPr>
          <w:p w14:paraId="4B5179B2">
            <w:pPr>
              <w:spacing w:before="96" w:beforeLines="40" w:after="96" w:afterLines="40" w:line="24" w:lineRule="atLeast"/>
              <w:rPr>
                <w:rFonts w:eastAsia="Cambria"/>
                <w:sz w:val="18"/>
                <w:szCs w:val="18"/>
                <w:lang w:val="en-GB" w:eastAsia="en-US"/>
              </w:rPr>
            </w:pPr>
          </w:p>
        </w:tc>
        <w:tc>
          <w:tcPr>
            <w:tcW w:w="4141" w:type="dxa"/>
            <w:shd w:val="clear" w:color="auto" w:fill="EEEEEE"/>
          </w:tcPr>
          <w:p w14:paraId="1C445080">
            <w:pPr>
              <w:spacing w:before="96" w:beforeLines="40" w:after="96" w:afterLines="40" w:line="24" w:lineRule="atLeast"/>
              <w:rPr>
                <w:rFonts w:eastAsia="Cambria"/>
                <w:sz w:val="18"/>
                <w:szCs w:val="18"/>
                <w:lang w:val="en-GB" w:eastAsia="en-US"/>
              </w:rPr>
            </w:pPr>
          </w:p>
        </w:tc>
      </w:tr>
      <w:tr w14:paraId="62E6D51A">
        <w:tblPrEx>
          <w:tblCellMar>
            <w:top w:w="0" w:type="dxa"/>
            <w:left w:w="108" w:type="dxa"/>
            <w:bottom w:w="0" w:type="dxa"/>
            <w:right w:w="108" w:type="dxa"/>
          </w:tblCellMar>
        </w:tblPrEx>
        <w:tc>
          <w:tcPr>
            <w:tcW w:w="587" w:type="dxa"/>
            <w:shd w:val="clear" w:color="auto" w:fill="auto"/>
          </w:tcPr>
          <w:p w14:paraId="6DD2F448">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50F26A2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6525" w:type="dxa"/>
            <w:shd w:val="clear" w:color="auto" w:fill="auto"/>
          </w:tcPr>
          <w:p w14:paraId="7EDF986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Meaning: Give a cautious overall interpretation of results in the context of their limitations and in comparison with other studies</w:t>
            </w:r>
          </w:p>
        </w:tc>
        <w:tc>
          <w:tcPr>
            <w:tcW w:w="1427" w:type="dxa"/>
          </w:tcPr>
          <w:p w14:paraId="565CC165">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20–22</w:t>
            </w:r>
          </w:p>
        </w:tc>
        <w:tc>
          <w:tcPr>
            <w:tcW w:w="4141" w:type="dxa"/>
          </w:tcPr>
          <w:p w14:paraId="5251245C">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manuscript provides a cautious interpretation of the findings. The results support the potential importance of modifiable lifestyle and cardiometabolic factors, particularly smoking, blood pressure, sedentary behavior, salt intake, HDL-C, and physical activity, in stroke prevention. Evidence for dementia-related outcomes was less consistent, and findings with severe statistical imprecision were not interpreted as definitive causal evidence.</w:t>
            </w:r>
          </w:p>
        </w:tc>
      </w:tr>
      <w:tr w14:paraId="156B69E5">
        <w:tblPrEx>
          <w:tblCellMar>
            <w:top w:w="0" w:type="dxa"/>
            <w:left w:w="108" w:type="dxa"/>
            <w:bottom w:w="0" w:type="dxa"/>
            <w:right w:w="108" w:type="dxa"/>
          </w:tblCellMar>
        </w:tblPrEx>
        <w:tc>
          <w:tcPr>
            <w:tcW w:w="587" w:type="dxa"/>
            <w:shd w:val="clear" w:color="auto" w:fill="EEEEEE"/>
          </w:tcPr>
          <w:p w14:paraId="4C8A2215">
            <w:pPr>
              <w:spacing w:before="96" w:beforeLines="40" w:after="96" w:afterLines="40" w:line="24" w:lineRule="atLeast"/>
              <w:jc w:val="right"/>
              <w:rPr>
                <w:rFonts w:eastAsia="Cambria"/>
                <w:b/>
                <w:bCs/>
                <w:sz w:val="18"/>
                <w:szCs w:val="18"/>
                <w:lang w:val="en-GB" w:eastAsia="en-US"/>
              </w:rPr>
            </w:pPr>
          </w:p>
        </w:tc>
        <w:tc>
          <w:tcPr>
            <w:tcW w:w="1810" w:type="dxa"/>
            <w:shd w:val="clear" w:color="auto" w:fill="EEEEEE"/>
          </w:tcPr>
          <w:p w14:paraId="6A4A5F1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6525" w:type="dxa"/>
            <w:shd w:val="clear" w:color="auto" w:fill="EEEEEE"/>
          </w:tcPr>
          <w:p w14:paraId="422EB89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1427" w:type="dxa"/>
            <w:shd w:val="clear" w:color="auto" w:fill="EEEEEE"/>
          </w:tcPr>
          <w:p w14:paraId="2FA4AA4D">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13-22</w:t>
            </w:r>
          </w:p>
        </w:tc>
        <w:tc>
          <w:tcPr>
            <w:tcW w:w="4141" w:type="dxa"/>
            <w:shd w:val="clear" w:color="auto" w:fill="EEEEEE"/>
          </w:tcPr>
          <w:p w14:paraId="3A91F000">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manuscript discusses plausible biological mechanisms linking Life’s Essential 8-related traits with stroke and dementia, including vascular injury, atherosclerosis, endothelial dysfunction, thrombosis, inflammation, metabolic dysfunction, and cerebral small-vessel disease. These mechanisms were linked to the MR findings, particularly the stronger and more consistent associations observed for stroke outcomes. The gene–environment equivalence assumption was interpreted cautiously because genetic instruments represent lifelong exposure predisposition and may not fully mimic short-term lifestyle or clinical interventions. Therefore, causal language was used carefully, and IV estimates were interpreted as potential causal effects only under valid MR assumptions.</w:t>
            </w:r>
          </w:p>
        </w:tc>
      </w:tr>
      <w:tr w14:paraId="203390A0">
        <w:tblPrEx>
          <w:tblCellMar>
            <w:top w:w="0" w:type="dxa"/>
            <w:left w:w="108" w:type="dxa"/>
            <w:bottom w:w="0" w:type="dxa"/>
            <w:right w:w="108" w:type="dxa"/>
          </w:tblCellMar>
        </w:tblPrEx>
        <w:tc>
          <w:tcPr>
            <w:tcW w:w="587" w:type="dxa"/>
            <w:shd w:val="clear" w:color="auto" w:fill="auto"/>
          </w:tcPr>
          <w:p w14:paraId="54CA3A27">
            <w:pPr>
              <w:spacing w:before="96" w:beforeLines="40" w:after="96" w:afterLines="40" w:line="24" w:lineRule="atLeast"/>
              <w:jc w:val="right"/>
              <w:rPr>
                <w:rFonts w:eastAsia="Cambria"/>
                <w:b/>
                <w:bCs/>
                <w:sz w:val="18"/>
                <w:szCs w:val="18"/>
                <w:lang w:val="en-GB" w:eastAsia="en-US"/>
              </w:rPr>
            </w:pPr>
          </w:p>
        </w:tc>
        <w:tc>
          <w:tcPr>
            <w:tcW w:w="1810" w:type="dxa"/>
            <w:shd w:val="clear" w:color="auto" w:fill="auto"/>
          </w:tcPr>
          <w:p w14:paraId="6D25BA5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6525" w:type="dxa"/>
            <w:shd w:val="clear" w:color="auto" w:fill="auto"/>
          </w:tcPr>
          <w:p w14:paraId="5B6A8315">
            <w:pPr>
              <w:tabs>
                <w:tab w:val="left" w:pos="135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1427" w:type="dxa"/>
          </w:tcPr>
          <w:p w14:paraId="32FCF028">
            <w:pPr>
              <w:tabs>
                <w:tab w:val="left" w:pos="1350"/>
              </w:tabs>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19–22</w:t>
            </w:r>
          </w:p>
        </w:tc>
        <w:tc>
          <w:tcPr>
            <w:tcW w:w="4141" w:type="dxa"/>
          </w:tcPr>
          <w:p w14:paraId="78058AE6">
            <w:pPr>
              <w:tabs>
                <w:tab w:val="left" w:pos="1350"/>
              </w:tabs>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findings have potential clinical and public health relevance, particularly for stroke prevention. The results support the importance of targeting modifiable factors such as smoking cessation, blood pressure management, sodium reduction, reduction of prolonged sedentary behavior, and appropriate physical activity. However, the evidence for dementia-related outcomes was less consistent, and the study does not establish that short-term lifestyle interventions would produce the same magnitude of effect as the MR estimates. Further longitudinal studies, randomized trials, and multi-ethnic genetic studies are needed to validate these findings and clarify their implications for prevention strategies.</w:t>
            </w:r>
          </w:p>
        </w:tc>
      </w:tr>
      <w:tr w14:paraId="71FDAFC1">
        <w:tblPrEx>
          <w:tblCellMar>
            <w:top w:w="0" w:type="dxa"/>
            <w:left w:w="108" w:type="dxa"/>
            <w:bottom w:w="0" w:type="dxa"/>
            <w:right w:w="108" w:type="dxa"/>
          </w:tblCellMar>
        </w:tblPrEx>
        <w:tc>
          <w:tcPr>
            <w:tcW w:w="587" w:type="dxa"/>
            <w:tcBorders>
              <w:bottom w:val="single" w:color="7F7F7F" w:sz="6" w:space="0"/>
            </w:tcBorders>
            <w:shd w:val="clear" w:color="auto" w:fill="EEEEEE"/>
          </w:tcPr>
          <w:p w14:paraId="7540155A">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17</w:t>
            </w:r>
          </w:p>
        </w:tc>
        <w:tc>
          <w:tcPr>
            <w:tcW w:w="1810" w:type="dxa"/>
            <w:tcBorders>
              <w:bottom w:val="single" w:color="7F7F7F" w:sz="6" w:space="0"/>
            </w:tcBorders>
            <w:shd w:val="clear" w:color="auto" w:fill="EEEEEE"/>
          </w:tcPr>
          <w:p w14:paraId="3680059F">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6525" w:type="dxa"/>
            <w:tcBorders>
              <w:bottom w:val="single" w:color="7F7F7F" w:sz="6" w:space="0"/>
            </w:tcBorders>
            <w:shd w:val="clear" w:color="auto" w:fill="EEEEEE"/>
          </w:tcPr>
          <w:p w14:paraId="68647C3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Discuss the generalizability of the study results (a) to other populations, (b) across other exposure periods/timings, and (c) across other levels of exposure</w:t>
            </w:r>
          </w:p>
        </w:tc>
        <w:tc>
          <w:tcPr>
            <w:tcW w:w="1427" w:type="dxa"/>
            <w:tcBorders>
              <w:bottom w:val="single" w:color="7F7F7F" w:sz="6" w:space="0"/>
            </w:tcBorders>
            <w:shd w:val="clear" w:color="auto" w:fill="EEEEEE"/>
          </w:tcPr>
          <w:p w14:paraId="3ACD3D08">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20–22</w:t>
            </w:r>
          </w:p>
        </w:tc>
        <w:tc>
          <w:tcPr>
            <w:tcW w:w="4141" w:type="dxa"/>
            <w:tcBorders>
              <w:bottom w:val="single" w:color="7F7F7F" w:sz="6" w:space="0"/>
            </w:tcBorders>
            <w:shd w:val="clear" w:color="auto" w:fill="EEEEEE"/>
          </w:tcPr>
          <w:p w14:paraId="41ABF5A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generalizability of the findings may be limited because most GWAS data were derived from European-ancestry populations. The results may not directly apply to other ethnic groups, different exposure periods, or different exposure levels. Further studies in more diverse populations and across different life-course exposure windows are needed to confirm the applicability of Life’s Essential 8-related factors to stroke and dementia prevention.</w:t>
            </w:r>
          </w:p>
        </w:tc>
      </w:tr>
      <w:tr w14:paraId="57884E75">
        <w:tblPrEx>
          <w:tblCellMar>
            <w:top w:w="0" w:type="dxa"/>
            <w:left w:w="108" w:type="dxa"/>
            <w:bottom w:w="0" w:type="dxa"/>
            <w:right w:w="108" w:type="dxa"/>
          </w:tblCellMar>
        </w:tblPrEx>
        <w:tc>
          <w:tcPr>
            <w:tcW w:w="587" w:type="dxa"/>
            <w:tcBorders>
              <w:top w:val="single" w:color="7F7F7F" w:sz="6" w:space="0"/>
            </w:tcBorders>
            <w:shd w:val="clear" w:color="auto" w:fill="auto"/>
          </w:tcPr>
          <w:p w14:paraId="2C4C694A">
            <w:pPr>
              <w:spacing w:before="96" w:beforeLines="40" w:after="96" w:afterLines="40" w:line="24" w:lineRule="atLeast"/>
              <w:rPr>
                <w:rFonts w:eastAsia="Times New Roman"/>
                <w:b/>
                <w:bCs/>
                <w:sz w:val="18"/>
                <w:szCs w:val="18"/>
                <w:lang w:val="en-GB" w:eastAsia="en-GB"/>
              </w:rPr>
            </w:pPr>
          </w:p>
        </w:tc>
        <w:tc>
          <w:tcPr>
            <w:tcW w:w="1810" w:type="dxa"/>
            <w:tcBorders>
              <w:top w:val="single" w:color="7F7F7F" w:sz="6" w:space="0"/>
            </w:tcBorders>
            <w:shd w:val="clear" w:color="auto" w:fill="auto"/>
          </w:tcPr>
          <w:p w14:paraId="0A6FFE3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6525" w:type="dxa"/>
            <w:tcBorders>
              <w:top w:val="single" w:color="7F7F7F" w:sz="6" w:space="0"/>
            </w:tcBorders>
            <w:shd w:val="clear" w:color="auto" w:fill="auto"/>
          </w:tcPr>
          <w:p w14:paraId="0577947E">
            <w:pPr>
              <w:spacing w:before="96" w:beforeLines="40" w:after="96" w:afterLines="40" w:line="24" w:lineRule="atLeast"/>
              <w:rPr>
                <w:rFonts w:eastAsia="Cambria"/>
                <w:sz w:val="18"/>
                <w:szCs w:val="18"/>
                <w:lang w:val="en-GB" w:eastAsia="en-US"/>
              </w:rPr>
            </w:pPr>
          </w:p>
        </w:tc>
        <w:tc>
          <w:tcPr>
            <w:tcW w:w="1427" w:type="dxa"/>
            <w:tcBorders>
              <w:top w:val="single" w:color="7F7F7F" w:sz="6" w:space="0"/>
            </w:tcBorders>
          </w:tcPr>
          <w:p w14:paraId="7561574C">
            <w:pPr>
              <w:spacing w:before="96" w:beforeLines="40" w:after="96" w:afterLines="40" w:line="24" w:lineRule="atLeast"/>
              <w:rPr>
                <w:rFonts w:eastAsia="Cambria"/>
                <w:sz w:val="18"/>
                <w:szCs w:val="18"/>
                <w:lang w:val="en-GB" w:eastAsia="en-US"/>
              </w:rPr>
            </w:pPr>
          </w:p>
        </w:tc>
        <w:tc>
          <w:tcPr>
            <w:tcW w:w="4141" w:type="dxa"/>
            <w:tcBorders>
              <w:top w:val="single" w:color="7F7F7F" w:sz="6" w:space="0"/>
            </w:tcBorders>
          </w:tcPr>
          <w:p w14:paraId="3718ED5B">
            <w:pPr>
              <w:spacing w:before="96" w:beforeLines="40" w:after="96" w:afterLines="40" w:line="24" w:lineRule="atLeast"/>
              <w:rPr>
                <w:rFonts w:eastAsia="Cambria"/>
                <w:sz w:val="18"/>
                <w:szCs w:val="18"/>
                <w:lang w:val="en-GB" w:eastAsia="en-US"/>
              </w:rPr>
            </w:pPr>
          </w:p>
        </w:tc>
      </w:tr>
      <w:tr w14:paraId="0014C6D1">
        <w:tblPrEx>
          <w:tblCellMar>
            <w:top w:w="0" w:type="dxa"/>
            <w:left w:w="108" w:type="dxa"/>
            <w:bottom w:w="0" w:type="dxa"/>
            <w:right w:w="108" w:type="dxa"/>
          </w:tblCellMar>
        </w:tblPrEx>
        <w:tc>
          <w:tcPr>
            <w:tcW w:w="587" w:type="dxa"/>
            <w:shd w:val="clear" w:color="auto" w:fill="EEEEEE"/>
          </w:tcPr>
          <w:p w14:paraId="2336D08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18</w:t>
            </w:r>
          </w:p>
        </w:tc>
        <w:tc>
          <w:tcPr>
            <w:tcW w:w="1810" w:type="dxa"/>
            <w:shd w:val="clear" w:color="auto" w:fill="EEEEEE"/>
          </w:tcPr>
          <w:p w14:paraId="08EB4FD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Funding</w:t>
            </w:r>
          </w:p>
        </w:tc>
        <w:tc>
          <w:tcPr>
            <w:tcW w:w="6525" w:type="dxa"/>
            <w:shd w:val="clear" w:color="auto" w:fill="EEEEEE"/>
          </w:tcPr>
          <w:p w14:paraId="4663DCA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1427" w:type="dxa"/>
            <w:shd w:val="clear" w:color="auto" w:fill="EEEEEE"/>
          </w:tcPr>
          <w:p w14:paraId="33E2D855">
            <w:pPr>
              <w:spacing w:before="96" w:beforeLines="40" w:after="96" w:afterLines="40" w:line="24" w:lineRule="atLeast"/>
              <w:rPr>
                <w:rFonts w:eastAsia="Times New Roman"/>
                <w:sz w:val="18"/>
                <w:szCs w:val="18"/>
                <w:lang w:val="en-GB" w:eastAsia="en-GB"/>
              </w:rPr>
            </w:pPr>
          </w:p>
        </w:tc>
        <w:tc>
          <w:tcPr>
            <w:tcW w:w="4141" w:type="dxa"/>
            <w:shd w:val="clear" w:color="auto" w:fill="EEEEEE"/>
          </w:tcPr>
          <w:p w14:paraId="2C6CE5FF">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No Funding</w:t>
            </w:r>
          </w:p>
        </w:tc>
      </w:tr>
      <w:tr w14:paraId="1B22CB41">
        <w:tblPrEx>
          <w:tblCellMar>
            <w:top w:w="0" w:type="dxa"/>
            <w:left w:w="108" w:type="dxa"/>
            <w:bottom w:w="0" w:type="dxa"/>
            <w:right w:w="108" w:type="dxa"/>
          </w:tblCellMar>
        </w:tblPrEx>
        <w:tc>
          <w:tcPr>
            <w:tcW w:w="587" w:type="dxa"/>
            <w:shd w:val="clear" w:color="auto" w:fill="auto"/>
          </w:tcPr>
          <w:p w14:paraId="381BF2BA">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19</w:t>
            </w:r>
          </w:p>
        </w:tc>
        <w:tc>
          <w:tcPr>
            <w:tcW w:w="1810" w:type="dxa"/>
            <w:shd w:val="clear" w:color="auto" w:fill="auto"/>
          </w:tcPr>
          <w:p w14:paraId="233BA942">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6525" w:type="dxa"/>
            <w:shd w:val="clear" w:color="auto" w:fill="auto"/>
          </w:tcPr>
          <w:p w14:paraId="42D9085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1427" w:type="dxa"/>
          </w:tcPr>
          <w:p w14:paraId="5725EE6D">
            <w:pPr>
              <w:spacing w:before="96" w:beforeLines="40" w:after="96" w:afterLines="40" w:line="24" w:lineRule="atLeast"/>
              <w:rPr>
                <w:rFonts w:hint="default" w:eastAsia="宋体"/>
                <w:sz w:val="18"/>
                <w:szCs w:val="18"/>
                <w:lang w:val="en-US" w:eastAsia="zh-CN"/>
              </w:rPr>
            </w:pPr>
          </w:p>
        </w:tc>
        <w:tc>
          <w:tcPr>
            <w:tcW w:w="4141" w:type="dxa"/>
          </w:tcPr>
          <w:p w14:paraId="38DE3AA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data used in this study were obtained from publicly available GWAS summary statistics and UK Biobank-related sources. Data supporting the results are provided within the article and supplementary materials. Original UK Biobank data are available to authorized researchers through formal application. Statistical code and additional details are available from the corresponding author upon reasonable request.</w:t>
            </w:r>
          </w:p>
        </w:tc>
      </w:tr>
      <w:tr w14:paraId="1BFE6A86">
        <w:tblPrEx>
          <w:tblCellMar>
            <w:top w:w="0" w:type="dxa"/>
            <w:left w:w="108" w:type="dxa"/>
            <w:bottom w:w="0" w:type="dxa"/>
            <w:right w:w="108" w:type="dxa"/>
          </w:tblCellMar>
        </w:tblPrEx>
        <w:tc>
          <w:tcPr>
            <w:tcW w:w="587" w:type="dxa"/>
            <w:tcBorders>
              <w:bottom w:val="single" w:color="7F7F7F" w:sz="6" w:space="0"/>
            </w:tcBorders>
            <w:shd w:val="clear" w:color="auto" w:fill="EEEEEE"/>
          </w:tcPr>
          <w:p w14:paraId="20DC2C92">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20</w:t>
            </w:r>
          </w:p>
        </w:tc>
        <w:tc>
          <w:tcPr>
            <w:tcW w:w="1810" w:type="dxa"/>
            <w:tcBorders>
              <w:bottom w:val="single" w:color="7F7F7F" w:sz="6" w:space="0"/>
            </w:tcBorders>
            <w:shd w:val="clear" w:color="auto" w:fill="EEEEEE"/>
          </w:tcPr>
          <w:p w14:paraId="39A69A1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6525" w:type="dxa"/>
            <w:tcBorders>
              <w:bottom w:val="single" w:color="7F7F7F" w:sz="6" w:space="0"/>
            </w:tcBorders>
            <w:shd w:val="clear" w:color="auto" w:fill="EEEEEE"/>
          </w:tcPr>
          <w:p w14:paraId="4772D912">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1427" w:type="dxa"/>
            <w:tcBorders>
              <w:bottom w:val="single" w:color="7F7F7F" w:sz="6" w:space="0"/>
            </w:tcBorders>
            <w:shd w:val="clear" w:color="auto" w:fill="EEEEEE"/>
          </w:tcPr>
          <w:p w14:paraId="1B63BC8B">
            <w:pPr>
              <w:spacing w:before="96" w:beforeLines="40" w:after="96" w:afterLines="40" w:line="24" w:lineRule="atLeast"/>
              <w:rPr>
                <w:rFonts w:hint="default" w:eastAsia="宋体"/>
                <w:sz w:val="18"/>
                <w:szCs w:val="18"/>
                <w:lang w:val="en-US" w:eastAsia="zh-CN"/>
              </w:rPr>
            </w:pPr>
            <w:bookmarkStart w:id="0" w:name="_GoBack"/>
            <w:bookmarkEnd w:id="0"/>
          </w:p>
        </w:tc>
        <w:tc>
          <w:tcPr>
            <w:tcW w:w="4141" w:type="dxa"/>
            <w:tcBorders>
              <w:bottom w:val="single" w:color="7F7F7F" w:sz="6" w:space="0"/>
            </w:tcBorders>
            <w:shd w:val="clear" w:color="auto" w:fill="EEEEEE"/>
          </w:tcPr>
          <w:p w14:paraId="5D9123A4">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The authors declare no competing interests.</w:t>
            </w:r>
          </w:p>
        </w:tc>
      </w:tr>
    </w:tbl>
    <w:p w14:paraId="386115B2">
      <w:pPr>
        <w:spacing w:before="240" w:after="240"/>
        <w:rPr>
          <w:sz w:val="19"/>
          <w:szCs w:val="19"/>
        </w:rPr>
      </w:pPr>
      <w:r>
        <w:rPr>
          <w:sz w:val="19"/>
          <w:szCs w:val="19"/>
        </w:rPr>
        <w:t>This checklist is copyrighted by the Equator Network under the Creative Commons Attribution 3.0 Unported (CC BY 3.0) license.</w:t>
      </w:r>
    </w:p>
    <w:p w14:paraId="5DDF8A06">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14:paraId="63BF03A9">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14:paraId="25DB435D">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7B5E">
    <w:pPr>
      <w:pStyle w:val="2"/>
      <w:jc w:val="right"/>
    </w:pPr>
    <w:r>
      <w:fldChar w:fldCharType="begin"/>
    </w:r>
    <w:r>
      <w:instrText xml:space="preserve"> PAGE   \* MERGEFORMAT </w:instrText>
    </w:r>
    <w:r>
      <w:fldChar w:fldCharType="separate"/>
    </w:r>
    <w:r>
      <w:t>1</w:t>
    </w:r>
    <w:r>
      <w:fldChar w:fldCharType="end"/>
    </w:r>
  </w:p>
  <w:p w14:paraId="41D89672">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4A166">
    <w:pPr>
      <w:pStyle w:val="2"/>
      <w:framePr w:wrap="auto" w:vAnchor="text" w:hAnchor="margin" w:xAlign="right" w:y="1"/>
      <w:rPr>
        <w:rStyle w:val="7"/>
      </w:rPr>
    </w:pPr>
  </w:p>
  <w:p w14:paraId="40A0897E">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C56"/>
    <w:rsid w:val="000A4CE8"/>
    <w:rsid w:val="002663E6"/>
    <w:rsid w:val="003D447D"/>
    <w:rsid w:val="003D47DD"/>
    <w:rsid w:val="004B5CBB"/>
    <w:rsid w:val="004E11D4"/>
    <w:rsid w:val="00514462"/>
    <w:rsid w:val="005520ED"/>
    <w:rsid w:val="005A0D0D"/>
    <w:rsid w:val="00685D31"/>
    <w:rsid w:val="006912BF"/>
    <w:rsid w:val="006A41D0"/>
    <w:rsid w:val="006B08D5"/>
    <w:rsid w:val="00804498"/>
    <w:rsid w:val="00914C56"/>
    <w:rsid w:val="00950729"/>
    <w:rsid w:val="009854A9"/>
    <w:rsid w:val="009E033F"/>
    <w:rsid w:val="00BB6328"/>
    <w:rsid w:val="00D65199"/>
    <w:rsid w:val="00D8098C"/>
    <w:rsid w:val="00ED48A3"/>
    <w:rsid w:val="00EF4B94"/>
    <w:rsid w:val="09296FF3"/>
    <w:rsid w:val="13D7181A"/>
    <w:rsid w:val="1B770817"/>
    <w:rsid w:val="2DB17BB8"/>
    <w:rsid w:val="3F36511D"/>
    <w:rsid w:val="45F730C5"/>
    <w:rsid w:val="4B5D4611"/>
    <w:rsid w:val="4C55276E"/>
    <w:rsid w:val="572B4D8F"/>
    <w:rsid w:val="582E57DE"/>
    <w:rsid w:val="5AE7548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Arial" w:hAnsi="Arial" w:eastAsia="Arial" w:cs="Arial"/>
      <w:sz w:val="22"/>
      <w:szCs w:val="22"/>
      <w:lang w:val="en" w:eastAsia="de-CH"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680"/>
        <w:tab w:val="right" w:pos="9360"/>
      </w:tabs>
      <w:spacing w:line="240" w:lineRule="auto"/>
    </w:pPr>
  </w:style>
  <w:style w:type="paragraph" w:styleId="3">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6">
    <w:name w:val="Strong"/>
    <w:basedOn w:val="5"/>
    <w:qFormat/>
    <w:uiPriority w:val="22"/>
    <w:rPr>
      <w:b/>
    </w:rPr>
  </w:style>
  <w:style w:type="character" w:styleId="7">
    <w:name w:val="page number"/>
    <w:basedOn w:val="5"/>
    <w:semiHidden/>
    <w:unhideWhenUsed/>
    <w:qFormat/>
    <w:uiPriority w:val="99"/>
  </w:style>
  <w:style w:type="character" w:styleId="8">
    <w:name w:val="line number"/>
    <w:basedOn w:val="5"/>
    <w:semiHidden/>
    <w:unhideWhenUsed/>
    <w:uiPriority w:val="99"/>
  </w:style>
  <w:style w:type="character" w:styleId="9">
    <w:name w:val="Hyperlink"/>
    <w:basedOn w:val="5"/>
    <w:semiHidden/>
    <w:unhideWhenUsed/>
    <w:qFormat/>
    <w:uiPriority w:val="99"/>
    <w:rPr>
      <w:color w:val="0000FF"/>
      <w:u w:val="single"/>
    </w:rPr>
  </w:style>
  <w:style w:type="character" w:customStyle="1" w:styleId="10">
    <w:name w:val="Footer Char"/>
    <w:basedOn w:val="5"/>
    <w:link w:val="2"/>
    <w:qFormat/>
    <w:uiPriority w:val="99"/>
    <w:rPr>
      <w:rFonts w:ascii="Arial" w:hAnsi="Arial" w:eastAsia="Arial" w:cs="Arial"/>
      <w:lang w:val="en" w:eastAsia="de-CH"/>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University of Bern</Company>
  <Pages>11</Pages>
  <Words>5834</Words>
  <Characters>34221</Characters>
  <Lines>286</Lines>
  <Paragraphs>146</Paragraphs>
  <TotalTime>27</TotalTime>
  <ScaleCrop>false</ScaleCrop>
  <LinksUpToDate>false</LinksUpToDate>
  <CharactersWithSpaces>39866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2022-04-07T08:09:00Z</dcterms:created>
  <dc:creator>Whitesell, Veronika (ISPM)</dc:creator>
  <cp:lastModifiedBy>刘启嘉</cp:lastModifiedBy>
  <cp:lastPrinted>2021-09-28T07:08:00Z</cp:lastPrinted>
  <dcterms:modified xsi:type="dcterms:W3CDTF">2026-06-04T16:16:29Z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2052-12.1.0.18912</vt:lpwstr>
  </property>
  <property fmtid="{D5CDD505-2E9C-101B-9397-08002B2CF9AE}" pid="27" name="ICV">
    <vt:lpwstr>E103F6ADECAA40FDBC0E0CA1DB545BB2_13</vt:lpwstr>
  </property>
</Properties>
</file>