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media/image1.wmf" ContentType="image/x-wmf"/>
  <Override PartName="/word/media/image2.wmf" ContentType="image/x-wmf"/>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styles.xml" ContentType="application/vnd.openxmlformats-officedocument.wordprocessingml.styles+xml"/>
  <Override PartName="/word/glossary/_rels/document.xml.rels" ContentType="application/vnd.openxmlformats-package.relationships+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80" w:before="0" w:after="160"/>
        <w:jc w:val="both"/>
        <w:rPr>
          <w:rFonts w:ascii="Arial" w:hAnsi="Arial" w:cs="Arial"/>
          <w:b/>
          <w:bCs/>
          <w:color w:themeColor="text1" w:val="000000"/>
          <w:sz w:val="24"/>
          <w:szCs w:val="24"/>
          <w:lang w:val="en-GB"/>
        </w:rPr>
      </w:pPr>
      <w:r>
        <w:rPr>
          <w:rFonts w:cs="Arial" w:ascii="Arial" w:hAnsi="Arial"/>
          <w:b/>
          <w:bCs/>
          <w:color w:themeColor="text1" w:val="000000"/>
          <w:sz w:val="24"/>
          <w:szCs w:val="24"/>
          <w:lang w:val="en-GB"/>
        </w:rPr>
        <w:t>Supplementary Data</w:t>
      </w:r>
    </w:p>
    <w:p>
      <w:pPr>
        <w:pStyle w:val="Normal"/>
        <w:spacing w:lineRule="auto" w:line="480"/>
        <w:jc w:val="both"/>
        <w:rPr>
          <w:rFonts w:ascii="Arial" w:hAnsi="Arial" w:cs="Arial"/>
          <w:color w:themeColor="text1" w:val="000000"/>
          <w:sz w:val="24"/>
          <w:szCs w:val="24"/>
          <w:lang w:val="en-GB"/>
        </w:rPr>
      </w:pPr>
      <w:r>
        <w:rPr>
          <w:rFonts w:cs="Arial" w:ascii="Arial" w:hAnsi="Arial"/>
          <w:b/>
          <w:bCs/>
          <w:color w:themeColor="text1" w:val="000000"/>
          <w:sz w:val="24"/>
          <w:szCs w:val="24"/>
          <w:lang w:val="en-GB"/>
        </w:rPr>
        <w:t xml:space="preserve">Supplementary Table 1: </w:t>
      </w:r>
      <w:r>
        <w:rPr>
          <w:rFonts w:cs="Arial" w:ascii="Arial" w:hAnsi="Arial"/>
          <w:color w:themeColor="text1" w:val="000000"/>
          <w:sz w:val="24"/>
          <w:szCs w:val="24"/>
          <w:lang w:val="en-GB"/>
        </w:rPr>
        <w:t>Baseline characteristics of patients stratified by NEDA-3 status at 24 months. Comparison of baseline demographic, clinical, and laboratory parameters between patients who maintained No Evidence of Disease Activity-3 (NEDA-3) and those who experienced a loss of NEDA-3 over the 24-month observation period. Continuous variables are presented as mean ± SD or median (IQR). Categorical variables are presented as n (%). P-values reflect between-group comparisons using Welch’s t-test, Wilcoxon rank-sum test, or Fisher’s exact test to assess baseline differences driving treatment response.</w:t>
      </w:r>
    </w:p>
    <w:tbl>
      <w:tblPr>
        <w:tblStyle w:val="EinfacheTabelle2"/>
        <w:tblW w:w="907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328"/>
        <w:gridCol w:w="3043"/>
        <w:gridCol w:w="2547"/>
        <w:gridCol w:w="1151"/>
      </w:tblGrid>
      <w:tr>
        <w:trPr>
          <w:cnfStyle w:val="100000000000" w:firstRow="1" w:lastRow="0" w:firstColumn="0" w:lastColumn="0" w:oddVBand="0" w:evenVBand="0" w:oddHBand="0" w:evenHBand="0" w:firstRowFirstColumn="0" w:firstRowLastColumn="0" w:lastRowFirstColumn="0" w:lastRowLastColumn="0"/>
        </w:trPr>
        <w:tc>
          <w:tcPr>
            <w:tcW w:w="232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r>
          </w:p>
        </w:tc>
        <w:tc>
          <w:tcPr>
            <w:tcW w:w="3043" w:type="dxa"/>
            <w:tcBorders/>
          </w:tcPr>
          <w:p>
            <w:pPr>
              <w:pStyle w:val="Normal"/>
              <w:widowControl/>
              <w:spacing w:lineRule="auto" w:line="240" w:before="0" w:after="160"/>
              <w:jc w:val="start"/>
              <w:cnfStyle w:val="100000000000" w:firstRow="1"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Conserved NEDA-3 status (n=32)</w:t>
            </w:r>
          </w:p>
        </w:tc>
        <w:tc>
          <w:tcPr>
            <w:tcW w:w="2547" w:type="dxa"/>
            <w:tcBorders/>
          </w:tcPr>
          <w:p>
            <w:pPr>
              <w:pStyle w:val="Normal"/>
              <w:widowControl/>
              <w:spacing w:lineRule="auto" w:line="240" w:before="0" w:after="160"/>
              <w:jc w:val="start"/>
              <w:cnfStyle w:val="100000000000" w:firstRow="1" w:lastRow="0" w:firstColumn="0" w:lastColumn="0" w:oddVBand="0" w:evenVBand="0" w:oddHBand="0"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Loss of NEDA-3 status (n=30)</w:t>
            </w:r>
          </w:p>
        </w:tc>
        <w:tc>
          <w:tcPr>
            <w:tcW w:w="1151" w:type="dxa"/>
            <w:tcBorders/>
          </w:tcPr>
          <w:p>
            <w:pPr>
              <w:pStyle w:val="Normal"/>
              <w:widowControl/>
              <w:spacing w:lineRule="auto" w:line="240" w:before="0" w:after="160"/>
              <w:jc w:val="both"/>
              <w:cnfStyle w:val="100000000000" w:firstRow="1"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p-value</w:t>
            </w:r>
          </w:p>
        </w:tc>
      </w:tr>
      <w:tr>
        <w:trPr>
          <w:cnfStyle w:val="000000100000" w:firstRow="0" w:lastRow="0" w:firstColumn="0" w:lastColumn="0" w:oddVBand="0" w:evenVBand="0" w:oddHBand="1" w:evenHBand="0" w:firstRowFirstColumn="0" w:firstRowLastColumn="0" w:lastRowFirstColumn="0" w:lastRowLastColumn="0"/>
        </w:trPr>
        <w:tc>
          <w:tcPr>
            <w:tcW w:w="232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start"/>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 xml:space="preserve">Age at BL </w:t>
            </w:r>
            <w:r>
              <w:rPr>
                <w:rFonts w:eastAsia="Calibri" w:cs="Arial" w:ascii="Arial" w:hAnsi="Arial"/>
                <w:b w:val="false"/>
                <w:bCs w:val="false"/>
                <w:color w:themeColor="text1" w:val="000000"/>
                <w:kern w:val="0"/>
                <w:sz w:val="24"/>
                <w:szCs w:val="24"/>
                <w:lang w:val="en-US" w:eastAsia="en-US" w:bidi="ar-SA"/>
              </w:rPr>
              <w:t>(years)</w:t>
            </w:r>
          </w:p>
        </w:tc>
        <w:tc>
          <w:tcPr>
            <w:tcW w:w="3043"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51.2 ± 14.3</w:t>
            </w:r>
          </w:p>
        </w:tc>
        <w:tc>
          <w:tcPr>
            <w:tcW w:w="2547"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49.8 ± 13.7</w:t>
            </w:r>
          </w:p>
        </w:tc>
        <w:tc>
          <w:tcPr>
            <w:tcW w:w="1151"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0.692</w:t>
            </w:r>
          </w:p>
        </w:tc>
      </w:tr>
      <w:tr>
        <w:trPr/>
        <w:tc>
          <w:tcPr>
            <w:tcW w:w="2328"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start"/>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Female sex</w:t>
            </w:r>
          </w:p>
        </w:tc>
        <w:tc>
          <w:tcPr>
            <w:tcW w:w="3043"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17 (53.1%)</w:t>
            </w:r>
          </w:p>
        </w:tc>
        <w:tc>
          <w:tcPr>
            <w:tcW w:w="2547"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18 (60.0%)</w:t>
            </w:r>
          </w:p>
        </w:tc>
        <w:tc>
          <w:tcPr>
            <w:tcW w:w="1151"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0.618</w:t>
            </w:r>
          </w:p>
        </w:tc>
      </w:tr>
      <w:tr>
        <w:trPr>
          <w:cnfStyle w:val="000000100000" w:firstRow="0" w:lastRow="0" w:firstColumn="0" w:lastColumn="0" w:oddVBand="0" w:evenVBand="0" w:oddHBand="1" w:evenHBand="0" w:firstRowFirstColumn="0" w:firstRowLastColumn="0" w:lastRowFirstColumn="0" w:lastRowLastColumn="0"/>
        </w:trPr>
        <w:tc>
          <w:tcPr>
            <w:tcW w:w="232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start"/>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EDSS at BL</w:t>
            </w:r>
          </w:p>
        </w:tc>
        <w:tc>
          <w:tcPr>
            <w:tcW w:w="3043"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3.0 (2.0 - 5.0)</w:t>
            </w:r>
          </w:p>
        </w:tc>
        <w:tc>
          <w:tcPr>
            <w:tcW w:w="2547"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3.0 (2.0 - 4.1)</w:t>
            </w:r>
          </w:p>
        </w:tc>
        <w:tc>
          <w:tcPr>
            <w:tcW w:w="1151"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0.735</w:t>
            </w:r>
          </w:p>
        </w:tc>
      </w:tr>
      <w:tr>
        <w:trPr/>
        <w:tc>
          <w:tcPr>
            <w:tcW w:w="2328"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start"/>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No. RRMS patients</w:t>
            </w:r>
          </w:p>
        </w:tc>
        <w:tc>
          <w:tcPr>
            <w:tcW w:w="3043"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18 (56.3%)</w:t>
            </w:r>
          </w:p>
        </w:tc>
        <w:tc>
          <w:tcPr>
            <w:tcW w:w="2547"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17 (56.7%)</w:t>
            </w:r>
          </w:p>
        </w:tc>
        <w:tc>
          <w:tcPr>
            <w:tcW w:w="1151"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1.000</w:t>
            </w:r>
          </w:p>
        </w:tc>
      </w:tr>
      <w:tr>
        <w:trPr>
          <w:cnfStyle w:val="000000100000" w:firstRow="0" w:lastRow="0" w:firstColumn="0" w:lastColumn="0" w:oddVBand="0" w:evenVBand="0" w:oddHBand="1" w:evenHBand="0" w:firstRowFirstColumn="0" w:firstRowLastColumn="0" w:lastRowFirstColumn="0" w:lastRowLastColumn="0"/>
        </w:trPr>
        <w:tc>
          <w:tcPr>
            <w:tcW w:w="232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start"/>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No. PPMS patients</w:t>
            </w:r>
          </w:p>
        </w:tc>
        <w:tc>
          <w:tcPr>
            <w:tcW w:w="3043"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14 (43.8%)</w:t>
            </w:r>
          </w:p>
        </w:tc>
        <w:tc>
          <w:tcPr>
            <w:tcW w:w="2547"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13 (43.3%)</w:t>
            </w:r>
          </w:p>
        </w:tc>
        <w:tc>
          <w:tcPr>
            <w:tcW w:w="1151"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1.000</w:t>
            </w:r>
          </w:p>
        </w:tc>
      </w:tr>
      <w:tr>
        <w:trPr/>
        <w:tc>
          <w:tcPr>
            <w:tcW w:w="2328"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start"/>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Relapse in 12 months</w:t>
            </w:r>
          </w:p>
        </w:tc>
        <w:tc>
          <w:tcPr>
            <w:tcW w:w="3043"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1.0 (0.0 - 2.0)</w:t>
            </w:r>
          </w:p>
        </w:tc>
        <w:tc>
          <w:tcPr>
            <w:tcW w:w="2547"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1.0 (0.0 - 1.8)</w:t>
            </w:r>
          </w:p>
        </w:tc>
        <w:tc>
          <w:tcPr>
            <w:tcW w:w="1151"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0.840</w:t>
            </w:r>
          </w:p>
        </w:tc>
      </w:tr>
      <w:tr>
        <w:trPr>
          <w:cnfStyle w:val="000000100000" w:firstRow="0" w:lastRow="0" w:firstColumn="0" w:lastColumn="0" w:oddVBand="0" w:evenVBand="0" w:oddHBand="1" w:evenHBand="0" w:firstRowFirstColumn="0" w:firstRowLastColumn="0" w:lastRowFirstColumn="0" w:lastRowLastColumn="0"/>
        </w:trPr>
        <w:tc>
          <w:tcPr>
            <w:tcW w:w="232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start"/>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PIRA within 12 months</w:t>
            </w:r>
          </w:p>
        </w:tc>
        <w:tc>
          <w:tcPr>
            <w:tcW w:w="3043"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0 (0.0%)</w:t>
            </w:r>
          </w:p>
        </w:tc>
        <w:tc>
          <w:tcPr>
            <w:tcW w:w="2547"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15 (50.0%)</w:t>
            </w:r>
          </w:p>
        </w:tc>
        <w:tc>
          <w:tcPr>
            <w:tcW w:w="1151"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NA</w:t>
            </w:r>
          </w:p>
        </w:tc>
      </w:tr>
      <w:tr>
        <w:trPr/>
        <w:tc>
          <w:tcPr>
            <w:tcW w:w="2328"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start"/>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 xml:space="preserve">RAW within 12 months </w:t>
            </w:r>
          </w:p>
        </w:tc>
        <w:tc>
          <w:tcPr>
            <w:tcW w:w="3043"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0 (0.0%)</w:t>
            </w:r>
          </w:p>
        </w:tc>
        <w:tc>
          <w:tcPr>
            <w:tcW w:w="2547"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5 (16.7%)</w:t>
            </w:r>
          </w:p>
        </w:tc>
        <w:tc>
          <w:tcPr>
            <w:tcW w:w="1151"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color w:themeColor="text1" w:val="000000"/>
                <w:kern w:val="0"/>
                <w:sz w:val="24"/>
                <w:szCs w:val="24"/>
                <w:lang w:val="de-DE" w:eastAsia="en-US" w:bidi="ar-SA"/>
              </w:rPr>
              <w:t>NA</w:t>
            </w:r>
          </w:p>
        </w:tc>
      </w:tr>
      <w:tr>
        <w:trPr>
          <w:cnfStyle w:val="000000100000" w:firstRow="0" w:lastRow="0" w:firstColumn="0" w:lastColumn="0" w:oddVBand="0" w:evenVBand="0" w:oddHBand="1" w:evenHBand="0" w:firstRowFirstColumn="0" w:firstRowLastColumn="0" w:lastRowFirstColumn="0" w:lastRowLastColumn="0"/>
        </w:trPr>
        <w:tc>
          <w:tcPr>
            <w:tcW w:w="232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start"/>
              <w:rPr>
                <w:rFonts w:ascii="Arial" w:hAnsi="Arial" w:cs="Arial"/>
                <w:b w:val="false"/>
                <w:bCs w:val="false"/>
                <w:color w:themeColor="text1" w:val="000000"/>
                <w:sz w:val="24"/>
                <w:szCs w:val="24"/>
                <w:lang w:val="en-US"/>
              </w:rPr>
            </w:pPr>
            <w:r>
              <w:rPr>
                <w:rFonts w:eastAsia="Calibri" w:cs="Arial" w:ascii="Arial" w:hAnsi="Arial"/>
                <w:b/>
                <w:bCs/>
                <w:color w:themeColor="text1" w:val="000000"/>
                <w:kern w:val="0"/>
                <w:sz w:val="24"/>
                <w:szCs w:val="24"/>
                <w:lang w:val="en-US" w:eastAsia="en-US" w:bidi="ar-SA"/>
              </w:rPr>
              <w:t xml:space="preserve">IL-6 at BL </w:t>
            </w:r>
            <w:r>
              <w:rPr>
                <w:rFonts w:eastAsia="Calibri" w:cs="Arial" w:ascii="Arial" w:hAnsi="Arial"/>
                <w:b w:val="false"/>
                <w:bCs w:val="false"/>
                <w:color w:themeColor="text1" w:val="000000"/>
                <w:kern w:val="0"/>
                <w:sz w:val="24"/>
                <w:szCs w:val="24"/>
                <w:lang w:val="en-US" w:eastAsia="en-US" w:bidi="ar-SA"/>
              </w:rPr>
              <w:t>(pg/ml)</w:t>
            </w:r>
          </w:p>
        </w:tc>
        <w:tc>
          <w:tcPr>
            <w:tcW w:w="3043"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1.90 (1.40 - 3.05)</w:t>
            </w:r>
          </w:p>
        </w:tc>
        <w:tc>
          <w:tcPr>
            <w:tcW w:w="2547"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1.90 (1.40 - 3.28)</w:t>
            </w:r>
          </w:p>
        </w:tc>
        <w:tc>
          <w:tcPr>
            <w:tcW w:w="1151"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0.970</w:t>
            </w:r>
          </w:p>
        </w:tc>
      </w:tr>
      <w:tr>
        <w:trPr/>
        <w:tc>
          <w:tcPr>
            <w:tcW w:w="2328"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start"/>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 xml:space="preserve">IL-6 at 6 months </w:t>
            </w:r>
            <w:r>
              <w:rPr>
                <w:rFonts w:eastAsia="Calibri" w:cs="Arial" w:ascii="Arial" w:hAnsi="Arial"/>
                <w:b w:val="false"/>
                <w:bCs w:val="false"/>
                <w:color w:themeColor="text1" w:val="000000"/>
                <w:kern w:val="0"/>
                <w:sz w:val="24"/>
                <w:szCs w:val="24"/>
                <w:lang w:val="en-US" w:eastAsia="en-US" w:bidi="ar-SA"/>
              </w:rPr>
              <w:t>(pg/ml)</w:t>
            </w:r>
          </w:p>
        </w:tc>
        <w:tc>
          <w:tcPr>
            <w:tcW w:w="3043"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1.83 (1.49 - 2.44)</w:t>
            </w:r>
          </w:p>
        </w:tc>
        <w:tc>
          <w:tcPr>
            <w:tcW w:w="2547"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2.03 (1.67 - 2.85)</w:t>
            </w:r>
          </w:p>
        </w:tc>
        <w:tc>
          <w:tcPr>
            <w:tcW w:w="1151" w:type="dxa"/>
            <w:tcBorders>
              <w:top w:val="nil"/>
              <w:bottom w:val="nil"/>
            </w:tcBorders>
            <w:vAlign w:val="center"/>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0.516</w:t>
            </w:r>
          </w:p>
        </w:tc>
      </w:tr>
      <w:tr>
        <w:trPr>
          <w:cnfStyle w:val="000000100000" w:firstRow="0" w:lastRow="0" w:firstColumn="0" w:lastColumn="0" w:oddVBand="0" w:evenVBand="0" w:oddHBand="1" w:evenHBand="0" w:firstRowFirstColumn="0" w:firstRowLastColumn="0" w:lastRowFirstColumn="0" w:lastRowLastColumn="0"/>
        </w:trPr>
        <w:tc>
          <w:tcPr>
            <w:tcW w:w="232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start"/>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 xml:space="preserve">IL-6 at 12 months </w:t>
            </w:r>
            <w:r>
              <w:rPr>
                <w:rFonts w:eastAsia="Calibri" w:cs="Arial" w:ascii="Arial" w:hAnsi="Arial"/>
                <w:b w:val="false"/>
                <w:bCs w:val="false"/>
                <w:color w:themeColor="text1" w:val="000000"/>
                <w:kern w:val="0"/>
                <w:sz w:val="24"/>
                <w:szCs w:val="24"/>
                <w:lang w:val="en-US" w:eastAsia="en-US" w:bidi="ar-SA"/>
              </w:rPr>
              <w:t>(pg/ml)</w:t>
            </w:r>
          </w:p>
        </w:tc>
        <w:tc>
          <w:tcPr>
            <w:tcW w:w="3043"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1.40 (1.40 - 1.40)</w:t>
            </w:r>
          </w:p>
        </w:tc>
        <w:tc>
          <w:tcPr>
            <w:tcW w:w="2547"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2.16 (1.40 - 2.74)</w:t>
            </w:r>
          </w:p>
        </w:tc>
        <w:tc>
          <w:tcPr>
            <w:tcW w:w="1151" w:type="dxa"/>
            <w:tcBorders/>
            <w:vAlign w:val="center"/>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color w:themeColor="text1" w:val="000000"/>
                <w:kern w:val="0"/>
                <w:sz w:val="24"/>
                <w:szCs w:val="24"/>
                <w:lang w:val="de-DE" w:eastAsia="en-US" w:bidi="ar-SA"/>
              </w:rPr>
              <w:t>0.109</w:t>
            </w:r>
          </w:p>
        </w:tc>
      </w:tr>
      <w:tr>
        <w:trPr/>
        <w:tc>
          <w:tcPr>
            <w:tcW w:w="9069" w:type="dxa"/>
            <w:gridSpan w:val="4"/>
            <w:cnfStyle w:val="001000000000" w:firstRow="0" w:lastRow="0" w:firstColumn="1" w:lastColumn="0" w:oddVBand="0" w:evenVBand="0" w:oddHBand="0" w:evenHBand="0" w:firstRowFirstColumn="0" w:firstRowLastColumn="0" w:lastRowFirstColumn="0" w:lastRowLastColumn="0"/>
            <w:tcBorders>
              <w:top w:val="nil"/>
            </w:tcBorders>
          </w:tcPr>
          <w:p>
            <w:pPr>
              <w:pStyle w:val="Normal"/>
              <w:widowControl/>
              <w:spacing w:lineRule="auto" w:line="240" w:before="0" w:after="0"/>
              <w:jc w:val="both"/>
              <w:rPr>
                <w:rFonts w:ascii="Arial" w:hAnsi="Arial" w:cs="Arial"/>
                <w:b w:val="false"/>
                <w:bCs w:val="false"/>
                <w:color w:themeColor="text1" w:val="000000"/>
                <w:sz w:val="24"/>
                <w:szCs w:val="24"/>
                <w:lang w:val="en-US"/>
              </w:rPr>
            </w:pPr>
            <w:r>
              <w:rPr>
                <w:rFonts w:eastAsia="Calibri" w:cs="Arial" w:ascii="Arial" w:hAnsi="Arial"/>
                <w:b w:val="false"/>
                <w:bCs w:val="false"/>
                <w:i/>
                <w:iCs/>
                <w:color w:themeColor="text1" w:val="000000"/>
                <w:kern w:val="0"/>
                <w:sz w:val="18"/>
                <w:szCs w:val="18"/>
                <w:lang w:val="en-US" w:eastAsia="en-US" w:bidi="ar-SA"/>
              </w:rPr>
              <w:t>Abbreviations:</w:t>
            </w:r>
            <w:r>
              <w:rPr>
                <w:rFonts w:eastAsia="Calibri" w:cs="Arial" w:ascii="Arial" w:hAnsi="Arial"/>
                <w:b w:val="false"/>
                <w:bCs w:val="false"/>
                <w:color w:themeColor="text1" w:val="000000"/>
                <w:kern w:val="0"/>
                <w:sz w:val="18"/>
                <w:szCs w:val="18"/>
                <w:lang w:val="en-US" w:eastAsia="en-US" w:bidi="ar-SA"/>
              </w:rPr>
              <w:t xml:space="preserve"> BL: Baseline; EDSS: Expanded Disability Status Scale; IQR: Interquartile Range; PIRA: Progression Independent of Relapse Activity; PPMS: Primary Progressive Multiple Sclerosis; RAW: Relapse-Associated Worsening; RRMS: Relapsing-Remitting Multiple Sclerosis; SD: Standard Deviation.</w:t>
            </w:r>
          </w:p>
        </w:tc>
      </w:tr>
    </w:tbl>
    <w:p>
      <w:pPr>
        <w:pStyle w:val="Normal"/>
        <w:spacing w:lineRule="auto" w:line="480"/>
        <w:jc w:val="both"/>
        <w:rPr>
          <w:rFonts w:ascii="Arial" w:hAnsi="Arial" w:cs="Arial"/>
          <w:b/>
          <w:bCs/>
          <w:color w:themeColor="text1" w:val="000000"/>
          <w:sz w:val="24"/>
          <w:szCs w:val="24"/>
          <w:lang w:val="en-US"/>
        </w:rPr>
      </w:pPr>
      <w:r>
        <w:rPr>
          <w:rFonts w:cs="Arial" w:ascii="Arial" w:hAnsi="Arial"/>
          <w:b/>
          <w:bCs/>
          <w:color w:themeColor="text1" w:val="000000"/>
          <w:sz w:val="24"/>
          <w:szCs w:val="24"/>
          <w:lang w:val="en-US"/>
        </w:rPr>
      </w:r>
    </w:p>
    <w:p>
      <w:pPr>
        <w:pStyle w:val="Normal"/>
        <w:spacing w:lineRule="auto" w:line="480"/>
        <w:jc w:val="both"/>
        <w:rPr>
          <w:rFonts w:ascii="Arial" w:hAnsi="Arial" w:cs="Arial"/>
          <w:b/>
          <w:bCs/>
          <w:color w:themeColor="text1" w:val="000000"/>
          <w:sz w:val="24"/>
          <w:szCs w:val="24"/>
          <w:lang w:val="en-GB"/>
        </w:rPr>
      </w:pPr>
      <w:r>
        <w:rPr>
          <w:rFonts w:cs="Arial" w:ascii="Arial" w:hAnsi="Arial"/>
          <w:b/>
          <w:bCs/>
          <w:color w:themeColor="text1" w:val="000000"/>
          <w:sz w:val="24"/>
          <w:szCs w:val="24"/>
          <w:lang w:val="en-GB"/>
        </w:rPr>
        <w:t xml:space="preserve">Supplementary Table 2: </w:t>
      </w:r>
      <w:r>
        <w:rPr>
          <w:rFonts w:cs="Arial" w:ascii="Arial" w:hAnsi="Arial"/>
          <w:color w:themeColor="text1" w:val="000000"/>
          <w:sz w:val="24"/>
          <w:szCs w:val="24"/>
          <w:lang w:val="en-US"/>
        </w:rPr>
        <w:t>Baseline demographic, clinical, and biomarker characteristics stratified by median IL-6 levels. Comparison of baseline characteristics between patients with "High IL-6" and "Low IL-6" levels, categorized based on the median baseline serum IL-6 concentration of the total multiple sclerosis cohort (1.90 pg/mL). Continuous variables are presented as median (interquartile range). Categorical variables are presented as n (%). P-values represent between-group comparisons using Welch’s t-test, Wilcoxon rank-sum test, or Fisher’s exact test, as appropriate, to assess potential confounding imbalances.</w:t>
      </w:r>
    </w:p>
    <w:tbl>
      <w:tblPr>
        <w:tblStyle w:val="EinfacheTabelle2"/>
        <w:tblW w:w="907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3058"/>
        <w:gridCol w:w="2305"/>
        <w:gridCol w:w="2304"/>
        <w:gridCol w:w="1402"/>
      </w:tblGrid>
      <w:tr>
        <w:trPr>
          <w:cnfStyle w:val="100000000000" w:firstRow="1" w:lastRow="0" w:firstColumn="0" w:lastColumn="0" w:oddVBand="0" w:evenVBand="0" w:oddHBand="0" w:evenHBand="0" w:firstRowFirstColumn="0" w:firstRowLastColumn="0" w:lastRowFirstColumn="0" w:lastRowLastColumn="0"/>
        </w:trPr>
        <w:tc>
          <w:tcPr>
            <w:tcW w:w="305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r>
          </w:p>
        </w:tc>
        <w:tc>
          <w:tcPr>
            <w:tcW w:w="2305" w:type="dxa"/>
            <w:tcBorders/>
          </w:tcPr>
          <w:p>
            <w:pPr>
              <w:pStyle w:val="Normal"/>
              <w:widowControl/>
              <w:spacing w:lineRule="auto" w:line="240" w:before="0" w:after="160"/>
              <w:jc w:val="both"/>
              <w:cnfStyle w:val="100000000000" w:firstRow="1"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IL-6 low (n=35)</w:t>
            </w:r>
          </w:p>
        </w:tc>
        <w:tc>
          <w:tcPr>
            <w:tcW w:w="2304" w:type="dxa"/>
            <w:tcBorders/>
          </w:tcPr>
          <w:p>
            <w:pPr>
              <w:pStyle w:val="Normal"/>
              <w:widowControl/>
              <w:spacing w:lineRule="auto" w:line="240" w:before="0" w:after="160"/>
              <w:jc w:val="both"/>
              <w:cnfStyle w:val="100000000000" w:firstRow="1" w:lastRow="0" w:firstColumn="0" w:lastColumn="0" w:oddVBand="0" w:evenVBand="0" w:oddHBand="0"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IL-6 high (n=38)</w:t>
            </w:r>
          </w:p>
        </w:tc>
        <w:tc>
          <w:tcPr>
            <w:tcW w:w="1402" w:type="dxa"/>
            <w:tcBorders/>
          </w:tcPr>
          <w:p>
            <w:pPr>
              <w:pStyle w:val="Normal"/>
              <w:widowControl/>
              <w:spacing w:lineRule="auto" w:line="240" w:before="0" w:after="160"/>
              <w:jc w:val="both"/>
              <w:cnfStyle w:val="100000000000" w:firstRow="1"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p-value</w:t>
            </w:r>
          </w:p>
        </w:tc>
      </w:tr>
      <w:tr>
        <w:trPr>
          <w:cnfStyle w:val="000000100000" w:firstRow="0" w:lastRow="0" w:firstColumn="0" w:lastColumn="0" w:oddVBand="0" w:evenVBand="0" w:oddHBand="1" w:evenHBand="0" w:firstRowFirstColumn="0" w:firstRowLastColumn="0" w:lastRowFirstColumn="0" w:lastRowLastColumn="0"/>
        </w:trPr>
        <w:tc>
          <w:tcPr>
            <w:tcW w:w="305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 xml:space="preserve">Age at BL </w:t>
            </w:r>
            <w:r>
              <w:rPr>
                <w:rFonts w:eastAsia="Calibri" w:cs="Arial" w:ascii="Arial" w:hAnsi="Arial"/>
                <w:b w:val="false"/>
                <w:bCs w:val="false"/>
                <w:color w:themeColor="text1" w:val="000000"/>
                <w:kern w:val="0"/>
                <w:sz w:val="24"/>
                <w:szCs w:val="24"/>
                <w:lang w:val="en-US" w:eastAsia="en-US" w:bidi="ar-SA"/>
              </w:rPr>
              <w:t>(years)</w:t>
            </w:r>
          </w:p>
        </w:tc>
        <w:tc>
          <w:tcPr>
            <w:tcW w:w="2305"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49.8 ± 13.5</w:t>
            </w:r>
          </w:p>
        </w:tc>
        <w:tc>
          <w:tcPr>
            <w:tcW w:w="2304"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58.7 ± 11.4</w:t>
            </w:r>
          </w:p>
        </w:tc>
        <w:tc>
          <w:tcPr>
            <w:tcW w:w="1402"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0.003</w:t>
            </w:r>
          </w:p>
        </w:tc>
      </w:tr>
      <w:tr>
        <w:trPr/>
        <w:tc>
          <w:tcPr>
            <w:tcW w:w="3058"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both"/>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Female sex</w:t>
            </w:r>
          </w:p>
        </w:tc>
        <w:tc>
          <w:tcPr>
            <w:tcW w:w="2305"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17 (48.6%)</w:t>
            </w:r>
          </w:p>
        </w:tc>
        <w:tc>
          <w:tcPr>
            <w:tcW w:w="2304"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23 (60.5%)</w:t>
            </w:r>
          </w:p>
        </w:tc>
        <w:tc>
          <w:tcPr>
            <w:tcW w:w="1402"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0.352</w:t>
            </w:r>
          </w:p>
        </w:tc>
      </w:tr>
      <w:tr>
        <w:trPr>
          <w:cnfStyle w:val="000000100000" w:firstRow="0" w:lastRow="0" w:firstColumn="0" w:lastColumn="0" w:oddVBand="0" w:evenVBand="0" w:oddHBand="1" w:evenHBand="0" w:firstRowFirstColumn="0" w:firstRowLastColumn="0" w:lastRowFirstColumn="0" w:lastRowLastColumn="0"/>
        </w:trPr>
        <w:tc>
          <w:tcPr>
            <w:tcW w:w="305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EDSS at BL</w:t>
            </w:r>
          </w:p>
        </w:tc>
        <w:tc>
          <w:tcPr>
            <w:tcW w:w="2305"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3.0 (2.0 - 5.0)</w:t>
            </w:r>
          </w:p>
        </w:tc>
        <w:tc>
          <w:tcPr>
            <w:tcW w:w="2304"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4.0 (2.2 - 5.8)</w:t>
            </w:r>
          </w:p>
        </w:tc>
        <w:tc>
          <w:tcPr>
            <w:tcW w:w="1402"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0.129</w:t>
            </w:r>
          </w:p>
        </w:tc>
      </w:tr>
      <w:tr>
        <w:trPr/>
        <w:tc>
          <w:tcPr>
            <w:tcW w:w="3058"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both"/>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No. RRMS patients</w:t>
            </w:r>
          </w:p>
        </w:tc>
        <w:tc>
          <w:tcPr>
            <w:tcW w:w="2305"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19 (54.3%)</w:t>
            </w:r>
          </w:p>
        </w:tc>
        <w:tc>
          <w:tcPr>
            <w:tcW w:w="2304"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12 (31.6%)</w:t>
            </w:r>
          </w:p>
        </w:tc>
        <w:tc>
          <w:tcPr>
            <w:tcW w:w="1402"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0.061</w:t>
            </w:r>
          </w:p>
        </w:tc>
      </w:tr>
      <w:tr>
        <w:trPr>
          <w:cnfStyle w:val="000000100000" w:firstRow="0" w:lastRow="0" w:firstColumn="0" w:lastColumn="0" w:oddVBand="0" w:evenVBand="0" w:oddHBand="1" w:evenHBand="0" w:firstRowFirstColumn="0" w:firstRowLastColumn="0" w:lastRowFirstColumn="0" w:lastRowLastColumn="0"/>
        </w:trPr>
        <w:tc>
          <w:tcPr>
            <w:tcW w:w="305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No. PPMS patients</w:t>
            </w:r>
          </w:p>
        </w:tc>
        <w:tc>
          <w:tcPr>
            <w:tcW w:w="2305"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16 (45.7%)</w:t>
            </w:r>
          </w:p>
        </w:tc>
        <w:tc>
          <w:tcPr>
            <w:tcW w:w="2304"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26 (68.4%)</w:t>
            </w:r>
          </w:p>
        </w:tc>
        <w:tc>
          <w:tcPr>
            <w:tcW w:w="1402"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0.061</w:t>
            </w:r>
          </w:p>
        </w:tc>
      </w:tr>
      <w:tr>
        <w:trPr/>
        <w:tc>
          <w:tcPr>
            <w:tcW w:w="3058"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both"/>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Relapse in 12 months</w:t>
            </w:r>
          </w:p>
        </w:tc>
        <w:tc>
          <w:tcPr>
            <w:tcW w:w="2305"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1.0 (0.0 - 1.0)</w:t>
            </w:r>
          </w:p>
        </w:tc>
        <w:tc>
          <w:tcPr>
            <w:tcW w:w="2304"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0.0 (0.0 - 1.8)</w:t>
            </w:r>
          </w:p>
        </w:tc>
        <w:tc>
          <w:tcPr>
            <w:tcW w:w="1402"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0.504</w:t>
            </w:r>
          </w:p>
        </w:tc>
      </w:tr>
      <w:tr>
        <w:trPr>
          <w:cnfStyle w:val="000000100000" w:firstRow="0" w:lastRow="0" w:firstColumn="0" w:lastColumn="0" w:oddVBand="0" w:evenVBand="0" w:oddHBand="1" w:evenHBand="0" w:firstRowFirstColumn="0" w:firstRowLastColumn="0" w:lastRowFirstColumn="0" w:lastRowLastColumn="0"/>
        </w:trPr>
        <w:tc>
          <w:tcPr>
            <w:tcW w:w="305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PIRA within 12 months</w:t>
            </w:r>
          </w:p>
        </w:tc>
        <w:tc>
          <w:tcPr>
            <w:tcW w:w="2305"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11 (31.4%)</w:t>
            </w:r>
          </w:p>
        </w:tc>
        <w:tc>
          <w:tcPr>
            <w:tcW w:w="2304"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13 (34.2%)</w:t>
            </w:r>
          </w:p>
        </w:tc>
        <w:tc>
          <w:tcPr>
            <w:tcW w:w="1402"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1.000</w:t>
            </w:r>
          </w:p>
        </w:tc>
      </w:tr>
      <w:tr>
        <w:trPr/>
        <w:tc>
          <w:tcPr>
            <w:tcW w:w="3058"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both"/>
              <w:rPr>
                <w:rFonts w:ascii="Arial" w:hAnsi="Arial" w:cs="Arial"/>
                <w:color w:themeColor="text1" w:val="000000"/>
                <w:sz w:val="24"/>
                <w:szCs w:val="24"/>
              </w:rPr>
            </w:pPr>
            <w:r>
              <w:rPr>
                <w:rFonts w:eastAsia="Calibri" w:cs="Arial" w:ascii="Arial" w:hAnsi="Arial"/>
                <w:b/>
                <w:bCs/>
                <w:color w:themeColor="text1" w:val="000000"/>
                <w:kern w:val="0"/>
                <w:sz w:val="24"/>
                <w:szCs w:val="24"/>
                <w:lang w:val="de-DE" w:eastAsia="en-US" w:bidi="ar-SA"/>
              </w:rPr>
              <w:t xml:space="preserve">RAW within 12 months </w:t>
            </w:r>
          </w:p>
        </w:tc>
        <w:tc>
          <w:tcPr>
            <w:tcW w:w="2305"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3 (8.6%)</w:t>
            </w:r>
          </w:p>
        </w:tc>
        <w:tc>
          <w:tcPr>
            <w:tcW w:w="2304"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1 (2.6%)</w:t>
            </w:r>
          </w:p>
        </w:tc>
        <w:tc>
          <w:tcPr>
            <w:tcW w:w="1402"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rPr>
            </w:pPr>
            <w:r>
              <w:rPr>
                <w:rFonts w:eastAsia="Calibri" w:cs="Arial" w:ascii="Arial" w:hAnsi="Arial"/>
                <w:kern w:val="0"/>
                <w:sz w:val="24"/>
                <w:szCs w:val="24"/>
                <w:lang w:val="de-DE" w:eastAsia="en-US" w:bidi="ar-SA"/>
              </w:rPr>
              <w:t>0.344</w:t>
            </w:r>
          </w:p>
        </w:tc>
      </w:tr>
      <w:tr>
        <w:trPr>
          <w:cnfStyle w:val="000000100000" w:firstRow="0" w:lastRow="0" w:firstColumn="0" w:lastColumn="0" w:oddVBand="0" w:evenVBand="0" w:oddHBand="1" w:evenHBand="0" w:firstRowFirstColumn="0" w:firstRowLastColumn="0" w:lastRowFirstColumn="0" w:lastRowLastColumn="0"/>
        </w:trPr>
        <w:tc>
          <w:tcPr>
            <w:tcW w:w="305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 xml:space="preserve">IL-6 at BL </w:t>
            </w:r>
            <w:r>
              <w:rPr>
                <w:rFonts w:eastAsia="Calibri" w:cs="Arial" w:ascii="Arial" w:hAnsi="Arial"/>
                <w:b w:val="false"/>
                <w:bCs w:val="false"/>
                <w:color w:themeColor="text1" w:val="000000"/>
                <w:kern w:val="0"/>
                <w:sz w:val="24"/>
                <w:szCs w:val="24"/>
                <w:lang w:val="en-US" w:eastAsia="en-US" w:bidi="ar-SA"/>
              </w:rPr>
              <w:t>(pg/ml)</w:t>
            </w:r>
          </w:p>
        </w:tc>
        <w:tc>
          <w:tcPr>
            <w:tcW w:w="2305"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1.40 (1.40 - 1.75)</w:t>
            </w:r>
          </w:p>
        </w:tc>
        <w:tc>
          <w:tcPr>
            <w:tcW w:w="2304"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3.20 (2.60 - 4.38)</w:t>
            </w:r>
          </w:p>
        </w:tc>
        <w:tc>
          <w:tcPr>
            <w:tcW w:w="1402"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NA</w:t>
            </w:r>
          </w:p>
        </w:tc>
      </w:tr>
      <w:tr>
        <w:trPr/>
        <w:tc>
          <w:tcPr>
            <w:tcW w:w="3058"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both"/>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 xml:space="preserve">IL-6 at 6 months </w:t>
            </w:r>
            <w:r>
              <w:rPr>
                <w:rFonts w:eastAsia="Calibri" w:cs="Arial" w:ascii="Arial" w:hAnsi="Arial"/>
                <w:b w:val="false"/>
                <w:bCs w:val="false"/>
                <w:color w:themeColor="text1" w:val="000000"/>
                <w:kern w:val="0"/>
                <w:sz w:val="24"/>
                <w:szCs w:val="24"/>
                <w:lang w:val="en-US" w:eastAsia="en-US" w:bidi="ar-SA"/>
              </w:rPr>
              <w:t>(pg/ml)</w:t>
            </w:r>
          </w:p>
        </w:tc>
        <w:tc>
          <w:tcPr>
            <w:tcW w:w="2305"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2.12 (1.85 - 2.38)</w:t>
            </w:r>
          </w:p>
        </w:tc>
        <w:tc>
          <w:tcPr>
            <w:tcW w:w="2304"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1.91 (1.70 - 2.71)</w:t>
            </w:r>
          </w:p>
        </w:tc>
        <w:tc>
          <w:tcPr>
            <w:tcW w:w="1402" w:type="dxa"/>
            <w:tcBorders>
              <w:top w:val="nil"/>
              <w:bottom w:val="nil"/>
            </w:tcBorders>
            <w:vAlign w:val="center"/>
          </w:tcPr>
          <w:p>
            <w:pPr>
              <w:pStyle w:val="Normal"/>
              <w:widowControl/>
              <w:spacing w:lineRule="auto" w:line="240" w:before="0" w:after="160"/>
              <w:jc w:val="start"/>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0.932</w:t>
            </w:r>
          </w:p>
        </w:tc>
      </w:tr>
      <w:tr>
        <w:trPr>
          <w:cnfStyle w:val="000000100000" w:firstRow="0" w:lastRow="0" w:firstColumn="0" w:lastColumn="0" w:oddVBand="0" w:evenVBand="0" w:oddHBand="1" w:evenHBand="0" w:firstRowFirstColumn="0" w:firstRowLastColumn="0" w:lastRowFirstColumn="0" w:lastRowLastColumn="0"/>
        </w:trPr>
        <w:tc>
          <w:tcPr>
            <w:tcW w:w="3058"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sz w:val="24"/>
                <w:szCs w:val="24"/>
                <w:lang w:val="en-US"/>
              </w:rPr>
            </w:pPr>
            <w:r>
              <w:rPr>
                <w:rFonts w:eastAsia="Calibri" w:cs="Arial" w:ascii="Arial" w:hAnsi="Arial"/>
                <w:b/>
                <w:bCs/>
                <w:color w:themeColor="text1" w:val="000000"/>
                <w:kern w:val="0"/>
                <w:sz w:val="24"/>
                <w:szCs w:val="24"/>
                <w:lang w:val="en-US" w:eastAsia="en-US" w:bidi="ar-SA"/>
              </w:rPr>
              <w:t xml:space="preserve">IL-6 at 12 months </w:t>
            </w:r>
            <w:r>
              <w:rPr>
                <w:rFonts w:eastAsia="Calibri" w:cs="Arial" w:ascii="Arial" w:hAnsi="Arial"/>
                <w:b w:val="false"/>
                <w:bCs w:val="false"/>
                <w:color w:themeColor="text1" w:val="000000"/>
                <w:kern w:val="0"/>
                <w:sz w:val="24"/>
                <w:szCs w:val="24"/>
                <w:lang w:val="en-US" w:eastAsia="en-US" w:bidi="ar-SA"/>
              </w:rPr>
              <w:t>(pg/ml)</w:t>
            </w:r>
          </w:p>
        </w:tc>
        <w:tc>
          <w:tcPr>
            <w:tcW w:w="2305"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1.40 (1.40 - 1.83)</w:t>
            </w:r>
          </w:p>
        </w:tc>
        <w:tc>
          <w:tcPr>
            <w:tcW w:w="2304"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2.40 (1.78 - 3.05)</w:t>
            </w:r>
          </w:p>
        </w:tc>
        <w:tc>
          <w:tcPr>
            <w:tcW w:w="1402" w:type="dxa"/>
            <w:tcBorders/>
            <w:vAlign w:val="center"/>
          </w:tcPr>
          <w:p>
            <w:pPr>
              <w:pStyle w:val="Normal"/>
              <w:widowControl/>
              <w:spacing w:lineRule="auto" w:line="240" w:before="0" w:after="160"/>
              <w:jc w:val="start"/>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sz w:val="24"/>
                <w:szCs w:val="24"/>
                <w:lang w:val="en-US"/>
              </w:rPr>
            </w:pPr>
            <w:r>
              <w:rPr>
                <w:rFonts w:eastAsia="Calibri" w:cs="Arial" w:ascii="Arial" w:hAnsi="Arial"/>
                <w:kern w:val="0"/>
                <w:sz w:val="24"/>
                <w:szCs w:val="24"/>
                <w:lang w:val="de-DE" w:eastAsia="en-US" w:bidi="ar-SA"/>
              </w:rPr>
              <w:t>0.102</w:t>
            </w:r>
          </w:p>
        </w:tc>
      </w:tr>
      <w:tr>
        <w:trPr/>
        <w:tc>
          <w:tcPr>
            <w:tcW w:w="9069" w:type="dxa"/>
            <w:gridSpan w:val="4"/>
            <w:cnfStyle w:val="001000000000" w:firstRow="0" w:lastRow="0" w:firstColumn="1" w:lastColumn="0" w:oddVBand="0" w:evenVBand="0" w:oddHBand="0" w:evenHBand="0" w:firstRowFirstColumn="0" w:firstRowLastColumn="0" w:lastRowFirstColumn="0" w:lastRowLastColumn="0"/>
            <w:tcBorders>
              <w:top w:val="nil"/>
            </w:tcBorders>
          </w:tcPr>
          <w:p>
            <w:pPr>
              <w:pStyle w:val="Normal"/>
              <w:widowControl/>
              <w:spacing w:lineRule="auto" w:line="240" w:before="0" w:after="0"/>
              <w:jc w:val="both"/>
              <w:rPr>
                <w:rFonts w:ascii="Arial" w:hAnsi="Arial" w:cs="Arial"/>
                <w:b w:val="false"/>
                <w:bCs w:val="false"/>
                <w:color w:themeColor="text1" w:val="000000"/>
                <w:sz w:val="24"/>
                <w:szCs w:val="24"/>
                <w:lang w:val="en-US"/>
              </w:rPr>
            </w:pPr>
            <w:r>
              <w:rPr>
                <w:rFonts w:eastAsia="Calibri" w:cs="Arial" w:ascii="Arial" w:hAnsi="Arial"/>
                <w:b w:val="false"/>
                <w:bCs w:val="false"/>
                <w:i/>
                <w:iCs/>
                <w:color w:themeColor="text1" w:val="000000"/>
                <w:kern w:val="0"/>
                <w:sz w:val="18"/>
                <w:szCs w:val="18"/>
                <w:lang w:val="en-US" w:eastAsia="en-US" w:bidi="ar-SA"/>
              </w:rPr>
              <w:t>Abbreviations:</w:t>
            </w:r>
            <w:r>
              <w:rPr>
                <w:rFonts w:eastAsia="Calibri" w:cs="Arial" w:ascii="Arial" w:hAnsi="Arial"/>
                <w:b w:val="false"/>
                <w:bCs w:val="false"/>
                <w:color w:themeColor="text1" w:val="000000"/>
                <w:kern w:val="0"/>
                <w:sz w:val="18"/>
                <w:szCs w:val="18"/>
                <w:lang w:val="en-US" w:eastAsia="en-US" w:bidi="ar-SA"/>
              </w:rPr>
              <w:t xml:space="preserve"> BL: Baseline; EDSS: Expanded Disability Status Scale; IQR: Interquartile Range; PIRA: Progression Independent of Relapse Activity; PPMS: Primary Progressive Multiple Sclerosis; RAW: Relapse-Associated Worsening; RRMS: Relapsing-Remitting Multiple Sclerosis; SD: Standard Deviation.</w:t>
            </w:r>
          </w:p>
        </w:tc>
      </w:tr>
    </w:tbl>
    <w:p>
      <w:pPr>
        <w:pStyle w:val="Normal"/>
        <w:spacing w:lineRule="auto" w:line="480"/>
        <w:jc w:val="both"/>
        <w:rPr>
          <w:rFonts w:ascii="Arial" w:hAnsi="Arial" w:cs="Arial"/>
          <w:b/>
          <w:bCs/>
          <w:color w:themeColor="text1" w:val="000000"/>
          <w:sz w:val="24"/>
          <w:szCs w:val="24"/>
          <w:lang w:val="en-GB"/>
        </w:rPr>
      </w:pPr>
      <w:r>
        <w:rPr>
          <w:rFonts w:cs="Arial" w:ascii="Arial" w:hAnsi="Arial"/>
          <w:b/>
          <w:bCs/>
          <w:color w:themeColor="text1" w:val="000000"/>
          <w:sz w:val="24"/>
          <w:szCs w:val="24"/>
          <w:lang w:val="en-GB"/>
        </w:rPr>
      </w:r>
    </w:p>
    <w:p>
      <w:pPr>
        <w:pStyle w:val="Normal"/>
        <w:spacing w:lineRule="auto" w:line="480"/>
        <w:jc w:val="both"/>
        <w:rPr>
          <w:rFonts w:ascii="Arial" w:hAnsi="Arial" w:cs="Arial"/>
          <w:color w:themeColor="text1" w:val="000000"/>
          <w:sz w:val="24"/>
          <w:szCs w:val="24"/>
          <w:lang w:val="en-US"/>
        </w:rPr>
      </w:pPr>
      <w:r>
        <w:rPr>
          <w:rFonts w:cs="Arial" w:ascii="Arial" w:hAnsi="Arial"/>
          <w:b/>
          <w:bCs/>
          <w:color w:themeColor="text1" w:val="000000"/>
          <w:sz w:val="24"/>
          <w:szCs w:val="24"/>
          <w:lang w:val="en-GB"/>
        </w:rPr>
        <w:t>Supplementary Table 3:</w:t>
      </w:r>
      <w:r>
        <w:rPr>
          <w:rFonts w:cs="Arial" w:ascii="Arial" w:hAnsi="Arial"/>
          <w:color w:themeColor="text1" w:val="000000"/>
          <w:sz w:val="24"/>
          <w:szCs w:val="24"/>
          <w:lang w:val="en-GB"/>
        </w:rPr>
        <w:t xml:space="preserve"> </w:t>
      </w:r>
      <w:r>
        <w:rPr>
          <w:rFonts w:cs="Arial" w:ascii="Arial" w:hAnsi="Arial"/>
          <w:color w:themeColor="text1" w:val="000000"/>
          <w:sz w:val="24"/>
          <w:szCs w:val="24"/>
          <w:lang w:val="en-US"/>
        </w:rPr>
        <w:t>Patient characteristics by CDA occurrence in those with longitudinal IL-6 data over 12 months. This subgroup includes patients with available serum samples at baseline, 6 months (V6), and 12 months (V12). No significant differences in baseline or longitudinal IL-6 levels were found between those who experienced CDA and those who did not.</w:t>
      </w:r>
    </w:p>
    <w:tbl>
      <w:tblPr>
        <w:tblStyle w:val="EinfacheTabelle2"/>
        <w:tblW w:w="907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896"/>
        <w:gridCol w:w="2601"/>
        <w:gridCol w:w="2411"/>
        <w:gridCol w:w="1161"/>
      </w:tblGrid>
      <w:tr>
        <w:trPr>
          <w:cnfStyle w:val="100000000000" w:firstRow="1" w:lastRow="0" w:firstColumn="0" w:lastColumn="0" w:oddVBand="0" w:evenVBand="0" w:oddHBand="0" w:evenHBand="0" w:firstRowFirstColumn="0" w:firstRowLastColumn="0" w:lastRowFirstColumn="0" w:lastRowLastColumn="0"/>
        </w:trPr>
        <w:tc>
          <w:tcPr>
            <w:tcW w:w="2896"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lang w:val="en-US"/>
              </w:rPr>
            </w:pPr>
            <w:r>
              <w:rPr>
                <w:rFonts w:eastAsia="Calibri" w:cs="Arial" w:ascii="Arial" w:hAnsi="Arial"/>
                <w:b/>
                <w:bCs/>
                <w:color w:themeColor="text1" w:val="000000"/>
                <w:kern w:val="0"/>
                <w:sz w:val="22"/>
                <w:szCs w:val="22"/>
                <w:lang w:val="en-US" w:eastAsia="en-US" w:bidi="ar-SA"/>
              </w:rPr>
            </w:r>
          </w:p>
        </w:tc>
        <w:tc>
          <w:tcPr>
            <w:tcW w:w="2601" w:type="dxa"/>
            <w:tcBorders/>
          </w:tcPr>
          <w:p>
            <w:pPr>
              <w:pStyle w:val="Normal"/>
              <w:widowControl/>
              <w:spacing w:lineRule="auto" w:line="240" w:before="0" w:after="160"/>
              <w:jc w:val="both"/>
              <w:cnfStyle w:val="100000000000" w:firstRow="1"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b/>
                <w:bCs/>
                <w:color w:themeColor="text1" w:val="000000"/>
                <w:kern w:val="0"/>
                <w:sz w:val="22"/>
                <w:szCs w:val="22"/>
                <w:lang w:val="de-DE" w:eastAsia="en-US" w:bidi="ar-SA"/>
              </w:rPr>
              <w:t>Patients without CDA (n=13)</w:t>
            </w:r>
          </w:p>
        </w:tc>
        <w:tc>
          <w:tcPr>
            <w:tcW w:w="2411" w:type="dxa"/>
            <w:tcBorders/>
          </w:tcPr>
          <w:p>
            <w:pPr>
              <w:pStyle w:val="Normal"/>
              <w:widowControl/>
              <w:spacing w:lineRule="auto" w:line="240" w:before="0" w:after="160"/>
              <w:jc w:val="both"/>
              <w:cnfStyle w:val="100000000000" w:firstRow="1"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b/>
                <w:bCs/>
                <w:color w:themeColor="text1" w:val="000000"/>
                <w:kern w:val="0"/>
                <w:sz w:val="22"/>
                <w:szCs w:val="22"/>
                <w:lang w:val="de-DE" w:eastAsia="en-US" w:bidi="ar-SA"/>
              </w:rPr>
              <w:t>Patients with CDA (n=12)</w:t>
            </w:r>
          </w:p>
        </w:tc>
        <w:tc>
          <w:tcPr>
            <w:tcW w:w="1161" w:type="dxa"/>
            <w:tcBorders/>
          </w:tcPr>
          <w:p>
            <w:pPr>
              <w:pStyle w:val="Normal"/>
              <w:widowControl/>
              <w:spacing w:lineRule="auto" w:line="240" w:before="0" w:after="160"/>
              <w:jc w:val="both"/>
              <w:cnfStyle w:val="100000000000" w:firstRow="1"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b/>
                <w:bCs/>
                <w:color w:themeColor="text1" w:val="000000"/>
                <w:kern w:val="0"/>
                <w:sz w:val="22"/>
                <w:szCs w:val="22"/>
                <w:lang w:val="de-DE" w:eastAsia="en-US" w:bidi="ar-SA"/>
              </w:rPr>
              <w:t>p-value</w:t>
            </w:r>
          </w:p>
        </w:tc>
      </w:tr>
      <w:tr>
        <w:trPr>
          <w:cnfStyle w:val="000000100000" w:firstRow="0" w:lastRow="0" w:firstColumn="0" w:lastColumn="0" w:oddVBand="0" w:evenVBand="0" w:oddHBand="1" w:evenHBand="0" w:firstRowFirstColumn="0" w:firstRowLastColumn="0" w:lastRowFirstColumn="0" w:lastRowLastColumn="0"/>
        </w:trPr>
        <w:tc>
          <w:tcPr>
            <w:tcW w:w="2896"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lang w:val="en-US"/>
              </w:rPr>
            </w:pPr>
            <w:r>
              <w:rPr>
                <w:rFonts w:eastAsia="Calibri" w:cs="Arial" w:ascii="Arial" w:hAnsi="Arial"/>
                <w:b/>
                <w:bCs/>
                <w:color w:themeColor="text1" w:val="000000"/>
                <w:kern w:val="0"/>
                <w:sz w:val="22"/>
                <w:szCs w:val="22"/>
                <w:lang w:val="en-US" w:eastAsia="en-US" w:bidi="ar-SA"/>
              </w:rPr>
              <w:t>Age at BL (years, mean ± SD)</w:t>
            </w:r>
          </w:p>
        </w:tc>
        <w:tc>
          <w:tcPr>
            <w:tcW w:w="260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56.1 ± 8.41</w:t>
            </w:r>
          </w:p>
        </w:tc>
        <w:tc>
          <w:tcPr>
            <w:tcW w:w="241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54.6 ± 12.8</w:t>
            </w:r>
          </w:p>
        </w:tc>
        <w:tc>
          <w:tcPr>
            <w:tcW w:w="116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0.73</w:t>
            </w:r>
          </w:p>
        </w:tc>
      </w:tr>
      <w:tr>
        <w:trPr/>
        <w:tc>
          <w:tcPr>
            <w:tcW w:w="2896"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both"/>
              <w:rPr>
                <w:rFonts w:ascii="Arial" w:hAnsi="Arial" w:cs="Arial"/>
                <w:color w:themeColor="text1" w:val="000000"/>
              </w:rPr>
            </w:pPr>
            <w:r>
              <w:rPr>
                <w:rFonts w:eastAsia="Calibri" w:cs="Arial" w:ascii="Arial" w:hAnsi="Arial"/>
                <w:b/>
                <w:bCs/>
                <w:color w:themeColor="text1" w:val="000000"/>
                <w:kern w:val="0"/>
                <w:sz w:val="22"/>
                <w:szCs w:val="22"/>
                <w:lang w:val="de-DE" w:eastAsia="en-US" w:bidi="ar-SA"/>
              </w:rPr>
              <w:t>Female sex (n, %)</w:t>
            </w:r>
          </w:p>
        </w:tc>
        <w:tc>
          <w:tcPr>
            <w:tcW w:w="260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7 (28%)</w:t>
            </w:r>
          </w:p>
        </w:tc>
        <w:tc>
          <w:tcPr>
            <w:tcW w:w="241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6 (24%)</w:t>
            </w:r>
          </w:p>
        </w:tc>
        <w:tc>
          <w:tcPr>
            <w:tcW w:w="116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1.0</w:t>
            </w:r>
          </w:p>
        </w:tc>
      </w:tr>
      <w:tr>
        <w:trPr>
          <w:cnfStyle w:val="000000100000" w:firstRow="0" w:lastRow="0" w:firstColumn="0" w:lastColumn="0" w:oddVBand="0" w:evenVBand="0" w:oddHBand="1" w:evenHBand="0" w:firstRowFirstColumn="0" w:firstRowLastColumn="0" w:lastRowFirstColumn="0" w:lastRowLastColumn="0"/>
        </w:trPr>
        <w:tc>
          <w:tcPr>
            <w:tcW w:w="2896"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lang w:val="en-US"/>
              </w:rPr>
            </w:pPr>
            <w:r>
              <w:rPr>
                <w:rFonts w:eastAsia="Calibri" w:cs="Arial" w:ascii="Arial" w:hAnsi="Arial"/>
                <w:b/>
                <w:bCs/>
                <w:color w:themeColor="text1" w:val="000000"/>
                <w:kern w:val="0"/>
                <w:sz w:val="22"/>
                <w:szCs w:val="22"/>
                <w:lang w:val="en-US" w:eastAsia="en-US" w:bidi="ar-SA"/>
              </w:rPr>
              <w:t>EDSS at BL (median; IQR)</w:t>
            </w:r>
          </w:p>
        </w:tc>
        <w:tc>
          <w:tcPr>
            <w:tcW w:w="260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3.00 (IQR 2.5)</w:t>
            </w:r>
          </w:p>
        </w:tc>
        <w:tc>
          <w:tcPr>
            <w:tcW w:w="241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3.50 (IQR 2.5)</w:t>
            </w:r>
          </w:p>
        </w:tc>
        <w:tc>
          <w:tcPr>
            <w:tcW w:w="116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0.56</w:t>
            </w:r>
          </w:p>
        </w:tc>
      </w:tr>
      <w:tr>
        <w:trPr/>
        <w:tc>
          <w:tcPr>
            <w:tcW w:w="2896"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both"/>
              <w:rPr>
                <w:rFonts w:ascii="Arial" w:hAnsi="Arial" w:cs="Arial"/>
                <w:color w:themeColor="text1" w:val="000000"/>
              </w:rPr>
            </w:pPr>
            <w:r>
              <w:rPr>
                <w:rFonts w:eastAsia="Calibri" w:cs="Arial" w:ascii="Arial" w:hAnsi="Arial"/>
                <w:b/>
                <w:bCs/>
                <w:color w:themeColor="text1" w:val="000000"/>
                <w:kern w:val="0"/>
                <w:sz w:val="22"/>
                <w:szCs w:val="22"/>
                <w:lang w:val="de-DE" w:eastAsia="en-US" w:bidi="ar-SA"/>
              </w:rPr>
              <w:t>No. RRMS patients</w:t>
            </w:r>
          </w:p>
        </w:tc>
        <w:tc>
          <w:tcPr>
            <w:tcW w:w="260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6 (24%)</w:t>
            </w:r>
          </w:p>
        </w:tc>
        <w:tc>
          <w:tcPr>
            <w:tcW w:w="241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3 (12%)</w:t>
            </w:r>
          </w:p>
        </w:tc>
        <w:tc>
          <w:tcPr>
            <w:tcW w:w="116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0.41</w:t>
            </w:r>
          </w:p>
        </w:tc>
      </w:tr>
      <w:tr>
        <w:trPr>
          <w:cnfStyle w:val="000000100000" w:firstRow="0" w:lastRow="0" w:firstColumn="0" w:lastColumn="0" w:oddVBand="0" w:evenVBand="0" w:oddHBand="1" w:evenHBand="0" w:firstRowFirstColumn="0" w:firstRowLastColumn="0" w:lastRowFirstColumn="0" w:lastRowLastColumn="0"/>
        </w:trPr>
        <w:tc>
          <w:tcPr>
            <w:tcW w:w="2896"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rPr>
            </w:pPr>
            <w:r>
              <w:rPr>
                <w:rFonts w:eastAsia="Calibri" w:cs="Arial" w:ascii="Arial" w:hAnsi="Arial"/>
                <w:b/>
                <w:bCs/>
                <w:color w:themeColor="text1" w:val="000000"/>
                <w:kern w:val="0"/>
                <w:sz w:val="22"/>
                <w:szCs w:val="22"/>
                <w:lang w:val="de-DE" w:eastAsia="en-US" w:bidi="ar-SA"/>
              </w:rPr>
              <w:t>No. PPMS patients</w:t>
            </w:r>
          </w:p>
        </w:tc>
        <w:tc>
          <w:tcPr>
            <w:tcW w:w="260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7 (28%)</w:t>
            </w:r>
          </w:p>
        </w:tc>
        <w:tc>
          <w:tcPr>
            <w:tcW w:w="241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9 (36%)</w:t>
            </w:r>
          </w:p>
        </w:tc>
        <w:tc>
          <w:tcPr>
            <w:tcW w:w="116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0.41</w:t>
            </w:r>
          </w:p>
        </w:tc>
      </w:tr>
      <w:tr>
        <w:trPr/>
        <w:tc>
          <w:tcPr>
            <w:tcW w:w="2896"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both"/>
              <w:rPr>
                <w:rFonts w:ascii="Arial" w:hAnsi="Arial" w:cs="Arial"/>
                <w:color w:themeColor="text1" w:val="000000"/>
              </w:rPr>
            </w:pPr>
            <w:r>
              <w:rPr>
                <w:rFonts w:eastAsia="Calibri" w:cs="Arial" w:ascii="Arial" w:hAnsi="Arial"/>
                <w:b/>
                <w:bCs/>
                <w:color w:themeColor="text1" w:val="000000"/>
                <w:kern w:val="0"/>
                <w:sz w:val="22"/>
                <w:szCs w:val="22"/>
                <w:lang w:val="de-DE" w:eastAsia="en-US" w:bidi="ar-SA"/>
              </w:rPr>
              <w:t>Relapse within 12M (n, %)</w:t>
            </w:r>
          </w:p>
        </w:tc>
        <w:tc>
          <w:tcPr>
            <w:tcW w:w="260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NA</w:t>
            </w:r>
          </w:p>
        </w:tc>
        <w:tc>
          <w:tcPr>
            <w:tcW w:w="241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2 (8%)</w:t>
            </w:r>
          </w:p>
        </w:tc>
        <w:tc>
          <w:tcPr>
            <w:tcW w:w="116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NA</w:t>
            </w:r>
          </w:p>
        </w:tc>
      </w:tr>
      <w:tr>
        <w:trPr>
          <w:cnfStyle w:val="000000100000" w:firstRow="0" w:lastRow="0" w:firstColumn="0" w:lastColumn="0" w:oddVBand="0" w:evenVBand="0" w:oddHBand="1" w:evenHBand="0" w:firstRowFirstColumn="0" w:firstRowLastColumn="0" w:lastRowFirstColumn="0" w:lastRowLastColumn="0"/>
        </w:trPr>
        <w:tc>
          <w:tcPr>
            <w:tcW w:w="2896"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rPr>
            </w:pPr>
            <w:r>
              <w:rPr>
                <w:rFonts w:eastAsia="Calibri" w:cs="Arial" w:ascii="Arial" w:hAnsi="Arial"/>
                <w:b/>
                <w:bCs/>
                <w:color w:themeColor="text1" w:val="000000"/>
                <w:kern w:val="0"/>
                <w:sz w:val="22"/>
                <w:szCs w:val="22"/>
                <w:lang w:val="de-DE" w:eastAsia="en-US" w:bidi="ar-SA"/>
              </w:rPr>
              <w:t>PIRA within 12M (n, %)</w:t>
            </w:r>
          </w:p>
        </w:tc>
        <w:tc>
          <w:tcPr>
            <w:tcW w:w="260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NA</w:t>
            </w:r>
          </w:p>
        </w:tc>
        <w:tc>
          <w:tcPr>
            <w:tcW w:w="241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10 (40%)</w:t>
            </w:r>
          </w:p>
        </w:tc>
        <w:tc>
          <w:tcPr>
            <w:tcW w:w="116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NA</w:t>
            </w:r>
          </w:p>
        </w:tc>
      </w:tr>
      <w:tr>
        <w:trPr/>
        <w:tc>
          <w:tcPr>
            <w:tcW w:w="2896"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both"/>
              <w:rPr>
                <w:rFonts w:ascii="Arial" w:hAnsi="Arial" w:cs="Arial"/>
                <w:color w:themeColor="text1" w:val="000000"/>
              </w:rPr>
            </w:pPr>
            <w:r>
              <w:rPr>
                <w:rFonts w:eastAsia="Calibri" w:cs="Arial" w:ascii="Arial" w:hAnsi="Arial"/>
                <w:b/>
                <w:bCs/>
                <w:color w:themeColor="text1" w:val="000000"/>
                <w:kern w:val="0"/>
                <w:sz w:val="22"/>
                <w:szCs w:val="22"/>
                <w:lang w:val="de-DE" w:eastAsia="en-US" w:bidi="ar-SA"/>
              </w:rPr>
              <w:t>RAW within 12M (n, %)</w:t>
            </w:r>
          </w:p>
        </w:tc>
        <w:tc>
          <w:tcPr>
            <w:tcW w:w="260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NA</w:t>
            </w:r>
          </w:p>
        </w:tc>
        <w:tc>
          <w:tcPr>
            <w:tcW w:w="241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2 (8%)</w:t>
            </w:r>
          </w:p>
        </w:tc>
        <w:tc>
          <w:tcPr>
            <w:tcW w:w="116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NA</w:t>
            </w:r>
          </w:p>
        </w:tc>
      </w:tr>
      <w:tr>
        <w:trPr>
          <w:cnfStyle w:val="000000100000" w:firstRow="0" w:lastRow="0" w:firstColumn="0" w:lastColumn="0" w:oddVBand="0" w:evenVBand="0" w:oddHBand="1" w:evenHBand="0" w:firstRowFirstColumn="0" w:firstRowLastColumn="0" w:lastRowFirstColumn="0" w:lastRowLastColumn="0"/>
        </w:trPr>
        <w:tc>
          <w:tcPr>
            <w:tcW w:w="2896"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lang w:val="en-US"/>
              </w:rPr>
            </w:pPr>
            <w:r>
              <w:rPr>
                <w:rFonts w:eastAsia="Calibri" w:cs="Arial" w:ascii="Arial" w:hAnsi="Arial"/>
                <w:b/>
                <w:bCs/>
                <w:color w:themeColor="text1" w:val="000000"/>
                <w:kern w:val="0"/>
                <w:sz w:val="22"/>
                <w:szCs w:val="22"/>
                <w:lang w:val="en-US" w:eastAsia="en-US" w:bidi="ar-SA"/>
              </w:rPr>
              <w:t>IL-6 at BL [pg/ml] (median; IQR)</w:t>
            </w:r>
          </w:p>
        </w:tc>
        <w:tc>
          <w:tcPr>
            <w:tcW w:w="260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2.2 (IQR 2.1)</w:t>
            </w:r>
          </w:p>
        </w:tc>
        <w:tc>
          <w:tcPr>
            <w:tcW w:w="241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1.9 (IQR 1.5)</w:t>
            </w:r>
          </w:p>
        </w:tc>
        <w:tc>
          <w:tcPr>
            <w:tcW w:w="116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0.91</w:t>
            </w:r>
          </w:p>
        </w:tc>
      </w:tr>
      <w:tr>
        <w:trPr/>
        <w:tc>
          <w:tcPr>
            <w:tcW w:w="2896"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160"/>
              <w:jc w:val="both"/>
              <w:rPr>
                <w:rFonts w:ascii="Arial" w:hAnsi="Arial" w:cs="Arial"/>
                <w:color w:themeColor="text1" w:val="000000"/>
                <w:lang w:val="en-US"/>
              </w:rPr>
            </w:pPr>
            <w:r>
              <w:rPr>
                <w:rFonts w:eastAsia="Calibri" w:cs="Arial" w:ascii="Arial" w:hAnsi="Arial"/>
                <w:b/>
                <w:bCs/>
                <w:color w:themeColor="text1" w:val="000000"/>
                <w:kern w:val="0"/>
                <w:sz w:val="22"/>
                <w:szCs w:val="22"/>
                <w:lang w:val="en-US" w:eastAsia="en-US" w:bidi="ar-SA"/>
              </w:rPr>
              <w:t>IL-6 at V6 [pg/ml] (median; IQR)</w:t>
            </w:r>
          </w:p>
        </w:tc>
        <w:tc>
          <w:tcPr>
            <w:tcW w:w="260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1.9 (IQR 0.802)</w:t>
            </w:r>
          </w:p>
        </w:tc>
        <w:tc>
          <w:tcPr>
            <w:tcW w:w="241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2.64 (IQR 1.32)</w:t>
            </w:r>
          </w:p>
        </w:tc>
        <w:tc>
          <w:tcPr>
            <w:tcW w:w="1161" w:type="dxa"/>
            <w:tcBorders>
              <w:top w:val="nil"/>
              <w:bottom w:val="nil"/>
            </w:tcBorders>
          </w:tcPr>
          <w:p>
            <w:pPr>
              <w:pStyle w:val="Normal"/>
              <w:widowControl/>
              <w:spacing w:lineRule="auto" w:line="240" w:before="0" w:after="160"/>
              <w:jc w:val="both"/>
              <w:cnfStyle w:val="000000000000" w:firstRow="0" w:lastRow="0" w:firstColumn="0" w:lastColumn="0" w:oddVBand="0" w:evenVBand="0" w:oddHBand="0"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0.65</w:t>
            </w:r>
          </w:p>
        </w:tc>
      </w:tr>
      <w:tr>
        <w:trPr>
          <w:cnfStyle w:val="000000100000" w:firstRow="0" w:lastRow="0" w:firstColumn="0" w:lastColumn="0" w:oddVBand="0" w:evenVBand="0" w:oddHBand="1" w:evenHBand="0" w:firstRowFirstColumn="0" w:firstRowLastColumn="0" w:lastRowFirstColumn="0" w:lastRowLastColumn="0"/>
        </w:trPr>
        <w:tc>
          <w:tcPr>
            <w:tcW w:w="2896"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160"/>
              <w:jc w:val="both"/>
              <w:rPr>
                <w:rFonts w:ascii="Arial" w:hAnsi="Arial" w:cs="Arial"/>
                <w:color w:themeColor="text1" w:val="000000"/>
                <w:lang w:val="en-US"/>
              </w:rPr>
            </w:pPr>
            <w:r>
              <w:rPr>
                <w:rFonts w:eastAsia="Calibri" w:cs="Arial" w:ascii="Arial" w:hAnsi="Arial"/>
                <w:b/>
                <w:bCs/>
                <w:color w:themeColor="text1" w:val="000000"/>
                <w:kern w:val="0"/>
                <w:sz w:val="22"/>
                <w:szCs w:val="22"/>
                <w:lang w:val="en-US" w:eastAsia="en-US" w:bidi="ar-SA"/>
              </w:rPr>
              <w:t>IL-6 at V12 [pg/ml] (median; IQR)</w:t>
            </w:r>
          </w:p>
        </w:tc>
        <w:tc>
          <w:tcPr>
            <w:tcW w:w="260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1.59 (IQR 0.51)</w:t>
            </w:r>
          </w:p>
        </w:tc>
        <w:tc>
          <w:tcPr>
            <w:tcW w:w="241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2.33 (IQR 0.893)</w:t>
            </w:r>
          </w:p>
        </w:tc>
        <w:tc>
          <w:tcPr>
            <w:tcW w:w="1161" w:type="dxa"/>
            <w:tcBorders/>
          </w:tcPr>
          <w:p>
            <w:pPr>
              <w:pStyle w:val="Normal"/>
              <w:widowControl/>
              <w:spacing w:lineRule="auto" w:line="240" w:before="0" w:after="160"/>
              <w:jc w:val="both"/>
              <w:cnfStyle w:val="000000100000" w:firstRow="0" w:lastRow="0" w:firstColumn="0" w:lastColumn="0" w:oddVBand="0" w:evenVBand="0" w:oddHBand="1" w:evenHBand="0" w:firstRowFirstColumn="0" w:firstRowLastColumn="0" w:lastRowFirstColumn="0" w:lastRowLastColumn="0"/>
              <w:rPr>
                <w:rFonts w:ascii="Arial" w:hAnsi="Arial" w:cs="Arial"/>
                <w:color w:themeColor="text1" w:val="000000"/>
              </w:rPr>
            </w:pPr>
            <w:r>
              <w:rPr>
                <w:rFonts w:eastAsia="Calibri" w:cs="Arial" w:ascii="Arial" w:hAnsi="Arial"/>
                <w:color w:themeColor="text1" w:val="000000"/>
                <w:kern w:val="0"/>
                <w:sz w:val="22"/>
                <w:szCs w:val="22"/>
                <w:lang w:val="de-DE" w:eastAsia="en-US" w:bidi="ar-SA"/>
              </w:rPr>
              <w:t>0.23</w:t>
            </w:r>
          </w:p>
        </w:tc>
      </w:tr>
      <w:tr>
        <w:trPr/>
        <w:tc>
          <w:tcPr>
            <w:tcW w:w="9069" w:type="dxa"/>
            <w:gridSpan w:val="4"/>
            <w:cnfStyle w:val="001000000000" w:firstRow="0" w:lastRow="0" w:firstColumn="1" w:lastColumn="0" w:oddVBand="0" w:evenVBand="0" w:oddHBand="0" w:evenHBand="0" w:firstRowFirstColumn="0" w:firstRowLastColumn="0" w:lastRowFirstColumn="0" w:lastRowLastColumn="0"/>
            <w:tcBorders>
              <w:top w:val="nil"/>
            </w:tcBorders>
          </w:tcPr>
          <w:p>
            <w:pPr>
              <w:pStyle w:val="Normal"/>
              <w:widowControl/>
              <w:spacing w:lineRule="auto" w:line="240" w:before="0" w:after="0"/>
              <w:jc w:val="both"/>
              <w:rPr>
                <w:rFonts w:ascii="Arial" w:hAnsi="Arial" w:cs="Arial"/>
                <w:b w:val="false"/>
                <w:bCs w:val="false"/>
                <w:color w:themeColor="text1" w:val="000000"/>
                <w:sz w:val="18"/>
                <w:szCs w:val="18"/>
                <w:lang w:val="en-US"/>
              </w:rPr>
            </w:pPr>
            <w:r>
              <w:rPr>
                <w:rFonts w:eastAsia="Calibri" w:cs="Arial" w:ascii="Arial" w:hAnsi="Arial"/>
                <w:b w:val="false"/>
                <w:bCs w:val="false"/>
                <w:i/>
                <w:iCs/>
                <w:color w:themeColor="text1" w:val="000000"/>
                <w:kern w:val="0"/>
                <w:sz w:val="18"/>
                <w:szCs w:val="18"/>
                <w:lang w:val="en-US" w:eastAsia="en-US" w:bidi="ar-SA"/>
              </w:rPr>
              <w:t>Abbreviations:</w:t>
            </w:r>
            <w:r>
              <w:rPr>
                <w:rFonts w:eastAsia="Calibri" w:cs="Arial" w:ascii="Arial" w:hAnsi="Arial"/>
                <w:b w:val="false"/>
                <w:bCs w:val="false"/>
                <w:color w:themeColor="text1" w:val="000000"/>
                <w:kern w:val="0"/>
                <w:sz w:val="18"/>
                <w:szCs w:val="18"/>
                <w:lang w:val="en-US" w:eastAsia="en-US" w:bidi="ar-SA"/>
              </w:rPr>
              <w:t xml:space="preserve"> BL: Baseline; CDA: Confirmed Disability Accumulation; EDSS: Expanded Disability Status Scale; IQR: Interquartile Range; PIRA: Progression Independent of Relapse Activity; PPMS: Primary Progressive Multiple Sclerosis; RAW: Relapse-Associated Worsening; RRMS: Relapsing-Remitting Multiple Sclerosis; SD: Standard Deviation.</w:t>
            </w:r>
          </w:p>
        </w:tc>
      </w:tr>
    </w:tbl>
    <w:p>
      <w:pPr>
        <w:pStyle w:val="Normal"/>
        <w:spacing w:lineRule="auto" w:line="480"/>
        <w:jc w:val="both"/>
        <w:rPr>
          <w:rFonts w:ascii="Arial" w:hAnsi="Arial" w:cs="Arial"/>
          <w:color w:themeColor="text1" w:val="000000"/>
          <w:sz w:val="24"/>
          <w:szCs w:val="24"/>
          <w:lang w:val="en-GB"/>
        </w:rPr>
      </w:pPr>
      <w:r>
        <w:rPr>
          <w:rFonts w:cs="Arial" w:ascii="Arial" w:hAnsi="Arial"/>
          <w:color w:themeColor="text1" w:val="000000"/>
          <w:sz w:val="24"/>
          <w:szCs w:val="24"/>
          <w:lang w:val="en-GB"/>
        </w:rPr>
      </w:r>
    </w:p>
    <w:p>
      <w:pPr>
        <w:pStyle w:val="Normal"/>
        <w:spacing w:lineRule="auto" w:line="480"/>
        <w:jc w:val="both"/>
        <w:rPr>
          <w:rFonts w:ascii="Arial" w:hAnsi="Arial" w:cs="Arial"/>
          <w:color w:themeColor="text1" w:val="000000"/>
          <w:sz w:val="24"/>
          <w:szCs w:val="24"/>
          <w:lang w:val="en-US"/>
        </w:rPr>
      </w:pPr>
      <w:r>
        <w:rPr>
          <w:rFonts w:cs="Arial" w:ascii="Arial" w:hAnsi="Arial"/>
          <w:b/>
          <w:bCs/>
          <w:color w:themeColor="text1" w:val="000000"/>
          <w:sz w:val="24"/>
          <w:szCs w:val="24"/>
          <w:lang w:val="en-GB"/>
        </w:rPr>
        <w:t xml:space="preserve">Supplementary Figure 1: </w:t>
      </w:r>
      <w:r>
        <w:rPr>
          <w:rFonts w:cs="Arial" w:ascii="Arial" w:hAnsi="Arial"/>
          <w:color w:themeColor="text1" w:val="000000"/>
          <w:sz w:val="24"/>
          <w:szCs w:val="24"/>
          <w:lang w:val="en-GB"/>
        </w:rPr>
        <w:t xml:space="preserve">Comparison of Baseline sNfL Z-scores Between RRMS and PPMS. </w:t>
      </w:r>
      <w:r>
        <w:rPr>
          <w:rFonts w:cs="Arial" w:ascii="Arial" w:hAnsi="Arial"/>
          <w:color w:themeColor="text1" w:val="000000"/>
          <w:sz w:val="24"/>
          <w:szCs w:val="24"/>
          <w:lang w:val="en-US"/>
        </w:rPr>
        <w:t xml:space="preserve">Median baseline sNfL z-scores were significantly elevated in RRMS (2.12; IQR 1.9) compared with PPMS (-0.41; IQR 1.6; p = 0.00002). </w:t>
      </w:r>
    </w:p>
    <w:p>
      <w:pPr>
        <w:pStyle w:val="Normal"/>
        <w:spacing w:lineRule="auto" w:line="480"/>
        <w:jc w:val="both"/>
        <w:rPr>
          <w:rFonts w:ascii="Arial" w:hAnsi="Arial" w:cs="Arial"/>
          <w:color w:themeColor="text1" w:val="000000"/>
          <w:sz w:val="24"/>
          <w:szCs w:val="24"/>
          <w:lang w:val="en-US"/>
        </w:rPr>
      </w:pPr>
      <w:r>
        <w:rPr/>
        <w:drawing>
          <wp:inline distT="0" distB="0" distL="0" distR="0">
            <wp:extent cx="5758815" cy="3839845"/>
            <wp:effectExtent l="0" t="0" r="0" b="0"/>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2"/>
                    <a:srcRect l="0" t="5788" r="0" b="4630"/>
                    <a:stretch>
                      <a:fillRect/>
                    </a:stretch>
                  </pic:blipFill>
                  <pic:spPr bwMode="auto">
                    <a:xfrm>
                      <a:off x="0" y="0"/>
                      <a:ext cx="5758815" cy="3839845"/>
                    </a:xfrm>
                    <a:prstGeom prst="rect">
                      <a:avLst/>
                    </a:prstGeom>
                    <a:noFill/>
                  </pic:spPr>
                </pic:pic>
              </a:graphicData>
            </a:graphic>
          </wp:inline>
        </w:drawing>
      </w:r>
    </w:p>
    <w:p>
      <w:pPr>
        <w:pStyle w:val="Normal"/>
        <w:spacing w:lineRule="auto" w:line="480"/>
        <w:jc w:val="both"/>
        <w:rPr>
          <w:rFonts w:ascii="Arial" w:hAnsi="Arial" w:cs="Arial"/>
          <w:color w:themeColor="text1" w:val="000000"/>
          <w:sz w:val="24"/>
          <w:szCs w:val="24"/>
          <w:lang w:val="en-US"/>
        </w:rPr>
      </w:pPr>
      <w:r>
        <w:rPr>
          <w:rFonts w:cs="Arial" w:ascii="Arial" w:hAnsi="Arial"/>
          <w:i/>
          <w:iCs/>
          <w:color w:themeColor="text1" w:val="000000"/>
          <w:sz w:val="24"/>
          <w:szCs w:val="24"/>
          <w:lang w:val="en-US"/>
        </w:rPr>
        <w:t>Abbreviations:</w:t>
      </w:r>
      <w:r>
        <w:rPr>
          <w:rFonts w:cs="Arial" w:ascii="Arial" w:hAnsi="Arial"/>
          <w:color w:themeColor="text1" w:val="000000"/>
          <w:sz w:val="24"/>
          <w:szCs w:val="24"/>
          <w:lang w:val="en-US"/>
        </w:rPr>
        <w:t xml:space="preserve"> IQR: Interquartile Range; PPMS: Primary Progressive Multiple Sclerosis; RRMS: Relapsing-Remitting Multiple Sclerosis; sNfL: Serum Neurofilament Light Chain.</w:t>
      </w:r>
    </w:p>
    <w:p>
      <w:pPr>
        <w:pStyle w:val="Normal"/>
        <w:spacing w:lineRule="auto" w:line="480"/>
        <w:jc w:val="both"/>
        <w:rPr>
          <w:rFonts w:ascii="Arial" w:hAnsi="Arial" w:cs="Arial"/>
          <w:color w:themeColor="text1" w:val="000000"/>
          <w:sz w:val="24"/>
          <w:szCs w:val="24"/>
          <w:lang w:val="en-US"/>
        </w:rPr>
      </w:pPr>
      <w:r>
        <w:rPr>
          <w:rFonts w:cs="Arial" w:ascii="Arial" w:hAnsi="Arial"/>
          <w:b/>
          <w:bCs/>
          <w:color w:themeColor="text1" w:val="000000"/>
          <w:sz w:val="24"/>
          <w:szCs w:val="24"/>
          <w:lang w:val="en-GB"/>
        </w:rPr>
        <w:t>Supplementary Figure 2:</w:t>
      </w:r>
      <w:r>
        <w:rPr>
          <w:rFonts w:cs="Arial" w:ascii="Arial" w:hAnsi="Arial"/>
          <w:color w:themeColor="text1" w:val="000000"/>
          <w:sz w:val="24"/>
          <w:szCs w:val="24"/>
          <w:lang w:val="en-GB"/>
        </w:rPr>
        <w:t xml:space="preserve"> </w:t>
      </w:r>
      <w:r>
        <w:rPr>
          <w:rFonts w:cs="Arial" w:ascii="Arial" w:hAnsi="Arial"/>
          <w:color w:themeColor="text1" w:val="000000"/>
          <w:sz w:val="24"/>
          <w:szCs w:val="24"/>
          <w:lang w:val="en-US"/>
        </w:rPr>
        <w:t>Comparison of baseline C-reactive protein (CRP) levels. Comparison of CRP levels across RRMS, PPMS, and HC. While PPMS patients showed slightly higher levels compared to HC, all values remained below the clinical threshold for acute infection, minimizing confounding of IL-6 measurements.</w:t>
      </w:r>
    </w:p>
    <w:p>
      <w:pPr>
        <w:pStyle w:val="Normal"/>
        <w:spacing w:lineRule="auto" w:line="480"/>
        <w:jc w:val="both"/>
        <w:rPr>
          <w:rFonts w:ascii="Arial" w:hAnsi="Arial" w:cs="Arial"/>
          <w:color w:themeColor="text1" w:val="000000"/>
          <w:sz w:val="24"/>
          <w:szCs w:val="24"/>
          <w:lang w:val="en-US"/>
        </w:rPr>
      </w:pPr>
      <w:r>
        <w:rPr/>
        <w:drawing>
          <wp:inline distT="0" distB="0" distL="0" distR="0">
            <wp:extent cx="5759450" cy="3745230"/>
            <wp:effectExtent l="0" t="0" r="0" b="0"/>
            <wp:docPr id="2"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pic:cNvPicPr>
                      <a:picLocks noChangeAspect="1" noChangeArrowheads="1"/>
                    </pic:cNvPicPr>
                  </pic:nvPicPr>
                  <pic:blipFill>
                    <a:blip r:embed="rId3"/>
                    <a:srcRect l="0" t="5577" r="0" b="5111"/>
                    <a:stretch>
                      <a:fillRect/>
                    </a:stretch>
                  </pic:blipFill>
                  <pic:spPr bwMode="auto">
                    <a:xfrm>
                      <a:off x="0" y="0"/>
                      <a:ext cx="5759450" cy="3745230"/>
                    </a:xfrm>
                    <a:prstGeom prst="rect">
                      <a:avLst/>
                    </a:prstGeom>
                    <a:noFill/>
                  </pic:spPr>
                </pic:pic>
              </a:graphicData>
            </a:graphic>
          </wp:inline>
        </w:drawing>
      </w:r>
    </w:p>
    <w:p>
      <w:pPr>
        <w:pStyle w:val="Normal"/>
        <w:spacing w:lineRule="auto" w:line="480" w:before="0" w:after="160"/>
        <w:jc w:val="both"/>
        <w:rPr>
          <w:rFonts w:ascii="Arial" w:hAnsi="Arial" w:eastAsia="Times New Roman" w:cs="Arial"/>
          <w:color w:themeColor="text1" w:val="000000"/>
          <w:sz w:val="24"/>
          <w:szCs w:val="24"/>
          <w:lang w:val="en-GB" w:eastAsia="de-DE"/>
        </w:rPr>
      </w:pPr>
      <w:r>
        <w:rPr>
          <w:rFonts w:eastAsia="Times New Roman" w:cs="Arial" w:ascii="Arial" w:hAnsi="Arial"/>
          <w:i/>
          <w:iCs/>
          <w:color w:themeColor="text1" w:val="000000"/>
          <w:sz w:val="24"/>
          <w:szCs w:val="24"/>
          <w:lang w:val="en-GB" w:eastAsia="de-DE"/>
        </w:rPr>
        <w:t>Abbreviations:</w:t>
      </w:r>
      <w:r>
        <w:rPr>
          <w:rFonts w:eastAsia="Times New Roman" w:cs="Arial" w:ascii="Arial" w:hAnsi="Arial"/>
          <w:color w:themeColor="text1" w:val="000000"/>
          <w:sz w:val="24"/>
          <w:szCs w:val="24"/>
          <w:lang w:val="en-GB" w:eastAsia="de-DE"/>
        </w:rPr>
        <w:t xml:space="preserve"> CRP: C-reactive Protein; HC: Healthy Controls; PPMS: Primary Progressive Multiple Sclerosis; RRMS: Relapsing-Remitting Multiple Sclerosis.</w:t>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418" w:right="1418" w:gutter="0" w:header="709" w:top="1418" w:footer="709" w:bottom="1134"/>
      <w:lnNumType w:countBy="1" w:restart="continuous" w:distance="28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Segoe UI">
    <w:charset w:val="00" w:characterSet="windows-1252"/>
    <w:family w:val="swiss"/>
    <w:pitch w:val="variable"/>
  </w:font>
  <w:font w:name="Courier New">
    <w:charset w:val="00" w:characterSet="windows-1252"/>
    <w:family w:val="roman"/>
    <w:pitch w:val="variable"/>
  </w:font>
  <w:font w:name="Calibri">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41137345"/>
    </w:sdtPr>
    <w:sdtContent>
      <w:p>
        <w:pPr>
          <w:pStyle w:val="Footer"/>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5</w:t>
        </w:r>
        <w:r>
          <w:rPr>
            <w:sz w:val="24"/>
            <w:szCs w:val="24"/>
            <w:rFonts w:cs="Times New Roman" w:ascii="Times New Roman" w:hAnsi="Times New Roman"/>
          </w:rPr>
          <w:fldChar w:fldCharType="end"/>
        </w:r>
      </w:p>
    </w:sdtContent>
  </w:sdt>
  <w:p>
    <w:pPr>
      <w:pStyle w:val="Footer"/>
      <w:rPr>
        <w:rFonts w:ascii="Times New Roman" w:hAnsi="Times New Roman" w:cs="Times New Roman"/>
        <w:sz w:val="24"/>
        <w:szCs w:val="24"/>
      </w:rPr>
    </w:pPr>
    <w:r>
      <w:rPr>
        <w:rFonts w:cs="Times New Roman" w:ascii="Times New Roman" w:hAnsi="Times New Roman"/>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41137345"/>
    </w:sdtPr>
    <w:sdtContent>
      <w:p>
        <w:pPr>
          <w:pStyle w:val="Footer"/>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5</w:t>
        </w:r>
        <w:r>
          <w:rPr>
            <w:sz w:val="24"/>
            <w:szCs w:val="24"/>
            <w:rFonts w:cs="Times New Roman" w:ascii="Times New Roman" w:hAnsi="Times New Roman"/>
          </w:rPr>
          <w:fldChar w:fldCharType="end"/>
        </w:r>
      </w:p>
    </w:sdtContent>
  </w:sdt>
  <w:p>
    <w:pPr>
      <w:pStyle w:val="Footer"/>
      <w:rPr>
        <w:rFonts w:ascii="Times New Roman" w:hAnsi="Times New Roman" w:cs="Times New Roman"/>
        <w:sz w:val="24"/>
        <w:szCs w:val="24"/>
      </w:rPr>
    </w:pPr>
    <w:r>
      <w:rPr>
        <w:rFonts w:cs="Times New Roman" w:ascii="Times New Roman" w:hAnsi="Times New Roman"/>
        <w:sz w:val="24"/>
        <w:szCs w:val="2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060" w:type="dxa"/>
      <w:jc w:val="start"/>
      <w:tblInd w:w="0" w:type="dxa"/>
      <w:tblLayout w:type="fixed"/>
      <w:tblCellMar>
        <w:top w:w="0" w:type="dxa"/>
        <w:start w:w="108" w:type="dxa"/>
        <w:bottom w:w="0" w:type="dxa"/>
        <w:end w:w="108" w:type="dxa"/>
      </w:tblCellMar>
      <w:tblLook w:firstRow="1" w:noVBand="1" w:lastRow="0" w:firstColumn="1" w:lastColumn="0" w:noHBand="1" w:val="06a0"/>
    </w:tblPr>
    <w:tblGrid>
      <w:gridCol w:w="3020"/>
      <w:gridCol w:w="3020"/>
      <w:gridCol w:w="3020"/>
    </w:tblGrid>
    <w:tr>
      <w:trPr/>
      <w:tc>
        <w:tcPr>
          <w:tcW w:w="3020" w:type="dxa"/>
          <w:tcBorders/>
        </w:tcPr>
        <w:p>
          <w:pPr>
            <w:pStyle w:val="Header"/>
            <w:ind w:start="-115"/>
            <w:rPr/>
          </w:pPr>
          <w:r>
            <w:rPr/>
          </w:r>
        </w:p>
      </w:tc>
      <w:tc>
        <w:tcPr>
          <w:tcW w:w="3020" w:type="dxa"/>
          <w:tcBorders/>
        </w:tcPr>
        <w:p>
          <w:pPr>
            <w:pStyle w:val="Header"/>
            <w:jc w:val="center"/>
            <w:rPr/>
          </w:pPr>
          <w:r>
            <w:rPr/>
          </w:r>
        </w:p>
      </w:tc>
      <w:tc>
        <w:tcPr>
          <w:tcW w:w="3020" w:type="dxa"/>
          <w:tcBorders/>
        </w:tcPr>
        <w:p>
          <w:pPr>
            <w:pStyle w:val="Header"/>
            <w:ind w:end="-115"/>
            <w:jc w:val="end"/>
            <w:rPr/>
          </w:pPr>
          <w:r>
            <w:rPr/>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060" w:type="dxa"/>
      <w:jc w:val="start"/>
      <w:tblInd w:w="0" w:type="dxa"/>
      <w:tblLayout w:type="fixed"/>
      <w:tblCellMar>
        <w:top w:w="0" w:type="dxa"/>
        <w:start w:w="108" w:type="dxa"/>
        <w:bottom w:w="0" w:type="dxa"/>
        <w:end w:w="108" w:type="dxa"/>
      </w:tblCellMar>
      <w:tblLook w:firstRow="1" w:noVBand="1" w:lastRow="0" w:firstColumn="1" w:lastColumn="0" w:noHBand="1" w:val="06a0"/>
    </w:tblPr>
    <w:tblGrid>
      <w:gridCol w:w="3020"/>
      <w:gridCol w:w="3020"/>
      <w:gridCol w:w="3020"/>
    </w:tblGrid>
    <w:tr>
      <w:trPr/>
      <w:tc>
        <w:tcPr>
          <w:tcW w:w="3020" w:type="dxa"/>
          <w:tcBorders/>
        </w:tcPr>
        <w:p>
          <w:pPr>
            <w:pStyle w:val="Header"/>
            <w:ind w:start="-115"/>
            <w:rPr/>
          </w:pPr>
          <w:r>
            <w:rPr/>
          </w:r>
        </w:p>
      </w:tc>
      <w:tc>
        <w:tcPr>
          <w:tcW w:w="3020" w:type="dxa"/>
          <w:tcBorders/>
        </w:tcPr>
        <w:p>
          <w:pPr>
            <w:pStyle w:val="Header"/>
            <w:jc w:val="center"/>
            <w:rPr/>
          </w:pPr>
          <w:r>
            <w:rPr/>
          </w:r>
        </w:p>
      </w:tc>
      <w:tc>
        <w:tcPr>
          <w:tcW w:w="3020" w:type="dxa"/>
          <w:tcBorders/>
        </w:tcPr>
        <w:p>
          <w:pPr>
            <w:pStyle w:val="Header"/>
            <w:ind w:end="-115"/>
            <w:jc w:val="end"/>
            <w:rPr/>
          </w:pPr>
          <w:r>
            <w:rPr/>
          </w:r>
        </w:p>
      </w:tc>
    </w:tr>
  </w:tbl>
  <w:p>
    <w:pPr>
      <w:pStyle w:val="Header"/>
      <w:rPr/>
    </w:pPr>
    <w:r>
      <w:rPr/>
    </w:r>
  </w:p>
</w:hdr>
</file>

<file path=word/settings.xml><?xml version="1.0" encoding="utf-8"?>
<w:settings xmlns:w="http://schemas.openxmlformats.org/wordprocessingml/2006/main">
  <w:zoom w:percent="75"/>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docVars>
    <w:docVar w:name="__Grammarly_42____i" w:val="H4sIAAAAAAAEAKtWckksSQxILCpxzi/NK1GyMqwFAAEhoTITAAAA"/>
    <w:docVar w:name="__Grammarly_42___1" w:val="H4sIAAAAAAAEAKtWcslP9kxRslIyNDYyNzc1MzMzNDU2NzYwMzNX0lEKTi0uzszPAykwM6kFAFsHVEwtAAAA"/>
    <w:docVar w:name="EN.InstantFormat" w:val="&lt;ENInstantFormat&gt;&lt;Enabled&gt;1&lt;/Enabled&gt;&lt;ScanUnformatted&gt;1&lt;/ScanUnformatted&gt;&lt;ScanChanges&gt;1&lt;/ScanChanges&gt;&lt;Suspended&gt;0&lt;/Suspended&gt;&lt;/ENInstantFormat&gt;"/>
    <w:docVar w:name="EN.Layout" w:val="&lt;ENLayout&gt;&lt;Style&gt;Neu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5ef2vxwdep9de0wzqvwvslv9edva95e0da&quot;&gt;My EndNote Library&lt;record-ids&gt;&lt;item&gt;319&lt;/item&gt;&lt;item&gt;414&lt;/item&gt;&lt;item&gt;416&lt;/item&gt;&lt;item&gt;417&lt;/item&gt;&lt;item&gt;418&lt;/item&gt;&lt;item&gt;419&lt;/item&gt;&lt;item&gt;420&lt;/item&gt;&lt;item&gt;421&lt;/item&gt;&lt;item&gt;422&lt;/item&gt;&lt;item&gt;426&lt;/item&gt;&lt;item&gt;427&lt;/item&gt;&lt;item&gt;500&lt;/item&gt;&lt;item&gt;501&lt;/item&gt;&lt;item&gt;502&lt;/item&gt;&lt;item&gt;503&lt;/item&gt;&lt;item&gt;505&lt;/item&gt;&lt;item&gt;508&lt;/item&gt;&lt;item&gt;510&lt;/item&gt;&lt;item&gt;511&lt;/item&gt;&lt;item&gt;512&lt;/item&gt;&lt;item&gt;513&lt;/item&gt;&lt;item&gt;514&lt;/item&gt;&lt;item&gt;515&lt;/item&gt;&lt;item&gt;517&lt;/item&gt;&lt;item&gt;518&lt;/item&gt;&lt;item&gt;523&lt;/item&gt;&lt;item&gt;524&lt;/item&gt;&lt;item&gt;525&lt;/item&gt;&lt;item&gt;528&lt;/item&gt;&lt;item&gt;529&lt;/item&gt;&lt;item&gt;530&lt;/item&gt;&lt;item&gt;531&lt;/item&gt;&lt;item&gt;532&lt;/item&gt;&lt;item&gt;533&lt;/item&gt;&lt;item&gt;534&lt;/item&gt;&lt;item&gt;537&lt;/item&gt;&lt;item&gt;538&lt;/item&gt;&lt;item&gt;539&lt;/item&gt;&lt;item&gt;542&lt;/item&gt;&lt;item&gt;555&lt;/item&gt;&lt;item&gt;556&lt;/item&gt;&lt;item&gt;558&lt;/item&gt;&lt;item&gt;596&lt;/item&gt;&lt;item&gt;597&lt;/item&gt;&lt;item&gt;598&lt;/item&gt;&lt;item&gt;665&lt;/item&gt;&lt;/record-ids&gt;&lt;/item&gt;&lt;/Libraries&gt;"/>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46dc"/>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Heading1">
    <w:name w:val="heading 1"/>
    <w:basedOn w:val="Normal"/>
    <w:next w:val="Normal"/>
    <w:link w:val="berschrift1Zchn"/>
    <w:uiPriority w:val="9"/>
    <w:qFormat/>
    <w:rsid w:val="00822bdf"/>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paragraph" w:styleId="Heading2">
    <w:name w:val="heading 2"/>
    <w:basedOn w:val="Normal"/>
    <w:next w:val="Normal"/>
    <w:link w:val="berschrift2Zchn"/>
    <w:uiPriority w:val="9"/>
    <w:semiHidden/>
    <w:unhideWhenUsed/>
    <w:qFormat/>
    <w:rsid w:val="00e24965"/>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E74B5"/>
      <w:sz w:val="26"/>
      <w:szCs w:val="26"/>
    </w:rPr>
  </w:style>
  <w:style w:type="paragraph" w:styleId="Heading3">
    <w:name w:val="heading 3"/>
    <w:basedOn w:val="Normal"/>
    <w:link w:val="berschrift3Zchn"/>
    <w:uiPriority w:val="9"/>
    <w:qFormat/>
    <w:rsid w:val="006b041d"/>
    <w:pPr>
      <w:spacing w:lineRule="auto" w:line="240" w:beforeAutospacing="1" w:afterAutospacing="1"/>
      <w:outlineLvl w:val="2"/>
    </w:pPr>
    <w:rPr>
      <w:rFonts w:ascii="Times New Roman" w:hAnsi="Times New Roman" w:eastAsia="Times New Roman" w:cs="Times New Roman"/>
      <w:b/>
      <w:bCs/>
      <w:sz w:val="27"/>
      <w:szCs w:val="27"/>
      <w:lang w:eastAsia="de-DE"/>
    </w:rPr>
  </w:style>
  <w:style w:type="character" w:styleId="DefaultParagraphFont" w:default="1">
    <w:name w:val="Default Paragraph Font"/>
    <w:uiPriority w:val="1"/>
    <w:unhideWhenUsed/>
    <w:qFormat/>
    <w:rPr/>
  </w:style>
  <w:style w:type="character" w:styleId="berschrift1Zchn" w:customStyle="1">
    <w:name w:val="Überschrift 1 Zchn"/>
    <w:basedOn w:val="DefaultParagraphFont"/>
    <w:link w:val="Heading1"/>
    <w:uiPriority w:val="9"/>
    <w:qFormat/>
    <w:rsid w:val="00822bdf"/>
    <w:rPr>
      <w:rFonts w:ascii="Calibri Light" w:hAnsi="Calibri Light" w:eastAsia="" w:cs="" w:asciiTheme="majorHAnsi" w:cstheme="majorBidi" w:eastAsiaTheme="majorEastAsia" w:hAnsiTheme="majorHAnsi"/>
      <w:color w:themeColor="accent1" w:themeShade="bf" w:val="2E74B5"/>
      <w:sz w:val="32"/>
      <w:szCs w:val="32"/>
    </w:rPr>
  </w:style>
  <w:style w:type="character" w:styleId="berschrift2Zchn" w:customStyle="1">
    <w:name w:val="Überschrift 2 Zchn"/>
    <w:basedOn w:val="DefaultParagraphFont"/>
    <w:link w:val="Heading2"/>
    <w:uiPriority w:val="9"/>
    <w:semiHidden/>
    <w:qFormat/>
    <w:rsid w:val="00e24965"/>
    <w:rPr>
      <w:rFonts w:ascii="Calibri Light" w:hAnsi="Calibri Light" w:eastAsia="" w:cs="" w:asciiTheme="majorHAnsi" w:cstheme="majorBidi" w:eastAsiaTheme="majorEastAsia" w:hAnsiTheme="majorHAnsi"/>
      <w:color w:themeColor="accent1" w:themeShade="bf" w:val="2E74B5"/>
      <w:sz w:val="26"/>
      <w:szCs w:val="26"/>
    </w:rPr>
  </w:style>
  <w:style w:type="character" w:styleId="berschrift3Zchn" w:customStyle="1">
    <w:name w:val="Überschrift 3 Zchn"/>
    <w:basedOn w:val="DefaultParagraphFont"/>
    <w:link w:val="Heading3"/>
    <w:uiPriority w:val="9"/>
    <w:qFormat/>
    <w:rsid w:val="006b041d"/>
    <w:rPr>
      <w:rFonts w:ascii="Times New Roman" w:hAnsi="Times New Roman" w:eastAsia="Times New Roman" w:cs="Times New Roman"/>
      <w:b/>
      <w:bCs/>
      <w:sz w:val="27"/>
      <w:szCs w:val="27"/>
      <w:lang w:eastAsia="de-DE"/>
    </w:rPr>
  </w:style>
  <w:style w:type="character" w:styleId="Hyperlink">
    <w:name w:val="Hyperlink"/>
    <w:basedOn w:val="DefaultParagraphFont"/>
    <w:uiPriority w:val="99"/>
    <w:unhideWhenUsed/>
    <w:rsid w:val="00603fc7"/>
    <w:rPr>
      <w:color w:val="0000FF"/>
      <w:u w:val="single"/>
    </w:rPr>
  </w:style>
  <w:style w:type="character" w:styleId="hl" w:customStyle="1">
    <w:name w:val="hl"/>
    <w:basedOn w:val="DefaultParagraphFont"/>
    <w:qFormat/>
    <w:rsid w:val="00603518"/>
    <w:rPr/>
  </w:style>
  <w:style w:type="character" w:styleId="CommentReference">
    <w:name w:val="annotation reference"/>
    <w:uiPriority w:val="99"/>
    <w:qFormat/>
    <w:rsid w:val="00325f0b"/>
    <w:rPr>
      <w:sz w:val="18"/>
      <w:szCs w:val="18"/>
    </w:rPr>
  </w:style>
  <w:style w:type="character" w:styleId="KommentartextZchn" w:customStyle="1">
    <w:name w:val="Kommentartext Zchn"/>
    <w:basedOn w:val="DefaultParagraphFont"/>
    <w:link w:val="CommentText"/>
    <w:uiPriority w:val="99"/>
    <w:qFormat/>
    <w:rsid w:val="00325f0b"/>
    <w:rPr>
      <w:rFonts w:ascii="Times New Roman" w:hAnsi="Times New Roman" w:eastAsia="Times New Roman" w:cs="Times New Roman"/>
      <w:sz w:val="20"/>
      <w:szCs w:val="20"/>
      <w:lang w:val="en-US"/>
    </w:rPr>
  </w:style>
  <w:style w:type="character" w:styleId="SprechblasentextZchn" w:customStyle="1">
    <w:name w:val="Sprechblasentext Zchn"/>
    <w:basedOn w:val="DefaultParagraphFont"/>
    <w:link w:val="BalloonText"/>
    <w:uiPriority w:val="99"/>
    <w:semiHidden/>
    <w:qFormat/>
    <w:rsid w:val="00325f0b"/>
    <w:rPr>
      <w:rFonts w:ascii="Segoe UI" w:hAnsi="Segoe UI" w:cs="Segoe UI"/>
      <w:sz w:val="18"/>
      <w:szCs w:val="18"/>
    </w:rPr>
  </w:style>
  <w:style w:type="character" w:styleId="KopfzeileZchn" w:customStyle="1">
    <w:name w:val="Kopfzeile Zchn"/>
    <w:basedOn w:val="DefaultParagraphFont"/>
    <w:link w:val="Header"/>
    <w:uiPriority w:val="99"/>
    <w:qFormat/>
    <w:rsid w:val="00eb08f3"/>
    <w:rPr/>
  </w:style>
  <w:style w:type="character" w:styleId="FuzeileZchn" w:customStyle="1">
    <w:name w:val="Fußzeile Zchn"/>
    <w:basedOn w:val="DefaultParagraphFont"/>
    <w:link w:val="Footer"/>
    <w:uiPriority w:val="99"/>
    <w:qFormat/>
    <w:rsid w:val="00eb08f3"/>
    <w:rPr/>
  </w:style>
  <w:style w:type="character" w:styleId="KommentarthemaZchn" w:customStyle="1">
    <w:name w:val="Kommentarthema Zchn"/>
    <w:basedOn w:val="KommentartextZchn"/>
    <w:link w:val="annotationsubject"/>
    <w:uiPriority w:val="99"/>
    <w:semiHidden/>
    <w:qFormat/>
    <w:rsid w:val="00dc241f"/>
    <w:rPr>
      <w:rFonts w:ascii="Times New Roman" w:hAnsi="Times New Roman" w:eastAsia="Times New Roman" w:cs="Times New Roman"/>
      <w:b/>
      <w:bCs/>
      <w:sz w:val="20"/>
      <w:szCs w:val="20"/>
      <w:lang w:val="en-US"/>
    </w:rPr>
  </w:style>
  <w:style w:type="character" w:styleId="HTMLVorformatiertZchn" w:customStyle="1">
    <w:name w:val="HTML Vorformatiert Zchn"/>
    <w:basedOn w:val="DefaultParagraphFont"/>
    <w:link w:val="HTMLPreformatted"/>
    <w:uiPriority w:val="99"/>
    <w:semiHidden/>
    <w:qFormat/>
    <w:rsid w:val="00036004"/>
    <w:rPr>
      <w:rFonts w:ascii="Courier New" w:hAnsi="Courier New" w:eastAsia="Times New Roman" w:cs="Courier New"/>
      <w:sz w:val="20"/>
      <w:szCs w:val="20"/>
      <w:lang w:eastAsia="de-DE"/>
    </w:rPr>
  </w:style>
  <w:style w:type="character" w:styleId="apple-converted-space" w:customStyle="1">
    <w:name w:val="apple-converted-space"/>
    <w:qFormat/>
    <w:rsid w:val="001d6418"/>
    <w:rPr/>
  </w:style>
  <w:style w:type="character" w:styleId="jrnl" w:customStyle="1">
    <w:name w:val="jrnl"/>
    <w:basedOn w:val="DefaultParagraphFont"/>
    <w:qFormat/>
    <w:rsid w:val="001d6418"/>
    <w:rPr/>
  </w:style>
  <w:style w:type="character" w:styleId="EndNoteBibliographyZchn" w:customStyle="1">
    <w:name w:val="EndNote Bibliography Zchn"/>
    <w:basedOn w:val="DefaultParagraphFont"/>
    <w:link w:val="EndNoteBibliography"/>
    <w:qFormat/>
    <w:locked/>
    <w:rsid w:val="001778a0"/>
    <w:rPr>
      <w:rFonts w:ascii="Calibri" w:hAnsi="Calibri" w:cs="Calibri"/>
      <w:lang w:val="en-US"/>
    </w:rPr>
  </w:style>
  <w:style w:type="character" w:styleId="LineNumber">
    <w:name w:val="line number"/>
    <w:basedOn w:val="DefaultParagraphFont"/>
    <w:uiPriority w:val="99"/>
    <w:semiHidden/>
    <w:unhideWhenUsed/>
    <w:rsid w:val="009f292d"/>
    <w:rPr/>
  </w:style>
  <w:style w:type="character" w:styleId="NichtaufgelsteErwhnung1" w:customStyle="1">
    <w:name w:val="Nicht aufgelöste Erwähnung1"/>
    <w:basedOn w:val="DefaultParagraphFont"/>
    <w:uiPriority w:val="99"/>
    <w:semiHidden/>
    <w:unhideWhenUsed/>
    <w:qFormat/>
    <w:rsid w:val="008c0296"/>
    <w:rPr>
      <w:color w:val="605E5C"/>
      <w:shd w:fill="E1DFDD" w:val="clear"/>
    </w:rPr>
  </w:style>
  <w:style w:type="character" w:styleId="EndNoteBibliographyTitleZchn" w:customStyle="1">
    <w:name w:val="EndNote Bibliography Title Zchn"/>
    <w:basedOn w:val="DefaultParagraphFont"/>
    <w:link w:val="EndNoteBibliographyTitle"/>
    <w:qFormat/>
    <w:rsid w:val="000938e6"/>
    <w:rPr>
      <w:rFonts w:ascii="Calibri" w:hAnsi="Calibri" w:cs="Calibri"/>
      <w:lang w:val="en-US"/>
    </w:rPr>
  </w:style>
  <w:style w:type="character" w:styleId="FollowedHyperlink">
    <w:name w:val="FollowedHyperlink"/>
    <w:basedOn w:val="DefaultParagraphFont"/>
    <w:uiPriority w:val="99"/>
    <w:semiHidden/>
    <w:unhideWhenUsed/>
    <w:rsid w:val="00b61a99"/>
    <w:rPr>
      <w:color w:themeColor="followedHyperlink" w:val="954F72"/>
      <w:u w:val="single"/>
    </w:rPr>
  </w:style>
  <w:style w:type="character" w:styleId="NichtaufgelsteErwhnung2" w:customStyle="1">
    <w:name w:val="Nicht aufgelöste Erwähnung2"/>
    <w:basedOn w:val="DefaultParagraphFont"/>
    <w:uiPriority w:val="99"/>
    <w:semiHidden/>
    <w:unhideWhenUsed/>
    <w:qFormat/>
    <w:rsid w:val="002c381e"/>
    <w:rPr>
      <w:color w:val="605E5C"/>
      <w:shd w:fill="E1DFDD" w:val="clear"/>
    </w:rPr>
  </w:style>
  <w:style w:type="character" w:styleId="NichtaufgelsteErwhnung3" w:customStyle="1">
    <w:name w:val="Nicht aufgelöste Erwähnung3"/>
    <w:basedOn w:val="DefaultParagraphFont"/>
    <w:uiPriority w:val="99"/>
    <w:semiHidden/>
    <w:unhideWhenUsed/>
    <w:qFormat/>
    <w:rsid w:val="00b26cda"/>
    <w:rPr>
      <w:color w:val="605E5C"/>
      <w:shd w:fill="E1DFDD" w:val="clear"/>
    </w:rPr>
  </w:style>
  <w:style w:type="character" w:styleId="docsum-journal-citation" w:customStyle="1">
    <w:name w:val="docsum-journal-citation"/>
    <w:basedOn w:val="DefaultParagraphFont"/>
    <w:qFormat/>
    <w:rsid w:val="006d0824"/>
    <w:rPr/>
  </w:style>
  <w:style w:type="character" w:styleId="highlight" w:customStyle="1">
    <w:name w:val="highlight"/>
    <w:basedOn w:val="DefaultParagraphFont"/>
    <w:qFormat/>
    <w:rsid w:val="00fd5446"/>
    <w:rPr/>
  </w:style>
  <w:style w:type="character" w:styleId="identifier" w:customStyle="1">
    <w:name w:val="identifier"/>
    <w:basedOn w:val="DefaultParagraphFont"/>
    <w:qFormat/>
    <w:rsid w:val="00a31a38"/>
    <w:rPr/>
  </w:style>
  <w:style w:type="character" w:styleId="NichtaufgelsteErwhnung4" w:customStyle="1">
    <w:name w:val="Nicht aufgelöste Erwähnung4"/>
    <w:basedOn w:val="DefaultParagraphFont"/>
    <w:uiPriority w:val="99"/>
    <w:semiHidden/>
    <w:unhideWhenUsed/>
    <w:qFormat/>
    <w:rsid w:val="00363f91"/>
    <w:rPr>
      <w:color w:val="605E5C"/>
      <w:shd w:fill="E1DFDD" w:val="clear"/>
    </w:rPr>
  </w:style>
  <w:style w:type="character" w:styleId="Strong">
    <w:name w:val="Strong"/>
    <w:basedOn w:val="DefaultParagraphFont"/>
    <w:uiPriority w:val="22"/>
    <w:qFormat/>
    <w:rsid w:val="004e3862"/>
    <w:rPr>
      <w:b/>
      <w:bCs/>
    </w:rPr>
  </w:style>
  <w:style w:type="character" w:styleId="UnresolvedMention">
    <w:name w:val="Unresolved Mention"/>
    <w:basedOn w:val="DefaultParagraphFont"/>
    <w:uiPriority w:val="99"/>
    <w:semiHidden/>
    <w:unhideWhenUsed/>
    <w:qFormat/>
    <w:rsid w:val="0068222c"/>
    <w:rPr>
      <w:color w:val="605E5C"/>
      <w:shd w:fill="E1DFDD" w:val="clear"/>
    </w:rPr>
  </w:style>
  <w:style w:type="character" w:styleId="normaltextrun" w:customStyle="1">
    <w:name w:val="normaltextrun"/>
    <w:basedOn w:val="DefaultParagraphFont"/>
    <w:qFormat/>
    <w:rsid w:val="00f60250"/>
    <w:rPr/>
  </w:style>
  <w:style w:type="character" w:styleId="eop" w:customStyle="1">
    <w:name w:val="eop"/>
    <w:basedOn w:val="DefaultParagraphFont"/>
    <w:qFormat/>
    <w:rsid w:val="00f60250"/>
    <w:rPr/>
  </w:style>
  <w:style w:type="character" w:styleId="s1" w:customStyle="1">
    <w:name w:val="s1"/>
    <w:basedOn w:val="DefaultParagraphFont"/>
    <w:qFormat/>
    <w:rsid w:val="00432b85"/>
    <w:rPr/>
  </w:style>
  <w:style w:type="character" w:styleId="PlaceholderText">
    <w:name w:val="Placeholder Text"/>
    <w:basedOn w:val="DefaultParagraphFont"/>
    <w:uiPriority w:val="99"/>
    <w:semiHidden/>
    <w:qFormat/>
    <w:rsid w:val="00a81cf0"/>
    <w:rPr>
      <w:color w:val="66666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66bbc"/>
    <w:pPr>
      <w:spacing w:before="0" w:after="160"/>
      <w:ind w:start="720"/>
      <w:contextualSpacing/>
    </w:pPr>
    <w:rPr/>
  </w:style>
  <w:style w:type="paragraph" w:styleId="NormalWeb">
    <w:name w:val="Normal (Web)"/>
    <w:basedOn w:val="Normal"/>
    <w:uiPriority w:val="99"/>
    <w:unhideWhenUsed/>
    <w:qFormat/>
    <w:rsid w:val="006b041d"/>
    <w:pPr>
      <w:spacing w:lineRule="auto" w:line="240" w:beforeAutospacing="1" w:afterAutospacing="1"/>
    </w:pPr>
    <w:rPr>
      <w:rFonts w:ascii="Times New Roman" w:hAnsi="Times New Roman" w:eastAsia="Times New Roman" w:cs="Times New Roman"/>
      <w:sz w:val="24"/>
      <w:szCs w:val="24"/>
      <w:lang w:eastAsia="de-DE"/>
    </w:rPr>
  </w:style>
  <w:style w:type="paragraph" w:styleId="Default" w:customStyle="1">
    <w:name w:val="Default"/>
    <w:qFormat/>
    <w:rsid w:val="000c13ed"/>
    <w:pPr>
      <w:widowControl/>
      <w:bidi w:val="0"/>
      <w:spacing w:lineRule="auto" w:line="240" w:before="0" w:after="0"/>
      <w:jc w:val="start"/>
    </w:pPr>
    <w:rPr>
      <w:rFonts w:ascii="Arial" w:hAnsi="Arial" w:cs="Arial" w:eastAsia="Calibri"/>
      <w:color w:val="000000"/>
      <w:kern w:val="0"/>
      <w:sz w:val="24"/>
      <w:szCs w:val="24"/>
      <w:lang w:val="de-DE" w:eastAsia="en-US" w:bidi="ar-SA"/>
    </w:rPr>
  </w:style>
  <w:style w:type="paragraph" w:styleId="CommentText">
    <w:name w:val="annotation text"/>
    <w:basedOn w:val="Normal"/>
    <w:link w:val="KommentartextZchn"/>
    <w:uiPriority w:val="99"/>
    <w:rsid w:val="00325f0b"/>
    <w:pPr>
      <w:spacing w:lineRule="auto" w:line="240" w:before="0" w:after="0"/>
    </w:pPr>
    <w:rPr>
      <w:rFonts w:ascii="Times New Roman" w:hAnsi="Times New Roman" w:eastAsia="Times New Roman" w:cs="Times New Roman"/>
      <w:sz w:val="20"/>
      <w:szCs w:val="20"/>
      <w:lang w:val="en-US"/>
    </w:rPr>
  </w:style>
  <w:style w:type="paragraph" w:styleId="BalloonText">
    <w:name w:val="Balloon Text"/>
    <w:basedOn w:val="Normal"/>
    <w:link w:val="SprechblasentextZchn"/>
    <w:uiPriority w:val="99"/>
    <w:semiHidden/>
    <w:unhideWhenUsed/>
    <w:qFormat/>
    <w:rsid w:val="00325f0b"/>
    <w:pPr>
      <w:spacing w:lineRule="auto" w:line="240" w:before="0" w:after="0"/>
    </w:pPr>
    <w:rPr>
      <w:rFonts w:ascii="Segoe UI" w:hAnsi="Segoe UI" w:cs="Segoe UI"/>
      <w:sz w:val="18"/>
      <w:szCs w:val="18"/>
    </w:rPr>
  </w:style>
  <w:style w:type="paragraph" w:styleId="HeaderandFooter">
    <w:name w:val="Header and Footer"/>
    <w:basedOn w:val="Normal"/>
    <w:qFormat/>
    <w:pPr/>
    <w:rPr/>
  </w:style>
  <w:style w:type="paragraph" w:styleId="Header">
    <w:name w:val="header"/>
    <w:basedOn w:val="Normal"/>
    <w:link w:val="KopfzeileZchn"/>
    <w:uiPriority w:val="99"/>
    <w:unhideWhenUsed/>
    <w:rsid w:val="00eb08f3"/>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eb08f3"/>
    <w:pPr>
      <w:tabs>
        <w:tab w:val="clear" w:pos="708"/>
        <w:tab w:val="center" w:pos="4536" w:leader="none"/>
        <w:tab w:val="right" w:pos="9072" w:leader="none"/>
      </w:tabs>
      <w:spacing w:lineRule="auto" w:line="240" w:before="0" w:after="0"/>
    </w:pPr>
    <w:rPr/>
  </w:style>
  <w:style w:type="paragraph" w:styleId="annotationsubject">
    <w:name w:val="annotation subject"/>
    <w:basedOn w:val="CommentText"/>
    <w:next w:val="CommentText"/>
    <w:link w:val="KommentarthemaZchn"/>
    <w:uiPriority w:val="99"/>
    <w:semiHidden/>
    <w:unhideWhenUsed/>
    <w:qFormat/>
    <w:rsid w:val="00dc241f"/>
    <w:pPr>
      <w:spacing w:before="0" w:after="160"/>
    </w:pPr>
    <w:rPr>
      <w:rFonts w:ascii="Calibri" w:hAnsi="Calibri" w:eastAsia="Calibri" w:cs="" w:asciiTheme="minorHAnsi" w:cstheme="minorBidi" w:eastAsiaTheme="minorHAnsi" w:hAnsiTheme="minorHAnsi"/>
      <w:b/>
      <w:bCs/>
      <w:lang w:val="de-DE"/>
    </w:rPr>
  </w:style>
  <w:style w:type="paragraph" w:styleId="HTMLPreformatted">
    <w:name w:val="HTML Preformatted"/>
    <w:basedOn w:val="Normal"/>
    <w:link w:val="HTMLVorformatiertZchn"/>
    <w:uiPriority w:val="99"/>
    <w:semiHidden/>
    <w:unhideWhenUsed/>
    <w:qFormat/>
    <w:rsid w:val="00036004"/>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de-DE"/>
    </w:rPr>
  </w:style>
  <w:style w:type="paragraph" w:styleId="desc" w:customStyle="1">
    <w:name w:val="desc"/>
    <w:basedOn w:val="Normal"/>
    <w:qFormat/>
    <w:rsid w:val="001d6418"/>
    <w:pPr>
      <w:spacing w:lineRule="auto" w:line="240" w:before="0" w:after="0"/>
    </w:pPr>
    <w:rPr>
      <w:rFonts w:ascii="Times New Roman" w:hAnsi="Times New Roman" w:cs="Times New Roman"/>
      <w:sz w:val="24"/>
      <w:szCs w:val="24"/>
      <w:lang w:eastAsia="de-DE"/>
    </w:rPr>
  </w:style>
  <w:style w:type="paragraph" w:styleId="details" w:customStyle="1">
    <w:name w:val="details"/>
    <w:basedOn w:val="Normal"/>
    <w:qFormat/>
    <w:rsid w:val="001d6418"/>
    <w:pPr>
      <w:spacing w:lineRule="auto" w:line="240" w:before="0" w:after="0"/>
    </w:pPr>
    <w:rPr>
      <w:rFonts w:ascii="Times New Roman" w:hAnsi="Times New Roman" w:cs="Times New Roman"/>
      <w:sz w:val="24"/>
      <w:szCs w:val="24"/>
      <w:lang w:eastAsia="de-DE"/>
    </w:rPr>
  </w:style>
  <w:style w:type="paragraph" w:styleId="EndNoteBibliography" w:customStyle="1">
    <w:name w:val="EndNote Bibliography"/>
    <w:basedOn w:val="Normal"/>
    <w:link w:val="EndNoteBibliographyZchn"/>
    <w:qFormat/>
    <w:rsid w:val="001778a0"/>
    <w:pPr>
      <w:spacing w:lineRule="auto" w:line="240" w:before="0" w:after="200"/>
      <w:jc w:val="both"/>
    </w:pPr>
    <w:rPr>
      <w:rFonts w:ascii="Calibri" w:hAnsi="Calibri" w:cs="Calibri"/>
      <w:lang w:val="en-US"/>
    </w:rPr>
  </w:style>
  <w:style w:type="paragraph" w:styleId="EndNoteBibliographyTitle" w:customStyle="1">
    <w:name w:val="EndNote Bibliography Title"/>
    <w:basedOn w:val="Normal"/>
    <w:link w:val="EndNoteBibliographyTitleZchn"/>
    <w:qFormat/>
    <w:rsid w:val="000938e6"/>
    <w:pPr>
      <w:spacing w:before="0" w:after="0"/>
      <w:jc w:val="center"/>
    </w:pPr>
    <w:rPr>
      <w:rFonts w:ascii="Calibri" w:hAnsi="Calibri" w:cs="Calibri"/>
      <w:lang w:val="en-US"/>
    </w:rPr>
  </w:style>
  <w:style w:type="paragraph" w:styleId="Bibliography">
    <w:name w:val="Bibliography"/>
    <w:basedOn w:val="Normal"/>
    <w:next w:val="Normal"/>
    <w:uiPriority w:val="37"/>
    <w:unhideWhenUsed/>
    <w:qFormat/>
    <w:rsid w:val="00194aaf"/>
    <w:pPr>
      <w:spacing w:lineRule="auto" w:line="480" w:before="0" w:after="0"/>
      <w:ind w:hanging="720" w:start="720"/>
    </w:pPr>
    <w:rPr/>
  </w:style>
  <w:style w:type="paragraph" w:styleId="Revision">
    <w:name w:val="Revision"/>
    <w:uiPriority w:val="99"/>
    <w:semiHidden/>
    <w:qFormat/>
    <w:rsid w:val="00a45fd9"/>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paragraph" w:customStyle="1">
    <w:name w:val="paragraph"/>
    <w:basedOn w:val="Normal"/>
    <w:qFormat/>
    <w:rsid w:val="00f60250"/>
    <w:pPr>
      <w:spacing w:lineRule="auto" w:line="240" w:beforeAutospacing="1" w:afterAutospacing="1"/>
    </w:pPr>
    <w:rPr>
      <w:rFonts w:ascii="Times New Roman" w:hAnsi="Times New Roman" w:eastAsia="Times New Roman" w:cs="Times New Roman"/>
      <w:sz w:val="24"/>
      <w:szCs w:val="24"/>
      <w:lang w:eastAsia="de-DE"/>
    </w:rPr>
  </w:style>
  <w:style w:type="paragraph" w:styleId="p1" w:customStyle="1">
    <w:name w:val="p1"/>
    <w:basedOn w:val="Normal"/>
    <w:qFormat/>
    <w:rsid w:val="00f60250"/>
    <w:pPr>
      <w:spacing w:lineRule="auto" w:line="240" w:beforeAutospacing="1" w:afterAutospacing="1"/>
    </w:pPr>
    <w:rPr>
      <w:rFonts w:ascii="Times New Roman" w:hAnsi="Times New Roman" w:eastAsia="Times New Roman" w:cs="Times New Roman"/>
      <w:sz w:val="24"/>
      <w:szCs w:val="24"/>
      <w:lang w:eastAsia="de-DE"/>
    </w:rPr>
  </w:style>
  <w:style w:type="paragraph" w:styleId="p2" w:customStyle="1">
    <w:name w:val="p2"/>
    <w:basedOn w:val="Normal"/>
    <w:qFormat/>
    <w:rsid w:val="00432b85"/>
    <w:pPr>
      <w:spacing w:lineRule="auto" w:line="240" w:beforeAutospacing="1" w:afterAutospacing="1"/>
    </w:pPr>
    <w:rPr>
      <w:rFonts w:ascii="Times New Roman" w:hAnsi="Times New Roman" w:eastAsia="Times New Roman" w:cs="Times New Roman"/>
      <w:sz w:val="24"/>
      <w:szCs w:val="24"/>
      <w:lang w:eastAsia="de-DE"/>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9939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EinfacheTabelle3">
    <w:name w:val="Plain Table 3"/>
    <w:basedOn w:val="NormaleTabelle"/>
    <w:uiPriority w:val="43"/>
    <w:rsid w:val="005319a8"/>
    <w:pPr>
      <w:spacing w:after="0" w:line="240" w:lineRule="auto"/>
    </w:pPr>
    <w:tblPr>
      <w:tblStyleRowBandSize w:val="1"/>
      <w:tblStyleColBandSize w:val="1"/>
    </w:tblPr>
    <w:tblStylePr w:type="firstRow">
      <w:rPr>
        <w:b/>
        <w:bCs/>
        <w:caps/>
      </w:rPr>
      <w:tblPr/>
      <w:tcPr>
        <w:tcBorders>
          <w:bottom w:val="single" w:color="7F7F7F" w:themeColor="text1"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5319a8"/>
    <w:pPr>
      <w:spacing w:after="0" w:line="240" w:lineRule="auto"/>
    </w:pPr>
    <w:tblPr>
      <w:tblStyleRowBandSize w:val="1"/>
      <w:tblStyleColBandSize w:val="1"/>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5319a8"/>
    <w:pPr>
      <w:spacing w:after="0" w:line="240" w:lineRule="auto"/>
    </w:pPr>
    <w:tblPr>
      <w:tblStyleRowBandSize w:val="1"/>
      <w:tblStyleColBandSize w:val="1"/>
    </w:tblPr>
    <w:tblStylePr w:type="firstRow">
      <w:rPr>
        <w:rFonts w:asciiTheme="majorHAnsi" w:hAnsiTheme="majorHAnsi" w:eastAsiaTheme="majorEastAsia" w:cstheme="majorBidi"/>
        <w:i/>
        <w:sz w:val="26"/>
      </w:rPr>
      <w:tblPr/>
      <w:tcPr>
        <w:tcBorders>
          <w:bottom w:val="single" w:color="7F7F7F" w:themeColor="text1"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7F7F7F" w:themeColor="text1"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7F7F7F" w:themeColor="text1"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7F7F7F" w:themeColor="text1"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1hellAkzent1">
    <w:name w:val="List Table 1 Light Accent 1"/>
    <w:basedOn w:val="NormaleTabelle"/>
    <w:uiPriority w:val="46"/>
    <w:rsid w:val="005319a8"/>
    <w:pPr>
      <w:spacing w:after="0" w:line="240" w:lineRule="auto"/>
    </w:pPr>
    <w:tblPr>
      <w:tblStyleRowBandSize w:val="1"/>
      <w:tblStyleColBandSize w:val="1"/>
    </w:tblPr>
    <w:tblStylePr w:type="firstRow">
      <w:rPr>
        <w:b/>
        <w:bCs/>
      </w:rPr>
      <w:tblPr/>
      <w:tcPr>
        <w:tcBorders>
          <w:bottom w:val="single" w:color="9CC2E5" w:themeColor="accent1" w:sz="4" w:space="0"/>
        </w:tcBorders>
      </w:tcPr>
    </w:tblStylePr>
    <w:tblStylePr w:type="lastRow">
      <w:rPr>
        <w:b/>
        <w:bCs/>
      </w:rPr>
      <w:tblPr/>
      <w:tcPr>
        <w:tcBorders>
          <w:top w:val="single" w:color="9CC2E5" w:themeColor="accent1" w:sz="4" w:space="0"/>
        </w:tcBorders>
      </w:tcPr>
    </w:tblStylePr>
    <w:tblStylePr w:type="firstCol">
      <w:rPr>
        <w:b/>
        <w:bCs/>
      </w:rPr>
      <w:tblPr/>
    </w:tblStylePr>
    <w:tblStylePr w:type="lastCol">
      <w:rPr>
        <w:b/>
        <w:bCs/>
      </w:rPr>
      <w:tbl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EinfacheTabelle2">
    <w:name w:val="Plain Table 2"/>
    <w:basedOn w:val="NormaleTabelle"/>
    <w:uiPriority w:val="42"/>
    <w:rsid w:val="002f42c4"/>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glossaryDocument" Target="glossary/document.xml"/><Relationship Id="rId14" Type="http://schemas.openxmlformats.org/officeDocument/2006/relationships/customXml" Target="../customXml/item1.xml"/>
</Relationships>
</file>

<file path=word/glossary/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FBCB4F31-0950-4925-9C23-E89669F8ED6B}"/>
      </w:docPartPr>
      <w:docPartBody>
        <w:p w:rsidR="001721CF" w:rsidRDefault="00F63B6A">
          <w:r w:rsidRPr="00354E81">
            <w:rPr>
              <w:rStyle w:val="Platzhaltertext"/>
            </w:rPr>
            <w:t>Klicken oder tippen Sie hier, um Text einzugeben.</w:t>
          </w:r>
        </w:p>
      </w:docPartBody>
    </w:docPart>
    <w:docPart>
      <w:docPartPr>
        <w:name w:val="5C367D3D11F54A7995EE7CC5E063D53F"/>
        <w:category>
          <w:name w:val="Allgemein"/>
          <w:gallery w:val="placeholder"/>
        </w:category>
        <w:types>
          <w:type w:val="bbPlcHdr"/>
        </w:types>
        <w:behaviors>
          <w:behavior w:val="content"/>
        </w:behaviors>
        <w:guid w:val="{EF177F7C-82FC-4643-9F68-E8173AB2BD08}"/>
      </w:docPartPr>
      <w:docPartBody>
        <w:p w:rsidR="00447E21" w:rsidRDefault="00244CA4" w:rsidP="00244CA4">
          <w:pPr>
            <w:pStyle w:val="5C367D3D11F54A7995EE7CC5E063D53F"/>
          </w:pPr>
          <w:r w:rsidRPr="00354E81">
            <w:rPr>
              <w:rStyle w:val="Platzhaltertext"/>
            </w:rPr>
            <w:t>Klicken oder tippen Sie hier, um Text einzugeben.</w:t>
          </w:r>
        </w:p>
      </w:docPartBody>
    </w:docPart>
    <w:docPart>
      <w:docPartPr>
        <w:name w:val="FF1077A7B25A45CAACE5E9C0BBE8FA2A"/>
        <w:category>
          <w:name w:val="Allgemein"/>
          <w:gallery w:val="placeholder"/>
        </w:category>
        <w:types>
          <w:type w:val="bbPlcHdr"/>
        </w:types>
        <w:behaviors>
          <w:behavior w:val="content"/>
        </w:behaviors>
        <w:guid w:val="{B5A6A4C4-5A6C-4591-AACB-96B9FEC6058C}"/>
      </w:docPartPr>
      <w:docPartBody>
        <w:p w:rsidR="00000000" w:rsidRDefault="007C3AF7" w:rsidP="007C3AF7">
          <w:pPr>
            <w:pStyle w:val="FF1077A7B25A45CAACE5E9C0BBE8FA2A"/>
          </w:pPr>
          <w:r w:rsidRPr="00354E8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B6A"/>
    <w:rsid w:val="0003375F"/>
    <w:rsid w:val="000737FD"/>
    <w:rsid w:val="000A63F9"/>
    <w:rsid w:val="000B5907"/>
    <w:rsid w:val="000F337E"/>
    <w:rsid w:val="001721CF"/>
    <w:rsid w:val="001A6557"/>
    <w:rsid w:val="001B78D0"/>
    <w:rsid w:val="001D5B35"/>
    <w:rsid w:val="001D7044"/>
    <w:rsid w:val="0023475F"/>
    <w:rsid w:val="00244CA4"/>
    <w:rsid w:val="00255885"/>
    <w:rsid w:val="0031042E"/>
    <w:rsid w:val="00336E7D"/>
    <w:rsid w:val="003C5099"/>
    <w:rsid w:val="003E2B67"/>
    <w:rsid w:val="00447E21"/>
    <w:rsid w:val="00482173"/>
    <w:rsid w:val="004D12C8"/>
    <w:rsid w:val="00511912"/>
    <w:rsid w:val="0052181E"/>
    <w:rsid w:val="0054101B"/>
    <w:rsid w:val="00585DF9"/>
    <w:rsid w:val="005E449E"/>
    <w:rsid w:val="006072E0"/>
    <w:rsid w:val="006D531B"/>
    <w:rsid w:val="00762AAE"/>
    <w:rsid w:val="0079167B"/>
    <w:rsid w:val="00791BA1"/>
    <w:rsid w:val="007B7163"/>
    <w:rsid w:val="007C3AF7"/>
    <w:rsid w:val="007F0B92"/>
    <w:rsid w:val="008E46BD"/>
    <w:rsid w:val="0095664E"/>
    <w:rsid w:val="00984C57"/>
    <w:rsid w:val="00A056A1"/>
    <w:rsid w:val="00A511BF"/>
    <w:rsid w:val="00B1153B"/>
    <w:rsid w:val="00B2060B"/>
    <w:rsid w:val="00BC1FC2"/>
    <w:rsid w:val="00BF775B"/>
    <w:rsid w:val="00C810E6"/>
    <w:rsid w:val="00C96617"/>
    <w:rsid w:val="00CA423D"/>
    <w:rsid w:val="00CD21DA"/>
    <w:rsid w:val="00CE16C4"/>
    <w:rsid w:val="00D47E6E"/>
    <w:rsid w:val="00D64E90"/>
    <w:rsid w:val="00DD4396"/>
    <w:rsid w:val="00E04722"/>
    <w:rsid w:val="00EA2185"/>
    <w:rsid w:val="00ED1322"/>
    <w:rsid w:val="00F63B6A"/>
    <w:rsid w:val="00FA43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C3AF7"/>
    <w:rPr>
      <w:color w:val="666666"/>
    </w:rPr>
  </w:style>
  <w:style w:type="paragraph" w:customStyle="1" w:styleId="5C367D3D11F54A7995EE7CC5E063D53F">
    <w:name w:val="5C367D3D11F54A7995EE7CC5E063D53F"/>
    <w:rsid w:val="00244CA4"/>
  </w:style>
  <w:style w:type="paragraph" w:customStyle="1" w:styleId="FF1077A7B25A45CAACE5E9C0BBE8FA2A">
    <w:name w:val="FF1077A7B25A45CAACE5E9C0BBE8FA2A"/>
    <w:rsid w:val="007C3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81A12-7E5C-45A6-844C-977939BAB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LibreOffice/25.8.0.4$Windows_X86_64 LibreOffice_project/48f00303701489684e67c38c28aff00cd5929e67</Application>
  <AppVersion>15.0000</AppVersion>
  <Pages>5</Pages>
  <Words>812</Words>
  <Characters>4475</Characters>
  <CharactersWithSpaces>5137</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2026-03-24T16:41:00Z</dcterms:created>
  <dc:creator/>
  <dc:description/>
  <dc:language>en-US</dc:language>
  <cp:lastModifiedBy/>
  <dcterms:modified xsi:type="dcterms:W3CDTF">2026-08-05T09:26:02Z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http://www.zotero.org/styles/nature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http://www.zotero.org/styles/journal-of-neurochemistry</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Journal of Neurochemistry</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Nature</vt:lpwstr>
  </property>
  <property fmtid="{D5CDD505-2E9C-101B-9397-08002B2CF9AE}" pid="24" name="Mendeley Unique User Id_1">
    <vt:lpwstr>4873c634-2bbf-3936-ab2b-16234be7e885</vt:lpwstr>
  </property>
  <property fmtid="{D5CDD505-2E9C-101B-9397-08002B2CF9AE}" pid="25" name="ZOTERO_PREF_1">
    <vt:lpwstr>&lt;data data-version="3" zotero-version="7.0.27"&gt;&lt;session id="7vGZLNte"/&gt;&lt;style id="http://www.zotero.org/styles/apa" locale="de-DE"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