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2100DB">
      <w:pPr>
        <w:jc w:val="left"/>
        <w:rPr>
          <w:rFonts w:hint="default" w:ascii="Arial" w:hAnsi="Arial" w:cs="Arial"/>
          <w:b/>
          <w:sz w:val="22"/>
        </w:rPr>
      </w:pPr>
      <w:r>
        <w:rPr>
          <w:b/>
          <w:i w:val="0"/>
        </w:rPr>
        <w:t>Supplementary Table 1. Standardized mean differences before and after matching.</w:t>
      </w:r>
    </w:p>
    <w:p w14:paraId="23946474">
      <w:pPr>
        <w:jc w:val="left"/>
        <w:rPr>
          <w:rFonts w:hint="default" w:ascii="Arial" w:hAnsi="Arial" w:cs="Arial"/>
          <w:b/>
          <w:sz w:val="22"/>
        </w:rPr>
      </w:pPr>
    </w:p>
    <w:tbl>
      <w:tblPr>
        <w:tblStyle w:val="4"/>
        <w:tblW w:w="9553" w:type="dxa"/>
        <w:tblInd w:w="-5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6"/>
        <w:gridCol w:w="3073"/>
        <w:gridCol w:w="3074"/>
      </w:tblGrid>
      <w:tr w14:paraId="7915C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6" w:type="dxa"/>
          </w:tcPr>
          <w:p w14:paraId="295FF077">
            <w:pPr>
              <w:widowControl w:val="0"/>
              <w:spacing w:after="0" w:line="240" w:lineRule="auto"/>
              <w:jc w:val="both"/>
              <w:rPr>
                <w:rFonts w:hint="default" w:ascii="Arial" w:hAnsi="Arial" w:cs="Arial" w:eastAsiaTheme="minorEastAsia"/>
                <w:b/>
                <w:bCs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Arial" w:hAnsi="Arial" w:cs="Arial" w:eastAsiaTheme="minorEastAsia"/>
                <w:b/>
                <w:bCs/>
                <w:kern w:val="2"/>
                <w:sz w:val="18"/>
                <w:szCs w:val="18"/>
                <w:lang w:eastAsia="zh-CN"/>
              </w:rPr>
              <w:t>Variable</w:t>
            </w:r>
          </w:p>
        </w:tc>
        <w:tc>
          <w:tcPr>
            <w:tcW w:w="3073" w:type="dxa"/>
          </w:tcPr>
          <w:p w14:paraId="4248D7A1">
            <w:pPr>
              <w:widowControl w:val="0"/>
              <w:spacing w:after="0" w:line="240" w:lineRule="auto"/>
              <w:jc w:val="center"/>
              <w:rPr>
                <w:rFonts w:hint="default" w:ascii="Arial" w:hAnsi="Arial" w:cs="Arial" w:eastAsiaTheme="minorEastAsia"/>
                <w:b/>
                <w:bCs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Arial" w:hAnsi="Arial" w:cs="Arial" w:eastAsiaTheme="minorEastAsia"/>
                <w:b/>
                <w:bCs/>
                <w:kern w:val="2"/>
                <w:sz w:val="18"/>
                <w:szCs w:val="18"/>
                <w:lang w:eastAsia="zh-CN"/>
              </w:rPr>
              <w:t>SMD Before</w:t>
            </w:r>
          </w:p>
        </w:tc>
        <w:tc>
          <w:tcPr>
            <w:tcW w:w="3074" w:type="dxa"/>
          </w:tcPr>
          <w:p w14:paraId="483B4713">
            <w:pPr>
              <w:widowControl w:val="0"/>
              <w:spacing w:after="0" w:line="240" w:lineRule="auto"/>
              <w:jc w:val="center"/>
              <w:rPr>
                <w:rFonts w:hint="default" w:ascii="Arial" w:hAnsi="Arial" w:cs="Arial" w:eastAsiaTheme="minorEastAsia"/>
                <w:b/>
                <w:bCs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Arial" w:hAnsi="Arial" w:cs="Arial" w:eastAsiaTheme="minorEastAsia"/>
                <w:b/>
                <w:bCs/>
                <w:kern w:val="2"/>
                <w:sz w:val="18"/>
                <w:szCs w:val="18"/>
                <w:lang w:eastAsia="zh-CN"/>
              </w:rPr>
              <w:t>SMD After</w:t>
            </w:r>
          </w:p>
        </w:tc>
      </w:tr>
      <w:tr w14:paraId="1E362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6" w:type="dxa"/>
          </w:tcPr>
          <w:p w14:paraId="730F1978">
            <w:pPr>
              <w:widowControl w:val="0"/>
              <w:spacing w:after="0" w:line="240" w:lineRule="auto"/>
              <w:jc w:val="both"/>
              <w:rPr>
                <w:rFonts w:hint="default" w:ascii="Arial" w:hAnsi="Arial" w:cs="Arial" w:eastAsiaTheme="minorEastAsia"/>
                <w:b/>
                <w:bCs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Arial" w:hAnsi="Arial" w:cs="Arial" w:eastAsiaTheme="minorEastAsia"/>
                <w:b/>
                <w:bCs/>
                <w:kern w:val="2"/>
                <w:sz w:val="18"/>
                <w:szCs w:val="18"/>
                <w:lang w:eastAsia="zh-CN"/>
              </w:rPr>
              <w:t>Male sex</w:t>
            </w:r>
          </w:p>
        </w:tc>
        <w:tc>
          <w:tcPr>
            <w:tcW w:w="3073" w:type="dxa"/>
          </w:tcPr>
          <w:p w14:paraId="1EF3A676">
            <w:pPr>
              <w:widowControl w:val="0"/>
              <w:spacing w:after="0" w:line="240" w:lineRule="auto"/>
              <w:jc w:val="center"/>
              <w:rPr>
                <w:rFonts w:hint="default" w:ascii="Arial" w:hAnsi="Arial" w:cs="Arial" w:eastAsiaTheme="minorEastAsia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Arial" w:hAnsi="Arial" w:cs="Arial" w:eastAsiaTheme="minorEastAsia"/>
                <w:b w:val="0"/>
                <w:bCs w:val="0"/>
                <w:kern w:val="2"/>
                <w:sz w:val="18"/>
                <w:szCs w:val="18"/>
                <w:lang w:eastAsia="zh-CN"/>
              </w:rPr>
              <w:t>0.085</w:t>
            </w:r>
          </w:p>
        </w:tc>
        <w:tc>
          <w:tcPr>
            <w:tcW w:w="3074" w:type="dxa"/>
          </w:tcPr>
          <w:p w14:paraId="2C67C132">
            <w:pPr>
              <w:widowControl w:val="0"/>
              <w:spacing w:after="0" w:line="240" w:lineRule="auto"/>
              <w:jc w:val="center"/>
              <w:rPr>
                <w:rFonts w:hint="default" w:ascii="Arial" w:hAnsi="Arial" w:cs="Arial" w:eastAsiaTheme="minorEastAsia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Arial" w:hAnsi="Arial" w:cs="Arial" w:eastAsiaTheme="minorEastAsia"/>
                <w:b w:val="0"/>
                <w:bCs w:val="0"/>
                <w:kern w:val="2"/>
                <w:sz w:val="18"/>
                <w:szCs w:val="18"/>
                <w:lang w:eastAsia="zh-CN"/>
              </w:rPr>
              <w:t>0.073</w:t>
            </w:r>
          </w:p>
        </w:tc>
      </w:tr>
      <w:tr w14:paraId="4007C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6" w:type="dxa"/>
          </w:tcPr>
          <w:p w14:paraId="510A40F2">
            <w:pPr>
              <w:widowControl w:val="0"/>
              <w:spacing w:after="0" w:line="240" w:lineRule="auto"/>
              <w:jc w:val="both"/>
              <w:rPr>
                <w:rFonts w:hint="default" w:ascii="Arial" w:hAnsi="Arial" w:cs="Arial" w:eastAsiaTheme="minorEastAsia"/>
                <w:b/>
                <w:bCs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Arial" w:hAnsi="Arial" w:cs="Arial" w:eastAsiaTheme="minorEastAsia"/>
                <w:b/>
                <w:bCs/>
                <w:kern w:val="2"/>
                <w:sz w:val="18"/>
                <w:szCs w:val="18"/>
                <w:lang w:eastAsia="zh-CN"/>
              </w:rPr>
              <w:t>Age</w:t>
            </w:r>
          </w:p>
        </w:tc>
        <w:tc>
          <w:tcPr>
            <w:tcW w:w="3073" w:type="dxa"/>
          </w:tcPr>
          <w:p w14:paraId="1911A55D">
            <w:pPr>
              <w:widowControl w:val="0"/>
              <w:spacing w:after="0" w:line="240" w:lineRule="auto"/>
              <w:jc w:val="center"/>
              <w:rPr>
                <w:rFonts w:hint="default" w:ascii="Arial" w:hAnsi="Arial" w:cs="Arial" w:eastAsiaTheme="minorEastAsia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Arial" w:hAnsi="Arial" w:cs="Arial" w:eastAsiaTheme="minorEastAsia"/>
                <w:b w:val="0"/>
                <w:bCs w:val="0"/>
                <w:kern w:val="2"/>
                <w:sz w:val="18"/>
                <w:szCs w:val="18"/>
                <w:lang w:eastAsia="zh-CN"/>
              </w:rPr>
              <w:t>0.009</w:t>
            </w:r>
          </w:p>
        </w:tc>
        <w:tc>
          <w:tcPr>
            <w:tcW w:w="3074" w:type="dxa"/>
          </w:tcPr>
          <w:p w14:paraId="1A7C24A7">
            <w:pPr>
              <w:widowControl w:val="0"/>
              <w:spacing w:after="0" w:line="240" w:lineRule="auto"/>
              <w:jc w:val="center"/>
              <w:rPr>
                <w:rFonts w:hint="default" w:ascii="Arial" w:hAnsi="Arial" w:cs="Arial" w:eastAsiaTheme="minorEastAsia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Arial" w:hAnsi="Arial" w:cs="Arial" w:eastAsiaTheme="minorEastAsia"/>
                <w:b w:val="0"/>
                <w:bCs w:val="0"/>
                <w:kern w:val="2"/>
                <w:sz w:val="18"/>
                <w:szCs w:val="18"/>
                <w:lang w:eastAsia="zh-CN"/>
              </w:rPr>
              <w:t>0.078</w:t>
            </w:r>
          </w:p>
        </w:tc>
      </w:tr>
      <w:tr w14:paraId="6E3C5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6" w:type="dxa"/>
          </w:tcPr>
          <w:p w14:paraId="5DB7C78D">
            <w:pPr>
              <w:widowControl w:val="0"/>
              <w:spacing w:after="0" w:line="240" w:lineRule="auto"/>
              <w:jc w:val="both"/>
              <w:rPr>
                <w:rFonts w:hint="default" w:ascii="Arial" w:hAnsi="Arial" w:cs="Arial" w:eastAsiaTheme="minorEastAsia"/>
                <w:b/>
                <w:bCs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Arial" w:hAnsi="Arial" w:cs="Arial" w:eastAsiaTheme="minorEastAsia"/>
                <w:b/>
                <w:bCs/>
                <w:kern w:val="2"/>
                <w:sz w:val="18"/>
                <w:szCs w:val="18"/>
                <w:lang w:eastAsia="zh-CN"/>
              </w:rPr>
              <w:t>BMI</w:t>
            </w:r>
          </w:p>
        </w:tc>
        <w:tc>
          <w:tcPr>
            <w:tcW w:w="3073" w:type="dxa"/>
          </w:tcPr>
          <w:p w14:paraId="118985CB">
            <w:pPr>
              <w:widowControl w:val="0"/>
              <w:spacing w:after="0" w:line="240" w:lineRule="auto"/>
              <w:jc w:val="center"/>
              <w:rPr>
                <w:rFonts w:hint="default" w:ascii="Arial" w:hAnsi="Arial" w:cs="Arial" w:eastAsiaTheme="minorEastAsia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Arial" w:hAnsi="Arial" w:cs="Arial" w:eastAsiaTheme="minorEastAsia"/>
                <w:b w:val="0"/>
                <w:bCs w:val="0"/>
                <w:kern w:val="2"/>
                <w:sz w:val="18"/>
                <w:szCs w:val="18"/>
                <w:lang w:eastAsia="zh-CN"/>
              </w:rPr>
              <w:t>0.017</w:t>
            </w:r>
          </w:p>
        </w:tc>
        <w:tc>
          <w:tcPr>
            <w:tcW w:w="3074" w:type="dxa"/>
          </w:tcPr>
          <w:p w14:paraId="692F6099">
            <w:pPr>
              <w:widowControl w:val="0"/>
              <w:spacing w:after="0" w:line="240" w:lineRule="auto"/>
              <w:jc w:val="center"/>
              <w:rPr>
                <w:rFonts w:hint="default" w:ascii="Arial" w:hAnsi="Arial" w:cs="Arial" w:eastAsiaTheme="minorEastAsia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Arial" w:hAnsi="Arial" w:cs="Arial" w:eastAsiaTheme="minorEastAsia"/>
                <w:b w:val="0"/>
                <w:bCs w:val="0"/>
                <w:kern w:val="2"/>
                <w:sz w:val="18"/>
                <w:szCs w:val="18"/>
                <w:lang w:eastAsia="zh-CN"/>
              </w:rPr>
              <w:t>0.043</w:t>
            </w:r>
          </w:p>
        </w:tc>
      </w:tr>
      <w:tr w14:paraId="2B408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6" w:type="dxa"/>
          </w:tcPr>
          <w:p w14:paraId="186C2C60">
            <w:pPr>
              <w:widowControl w:val="0"/>
              <w:spacing w:after="0" w:line="240" w:lineRule="auto"/>
              <w:jc w:val="both"/>
              <w:rPr>
                <w:rFonts w:hint="default" w:ascii="Arial" w:hAnsi="Arial" w:cs="Arial" w:eastAsiaTheme="minorEastAsia"/>
                <w:b/>
                <w:bCs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Arial" w:hAnsi="Arial" w:cs="Arial" w:eastAsiaTheme="minorEastAsia"/>
                <w:b/>
                <w:bCs/>
                <w:kern w:val="2"/>
                <w:sz w:val="18"/>
                <w:szCs w:val="18"/>
                <w:lang w:eastAsia="zh-CN"/>
              </w:rPr>
              <w:t>Disease duration (months)</w:t>
            </w:r>
          </w:p>
        </w:tc>
        <w:tc>
          <w:tcPr>
            <w:tcW w:w="3073" w:type="dxa"/>
          </w:tcPr>
          <w:p w14:paraId="56823B80">
            <w:pPr>
              <w:widowControl w:val="0"/>
              <w:spacing w:after="0" w:line="240" w:lineRule="auto"/>
              <w:jc w:val="center"/>
              <w:rPr>
                <w:rFonts w:hint="default" w:ascii="Arial" w:hAnsi="Arial" w:cs="Arial" w:eastAsiaTheme="minorEastAsia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Arial" w:hAnsi="Arial" w:cs="Arial" w:eastAsiaTheme="minorEastAsia"/>
                <w:b w:val="0"/>
                <w:bCs w:val="0"/>
                <w:kern w:val="2"/>
                <w:sz w:val="18"/>
                <w:szCs w:val="18"/>
                <w:lang w:eastAsia="zh-CN"/>
              </w:rPr>
              <w:t>0.039</w:t>
            </w:r>
          </w:p>
        </w:tc>
        <w:tc>
          <w:tcPr>
            <w:tcW w:w="3074" w:type="dxa"/>
          </w:tcPr>
          <w:p w14:paraId="2DA1A080">
            <w:pPr>
              <w:widowControl w:val="0"/>
              <w:spacing w:after="0" w:line="240" w:lineRule="auto"/>
              <w:jc w:val="center"/>
              <w:rPr>
                <w:rFonts w:hint="default" w:ascii="Arial" w:hAnsi="Arial" w:cs="Arial" w:eastAsiaTheme="minorEastAsia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Arial" w:hAnsi="Arial" w:cs="Arial" w:eastAsiaTheme="minorEastAsia"/>
                <w:b w:val="0"/>
                <w:bCs w:val="0"/>
                <w:kern w:val="2"/>
                <w:sz w:val="18"/>
                <w:szCs w:val="18"/>
                <w:lang w:eastAsia="zh-CN"/>
              </w:rPr>
              <w:t>0.045</w:t>
            </w:r>
          </w:p>
        </w:tc>
      </w:tr>
      <w:tr w14:paraId="13B44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6" w:type="dxa"/>
          </w:tcPr>
          <w:p w14:paraId="4BA48419">
            <w:pPr>
              <w:widowControl w:val="0"/>
              <w:spacing w:after="0" w:line="240" w:lineRule="auto"/>
              <w:jc w:val="both"/>
              <w:rPr>
                <w:rFonts w:hint="default" w:ascii="Arial" w:hAnsi="Arial" w:cs="Arial" w:eastAsiaTheme="minorEastAsia"/>
                <w:b/>
                <w:bCs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Arial" w:hAnsi="Arial" w:cs="Arial" w:eastAsiaTheme="minorEastAsia"/>
                <w:b/>
                <w:bCs/>
                <w:kern w:val="2"/>
                <w:sz w:val="18"/>
                <w:szCs w:val="18"/>
                <w:lang w:eastAsia="zh-CN"/>
              </w:rPr>
              <w:t>MuSK antibody</w:t>
            </w:r>
          </w:p>
        </w:tc>
        <w:tc>
          <w:tcPr>
            <w:tcW w:w="3073" w:type="dxa"/>
          </w:tcPr>
          <w:p w14:paraId="4A34A1E8">
            <w:pPr>
              <w:widowControl w:val="0"/>
              <w:spacing w:after="0" w:line="240" w:lineRule="auto"/>
              <w:jc w:val="center"/>
              <w:rPr>
                <w:rFonts w:hint="default" w:ascii="Arial" w:hAnsi="Arial" w:cs="Arial" w:eastAsiaTheme="minorEastAsia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Arial" w:hAnsi="Arial" w:cs="Arial" w:eastAsiaTheme="minorEastAsia"/>
                <w:b w:val="0"/>
                <w:bCs w:val="0"/>
                <w:kern w:val="2"/>
                <w:sz w:val="18"/>
                <w:szCs w:val="18"/>
                <w:lang w:eastAsia="zh-CN"/>
              </w:rPr>
              <w:t>0.093</w:t>
            </w:r>
          </w:p>
        </w:tc>
        <w:tc>
          <w:tcPr>
            <w:tcW w:w="3074" w:type="dxa"/>
          </w:tcPr>
          <w:p w14:paraId="238DA32A">
            <w:pPr>
              <w:widowControl w:val="0"/>
              <w:spacing w:after="0" w:line="240" w:lineRule="auto"/>
              <w:jc w:val="center"/>
              <w:rPr>
                <w:rFonts w:hint="default" w:ascii="Arial" w:hAnsi="Arial" w:cs="Arial" w:eastAsiaTheme="minorEastAsia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Arial" w:hAnsi="Arial" w:cs="Arial" w:eastAsiaTheme="minorEastAsia"/>
                <w:b w:val="0"/>
                <w:bCs w:val="0"/>
                <w:kern w:val="2"/>
                <w:sz w:val="18"/>
                <w:szCs w:val="18"/>
                <w:lang w:eastAsia="zh-CN"/>
              </w:rPr>
              <w:t>0.000</w:t>
            </w:r>
          </w:p>
        </w:tc>
      </w:tr>
      <w:tr w14:paraId="2FA86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6" w:type="dxa"/>
          </w:tcPr>
          <w:p w14:paraId="543B8428">
            <w:pPr>
              <w:widowControl w:val="0"/>
              <w:spacing w:after="0" w:line="240" w:lineRule="auto"/>
              <w:jc w:val="both"/>
              <w:rPr>
                <w:rFonts w:hint="default" w:ascii="Arial" w:hAnsi="Arial" w:cs="Arial" w:eastAsiaTheme="minorEastAsia"/>
                <w:b/>
                <w:bCs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Arial" w:hAnsi="Arial" w:cs="Arial" w:eastAsiaTheme="minorEastAsia"/>
                <w:b/>
                <w:bCs/>
                <w:kern w:val="2"/>
                <w:sz w:val="18"/>
                <w:szCs w:val="18"/>
                <w:lang w:eastAsia="zh-CN"/>
              </w:rPr>
              <w:t>Thymoma</w:t>
            </w:r>
          </w:p>
        </w:tc>
        <w:tc>
          <w:tcPr>
            <w:tcW w:w="3073" w:type="dxa"/>
          </w:tcPr>
          <w:p w14:paraId="776BB47A">
            <w:pPr>
              <w:widowControl w:val="0"/>
              <w:spacing w:after="0" w:line="240" w:lineRule="auto"/>
              <w:jc w:val="center"/>
              <w:rPr>
                <w:rFonts w:hint="default" w:ascii="Arial" w:hAnsi="Arial" w:cs="Arial" w:eastAsiaTheme="minorEastAsia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Arial" w:hAnsi="Arial" w:cs="Arial" w:eastAsiaTheme="minorEastAsia"/>
                <w:b w:val="0"/>
                <w:bCs w:val="0"/>
                <w:kern w:val="2"/>
                <w:sz w:val="18"/>
                <w:szCs w:val="18"/>
                <w:lang w:eastAsia="zh-CN"/>
              </w:rPr>
              <w:t>0.047</w:t>
            </w:r>
          </w:p>
        </w:tc>
        <w:tc>
          <w:tcPr>
            <w:tcW w:w="3074" w:type="dxa"/>
          </w:tcPr>
          <w:p w14:paraId="785BA485">
            <w:pPr>
              <w:widowControl w:val="0"/>
              <w:spacing w:after="0" w:line="240" w:lineRule="auto"/>
              <w:jc w:val="center"/>
              <w:rPr>
                <w:rFonts w:hint="default" w:ascii="Arial" w:hAnsi="Arial" w:cs="Arial" w:eastAsiaTheme="minorEastAsia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Arial" w:hAnsi="Arial" w:cs="Arial" w:eastAsiaTheme="minorEastAsia"/>
                <w:b w:val="0"/>
                <w:bCs w:val="0"/>
                <w:kern w:val="2"/>
                <w:sz w:val="18"/>
                <w:szCs w:val="18"/>
                <w:lang w:eastAsia="zh-CN"/>
              </w:rPr>
              <w:t>0.000</w:t>
            </w:r>
          </w:p>
        </w:tc>
      </w:tr>
      <w:tr w14:paraId="416C0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6" w:type="dxa"/>
          </w:tcPr>
          <w:p w14:paraId="77FD1F1B">
            <w:pPr>
              <w:widowControl w:val="0"/>
              <w:spacing w:after="0" w:line="240" w:lineRule="auto"/>
              <w:jc w:val="both"/>
              <w:rPr>
                <w:rFonts w:hint="default" w:ascii="Arial" w:hAnsi="Arial" w:cs="Arial" w:eastAsiaTheme="minorEastAsia"/>
                <w:b/>
                <w:bCs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Arial" w:hAnsi="Arial" w:cs="Arial" w:eastAsiaTheme="minorEastAsia"/>
                <w:b/>
                <w:bCs/>
                <w:kern w:val="2"/>
                <w:sz w:val="18"/>
                <w:szCs w:val="18"/>
                <w:lang w:eastAsia="zh-CN"/>
              </w:rPr>
              <w:t>Thymectomy</w:t>
            </w:r>
          </w:p>
        </w:tc>
        <w:tc>
          <w:tcPr>
            <w:tcW w:w="3073" w:type="dxa"/>
          </w:tcPr>
          <w:p w14:paraId="56E2B345">
            <w:pPr>
              <w:widowControl w:val="0"/>
              <w:spacing w:after="0" w:line="240" w:lineRule="auto"/>
              <w:jc w:val="center"/>
              <w:rPr>
                <w:rFonts w:hint="default" w:ascii="Arial" w:hAnsi="Arial" w:cs="Arial" w:eastAsiaTheme="minorEastAsia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Arial" w:hAnsi="Arial" w:cs="Arial" w:eastAsiaTheme="minorEastAsia"/>
                <w:b w:val="0"/>
                <w:bCs w:val="0"/>
                <w:kern w:val="2"/>
                <w:sz w:val="18"/>
                <w:szCs w:val="18"/>
                <w:lang w:eastAsia="zh-CN"/>
              </w:rPr>
              <w:t>0.106</w:t>
            </w:r>
          </w:p>
        </w:tc>
        <w:tc>
          <w:tcPr>
            <w:tcW w:w="3074" w:type="dxa"/>
          </w:tcPr>
          <w:p w14:paraId="3E9FDD53">
            <w:pPr>
              <w:widowControl w:val="0"/>
              <w:spacing w:after="0" w:line="240" w:lineRule="auto"/>
              <w:jc w:val="center"/>
              <w:rPr>
                <w:rFonts w:hint="default" w:ascii="Arial" w:hAnsi="Arial" w:cs="Arial" w:eastAsiaTheme="minorEastAsia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Arial" w:hAnsi="Arial" w:cs="Arial" w:eastAsiaTheme="minorEastAsia"/>
                <w:b w:val="0"/>
                <w:bCs w:val="0"/>
                <w:kern w:val="2"/>
                <w:sz w:val="18"/>
                <w:szCs w:val="18"/>
                <w:lang w:eastAsia="zh-CN"/>
              </w:rPr>
              <w:t>0.036</w:t>
            </w:r>
          </w:p>
        </w:tc>
      </w:tr>
      <w:tr w14:paraId="19F47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6" w:type="dxa"/>
          </w:tcPr>
          <w:p w14:paraId="372F05D5">
            <w:pPr>
              <w:widowControl w:val="0"/>
              <w:spacing w:after="0" w:line="240" w:lineRule="auto"/>
              <w:jc w:val="both"/>
              <w:rPr>
                <w:rFonts w:hint="default" w:ascii="Arial" w:hAnsi="Arial" w:cs="Arial" w:eastAsiaTheme="minorEastAsia"/>
                <w:b/>
                <w:bCs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Arial" w:hAnsi="Arial" w:cs="Arial" w:eastAsiaTheme="minorEastAsia"/>
                <w:b/>
                <w:bCs/>
                <w:kern w:val="2"/>
                <w:sz w:val="18"/>
                <w:szCs w:val="18"/>
                <w:lang w:eastAsia="zh-CN"/>
              </w:rPr>
              <w:t>Comorbidity</w:t>
            </w:r>
          </w:p>
        </w:tc>
        <w:tc>
          <w:tcPr>
            <w:tcW w:w="3073" w:type="dxa"/>
          </w:tcPr>
          <w:p w14:paraId="4716606E">
            <w:pPr>
              <w:widowControl w:val="0"/>
              <w:spacing w:after="0" w:line="240" w:lineRule="auto"/>
              <w:jc w:val="center"/>
              <w:rPr>
                <w:rFonts w:hint="default" w:ascii="Arial" w:hAnsi="Arial" w:cs="Arial" w:eastAsiaTheme="minorEastAsia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Arial" w:hAnsi="Arial" w:cs="Arial" w:eastAsiaTheme="minorEastAsia"/>
                <w:b w:val="0"/>
                <w:bCs w:val="0"/>
                <w:kern w:val="2"/>
                <w:sz w:val="18"/>
                <w:szCs w:val="18"/>
                <w:lang w:eastAsia="zh-CN"/>
              </w:rPr>
              <w:t>0.185</w:t>
            </w:r>
          </w:p>
        </w:tc>
        <w:tc>
          <w:tcPr>
            <w:tcW w:w="3074" w:type="dxa"/>
          </w:tcPr>
          <w:p w14:paraId="049CD901">
            <w:pPr>
              <w:widowControl w:val="0"/>
              <w:spacing w:after="0" w:line="240" w:lineRule="auto"/>
              <w:jc w:val="center"/>
              <w:rPr>
                <w:rFonts w:hint="default" w:ascii="Arial" w:hAnsi="Arial" w:cs="Arial" w:eastAsiaTheme="minorEastAsia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Arial" w:hAnsi="Arial" w:cs="Arial" w:eastAsiaTheme="minorEastAsia"/>
                <w:b w:val="0"/>
                <w:bCs w:val="0"/>
                <w:kern w:val="2"/>
                <w:sz w:val="18"/>
                <w:szCs w:val="18"/>
                <w:lang w:eastAsia="zh-CN"/>
              </w:rPr>
              <w:t>0.107</w:t>
            </w:r>
          </w:p>
        </w:tc>
      </w:tr>
      <w:tr w14:paraId="7DE46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6" w:type="dxa"/>
          </w:tcPr>
          <w:p w14:paraId="4B7BE2B8">
            <w:pPr>
              <w:widowControl w:val="0"/>
              <w:spacing w:after="0" w:line="240" w:lineRule="auto"/>
              <w:jc w:val="both"/>
              <w:rPr>
                <w:rFonts w:hint="default" w:ascii="Arial" w:hAnsi="Arial" w:cs="Arial" w:eastAsiaTheme="minorEastAsia"/>
                <w:b/>
                <w:bCs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Arial" w:hAnsi="Arial" w:cs="Arial" w:eastAsiaTheme="minorEastAsia"/>
                <w:b/>
                <w:bCs/>
                <w:kern w:val="2"/>
                <w:sz w:val="18"/>
                <w:szCs w:val="18"/>
                <w:lang w:eastAsia="zh-CN"/>
              </w:rPr>
              <w:t>Baseline MGFA-QMG</w:t>
            </w:r>
          </w:p>
        </w:tc>
        <w:tc>
          <w:tcPr>
            <w:tcW w:w="3073" w:type="dxa"/>
          </w:tcPr>
          <w:p w14:paraId="5912641C">
            <w:pPr>
              <w:widowControl w:val="0"/>
              <w:spacing w:after="0" w:line="240" w:lineRule="auto"/>
              <w:jc w:val="center"/>
              <w:rPr>
                <w:rFonts w:hint="default" w:ascii="Arial" w:hAnsi="Arial" w:cs="Arial" w:eastAsiaTheme="minorEastAsia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Arial" w:hAnsi="Arial" w:cs="Arial" w:eastAsiaTheme="minorEastAsia"/>
                <w:b w:val="0"/>
                <w:bCs w:val="0"/>
                <w:kern w:val="2"/>
                <w:sz w:val="18"/>
                <w:szCs w:val="18"/>
                <w:lang w:eastAsia="zh-CN"/>
              </w:rPr>
              <w:t>0.240</w:t>
            </w:r>
          </w:p>
        </w:tc>
        <w:tc>
          <w:tcPr>
            <w:tcW w:w="3074" w:type="dxa"/>
          </w:tcPr>
          <w:p w14:paraId="33824CA1">
            <w:pPr>
              <w:widowControl w:val="0"/>
              <w:spacing w:after="0" w:line="240" w:lineRule="auto"/>
              <w:jc w:val="center"/>
              <w:rPr>
                <w:rFonts w:hint="default" w:ascii="Arial" w:hAnsi="Arial" w:cs="Arial" w:eastAsiaTheme="minorEastAsia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Arial" w:hAnsi="Arial" w:cs="Arial" w:eastAsiaTheme="minorEastAsia"/>
                <w:b w:val="0"/>
                <w:bCs w:val="0"/>
                <w:kern w:val="2"/>
                <w:sz w:val="18"/>
                <w:szCs w:val="18"/>
                <w:lang w:eastAsia="zh-CN"/>
              </w:rPr>
              <w:t>0.027</w:t>
            </w:r>
          </w:p>
        </w:tc>
      </w:tr>
      <w:tr w14:paraId="22CA5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6" w:type="dxa"/>
          </w:tcPr>
          <w:p w14:paraId="4C565FFF">
            <w:pPr>
              <w:widowControl w:val="0"/>
              <w:spacing w:after="0" w:line="240" w:lineRule="auto"/>
              <w:jc w:val="both"/>
              <w:rPr>
                <w:rFonts w:hint="default" w:ascii="Arial" w:hAnsi="Arial" w:cs="Arial" w:eastAsiaTheme="minorEastAsia"/>
                <w:b/>
                <w:bCs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Arial" w:hAnsi="Arial" w:cs="Arial" w:eastAsiaTheme="minorEastAsia"/>
                <w:b/>
                <w:bCs/>
                <w:kern w:val="2"/>
                <w:sz w:val="18"/>
                <w:szCs w:val="18"/>
                <w:lang w:eastAsia="zh-CN"/>
              </w:rPr>
              <w:t>Baseline MG-ADL</w:t>
            </w:r>
          </w:p>
        </w:tc>
        <w:tc>
          <w:tcPr>
            <w:tcW w:w="3073" w:type="dxa"/>
          </w:tcPr>
          <w:p w14:paraId="7FF6BA40">
            <w:pPr>
              <w:widowControl w:val="0"/>
              <w:spacing w:after="0" w:line="240" w:lineRule="auto"/>
              <w:jc w:val="center"/>
              <w:rPr>
                <w:rFonts w:hint="default" w:ascii="Arial" w:hAnsi="Arial" w:cs="Arial" w:eastAsiaTheme="minorEastAsia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Arial" w:hAnsi="Arial" w:cs="Arial" w:eastAsiaTheme="minorEastAsia"/>
                <w:b w:val="0"/>
                <w:bCs w:val="0"/>
                <w:kern w:val="2"/>
                <w:sz w:val="18"/>
                <w:szCs w:val="18"/>
                <w:lang w:eastAsia="zh-CN"/>
              </w:rPr>
              <w:t>0.020</w:t>
            </w:r>
          </w:p>
        </w:tc>
        <w:tc>
          <w:tcPr>
            <w:tcW w:w="3074" w:type="dxa"/>
          </w:tcPr>
          <w:p w14:paraId="53FB08C1">
            <w:pPr>
              <w:widowControl w:val="0"/>
              <w:spacing w:after="0" w:line="240" w:lineRule="auto"/>
              <w:jc w:val="center"/>
              <w:rPr>
                <w:rFonts w:hint="default" w:ascii="Arial" w:hAnsi="Arial" w:cs="Arial" w:eastAsiaTheme="minorEastAsia"/>
                <w:b w:val="0"/>
                <w:bCs w:val="0"/>
                <w:kern w:val="2"/>
                <w:sz w:val="18"/>
                <w:szCs w:val="18"/>
                <w:lang w:eastAsia="zh-CN"/>
              </w:rPr>
            </w:pPr>
            <w:r>
              <w:rPr>
                <w:rFonts w:hint="default" w:ascii="Arial" w:hAnsi="Arial" w:cs="Arial" w:eastAsiaTheme="minorEastAsia"/>
                <w:b w:val="0"/>
                <w:bCs w:val="0"/>
                <w:kern w:val="2"/>
                <w:sz w:val="18"/>
                <w:szCs w:val="18"/>
                <w:lang w:eastAsia="zh-CN"/>
              </w:rPr>
              <w:t>0.044</w:t>
            </w:r>
          </w:p>
        </w:tc>
      </w:tr>
    </w:tbl>
    <w:p w14:paraId="416F5934">
      <w:pPr>
        <w:spacing w:afterAutospacing="0"/>
        <w:ind w:left="0" w:leftChars="0"/>
        <w:jc w:val="both"/>
        <w:rPr>
          <w:rFonts w:hint="default" w:ascii="Arial" w:hAnsi="Arial" w:cs="Arial"/>
          <w:b/>
          <w:bCs/>
          <w:lang w:val="en-US" w:eastAsia="zh-CN"/>
        </w:rPr>
      </w:pPr>
      <w:r>
        <w:rPr>
          <w:b w:val="0"/>
          <w:i/>
          <w:sz w:val="18"/>
        </w:rPr>
        <w:t>BMI, body mass index; MG-ADL, Myasthenia Gravis Activities of Daily Living; MGFA-QMG, Myasthenia Gravis Foundation of America-Quantitative Myasthenia Gravis; MuSK, muscle-specific tyrosine kinase; SMD, standardized mean difference.</w:t>
      </w:r>
      <w:r>
        <w:rPr>
          <w:b w:val="0"/>
          <w:i/>
          <w:sz w:val="18"/>
          <w:highlight w:val="darkGreen"/>
        </w:rPr>
        <w:t xml:space="preserve"> </w:t>
      </w:r>
      <w:r>
        <w:rPr>
          <w:rFonts w:hint="eastAsia"/>
          <w:b w:val="0"/>
          <w:i/>
          <w:sz w:val="18"/>
          <w:highlight w:val="darkGreen"/>
        </w:rPr>
        <w:t>An absolute SMD &lt;0.10 was considered to indicate excellent covariate balance after matching, whereas values between 0.10 and 0.20 were considered acceptable. Propensity score matching aims to optimize overall covariate balance; therefore, slight increases in the SMD of individual variables may occur despite satisfactory overall balance.</w:t>
      </w:r>
    </w:p>
    <w:p w14:paraId="77DB2455"/>
    <w:p w14:paraId="2D45CC2B"/>
    <w:p w14:paraId="14EE055A"/>
    <w:p w14:paraId="37E24CA6"/>
    <w:p w14:paraId="16539B7A"/>
    <w:p w14:paraId="506FABC2"/>
    <w:p w14:paraId="6C9E5924"/>
    <w:p w14:paraId="11F77870"/>
    <w:p w14:paraId="040546A8"/>
    <w:p w14:paraId="6DD4B97E"/>
    <w:p w14:paraId="613D2D42"/>
    <w:p w14:paraId="047F7DF6"/>
    <w:p w14:paraId="5BE9B734"/>
    <w:p w14:paraId="61747C77"/>
    <w:p w14:paraId="2908946B"/>
    <w:p w14:paraId="181C53B4"/>
    <w:p w14:paraId="1B35BD84"/>
    <w:p w14:paraId="76CF2305"/>
    <w:p w14:paraId="7EB3D780"/>
    <w:p w14:paraId="3273548A"/>
    <w:p w14:paraId="2C10BFAD"/>
    <w:p w14:paraId="10227960"/>
    <w:p w14:paraId="1B740AED"/>
    <w:p w14:paraId="0AD574EF"/>
    <w:p w14:paraId="0681BDAC"/>
    <w:p w14:paraId="0B7D6C9E">
      <w:pPr>
        <w:jc w:val="left"/>
        <w:rPr>
          <w:rFonts w:hint="default"/>
          <w:b/>
          <w:i w:val="0"/>
          <w:lang w:val="en-US" w:eastAsia="zh-CN"/>
        </w:rPr>
      </w:pPr>
      <w:r>
        <w:rPr>
          <w:rFonts w:hint="default"/>
          <w:b/>
          <w:i w:val="0"/>
          <w:lang w:val="en-US" w:eastAsia="zh-CN"/>
        </w:rPr>
        <w:t>Supplementary Table S2. Adverse events during the 6-month follow-up period.</w:t>
      </w:r>
    </w:p>
    <w:p w14:paraId="0C0DC61A">
      <w:pPr>
        <w:jc w:val="left"/>
        <w:rPr>
          <w:rFonts w:hint="default"/>
          <w:b/>
          <w:i w:val="0"/>
          <w:lang w:val="en-US" w:eastAsia="zh-CN"/>
        </w:rPr>
      </w:pPr>
    </w:p>
    <w:tbl>
      <w:tblPr>
        <w:tblStyle w:val="4"/>
        <w:tblW w:w="5000" w:type="pct"/>
        <w:jc w:val="center"/>
        <w:tblBorders>
          <w:top w:val="single" w:color="auto" w:sz="4" w:space="0"/>
          <w:left w:val="single" w:color="000000" w:sz="4" w:space="0"/>
          <w:bottom w:val="single" w:color="auto" w:sz="4" w:space="0"/>
          <w:right w:val="single" w:color="000000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90"/>
        <w:gridCol w:w="1966"/>
        <w:gridCol w:w="1966"/>
      </w:tblGrid>
      <w:tr w14:paraId="28A449B7">
        <w:tblPrEx>
          <w:tblBorders>
            <w:top w:val="single" w:color="auto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2692" w:type="pct"/>
            <w:vAlign w:val="top"/>
          </w:tcPr>
          <w:p w14:paraId="2BB745B7">
            <w:pPr>
              <w:jc w:val="left"/>
              <w:rPr>
                <w:rFonts w:hint="default"/>
                <w:b/>
                <w:i w:val="0"/>
                <w:lang w:val="en-US" w:eastAsia="zh-CN"/>
              </w:rPr>
            </w:pPr>
            <w:r>
              <w:rPr>
                <w:rFonts w:hint="default"/>
                <w:b/>
                <w:i w:val="0"/>
                <w:lang w:val="en-US" w:eastAsia="zh-CN"/>
              </w:rPr>
              <w:t>Adverse events</w:t>
            </w:r>
          </w:p>
        </w:tc>
        <w:tc>
          <w:tcPr>
            <w:tcW w:w="1153" w:type="pct"/>
            <w:vAlign w:val="top"/>
          </w:tcPr>
          <w:p w14:paraId="2DF1A28D">
            <w:pPr>
              <w:jc w:val="right"/>
              <w:rPr>
                <w:rFonts w:hint="default"/>
                <w:b/>
                <w:i w:val="0"/>
                <w:lang w:val="en-US" w:eastAsia="zh-CN"/>
              </w:rPr>
            </w:pPr>
            <w:r>
              <w:rPr>
                <w:rFonts w:hint="default"/>
                <w:b/>
                <w:i w:val="0"/>
                <w:lang w:val="en-US" w:eastAsia="zh-CN"/>
              </w:rPr>
              <w:t>BIO (n)</w:t>
            </w:r>
          </w:p>
        </w:tc>
        <w:tc>
          <w:tcPr>
            <w:tcW w:w="1153" w:type="pct"/>
            <w:vAlign w:val="top"/>
          </w:tcPr>
          <w:p w14:paraId="298C5C99">
            <w:pPr>
              <w:jc w:val="right"/>
              <w:rPr>
                <w:rFonts w:hint="default"/>
                <w:b/>
                <w:i w:val="0"/>
                <w:lang w:val="en-US" w:eastAsia="zh-CN"/>
              </w:rPr>
            </w:pPr>
            <w:r>
              <w:rPr>
                <w:rFonts w:hint="default"/>
                <w:b/>
                <w:i w:val="0"/>
                <w:lang w:val="en-US" w:eastAsia="zh-CN"/>
              </w:rPr>
              <w:t>SOC (n)</w:t>
            </w:r>
          </w:p>
        </w:tc>
      </w:tr>
      <w:tr w14:paraId="035E6789">
        <w:tblPrEx>
          <w:tblBorders>
            <w:top w:val="single" w:color="auto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exact"/>
          <w:jc w:val="center"/>
        </w:trPr>
        <w:tc>
          <w:tcPr>
            <w:tcW w:w="2692" w:type="pct"/>
            <w:vAlign w:val="top"/>
          </w:tcPr>
          <w:p w14:paraId="1C9EF9B8">
            <w:pPr>
              <w:jc w:val="left"/>
              <w:rPr>
                <w:rFonts w:hint="default"/>
                <w:b/>
                <w:i w:val="0"/>
                <w:lang w:val="en-US" w:eastAsia="zh-CN"/>
              </w:rPr>
            </w:pPr>
            <w:r>
              <w:rPr>
                <w:rFonts w:hint="default"/>
                <w:b/>
                <w:i w:val="0"/>
                <w:lang w:val="en-US" w:eastAsia="zh-CN"/>
              </w:rPr>
              <w:t>Respiratory tract infection</w:t>
            </w:r>
          </w:p>
          <w:p w14:paraId="5507A5B9">
            <w:pPr>
              <w:jc w:val="left"/>
              <w:rPr>
                <w:rFonts w:hint="default"/>
                <w:b/>
                <w:i w:val="0"/>
                <w:lang w:val="en-US" w:eastAsia="zh-CN"/>
              </w:rPr>
            </w:pPr>
          </w:p>
          <w:p w14:paraId="6715912E">
            <w:pPr>
              <w:jc w:val="left"/>
              <w:rPr>
                <w:rFonts w:hint="default"/>
                <w:b/>
                <w:i w:val="0"/>
                <w:lang w:val="en-US" w:eastAsia="zh-CN"/>
              </w:rPr>
            </w:pPr>
          </w:p>
        </w:tc>
        <w:tc>
          <w:tcPr>
            <w:tcW w:w="1153" w:type="pct"/>
            <w:vAlign w:val="top"/>
          </w:tcPr>
          <w:p w14:paraId="15C25B9C">
            <w:pPr>
              <w:pStyle w:val="6"/>
              <w:spacing w:before="0" w:beforeAutospacing="0" w:after="240" w:afterAutospacing="0" w:line="360" w:lineRule="auto"/>
              <w:jc w:val="right"/>
              <w:rPr>
                <w:rFonts w:hint="eastAsia" w:ascii="Arial" w:hAnsi="Arial" w:eastAsia="宋体" w:cs="Arial"/>
                <w:color w:val="222222"/>
                <w:spacing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222222"/>
                <w:spacing w:val="2"/>
                <w:sz w:val="21"/>
                <w:szCs w:val="21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1153" w:type="pct"/>
            <w:vAlign w:val="top"/>
          </w:tcPr>
          <w:p w14:paraId="20DA1B84">
            <w:pPr>
              <w:pStyle w:val="6"/>
              <w:spacing w:before="0" w:beforeAutospacing="0" w:after="240" w:afterAutospacing="0" w:line="360" w:lineRule="auto"/>
              <w:jc w:val="right"/>
              <w:rPr>
                <w:rFonts w:hint="eastAsia" w:ascii="Arial" w:hAnsi="Arial" w:eastAsia="宋体" w:cs="Arial"/>
                <w:color w:val="222222"/>
                <w:spacing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222222"/>
                <w:spacing w:val="2"/>
                <w:sz w:val="21"/>
                <w:szCs w:val="21"/>
                <w:highlight w:val="none"/>
                <w:vertAlign w:val="baseline"/>
                <w:lang w:val="en-US" w:eastAsia="zh-CN"/>
              </w:rPr>
              <w:t>5</w:t>
            </w:r>
          </w:p>
        </w:tc>
      </w:tr>
      <w:tr w14:paraId="349FD556">
        <w:tblPrEx>
          <w:tblBorders>
            <w:top w:val="single" w:color="auto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2692" w:type="pct"/>
            <w:vAlign w:val="top"/>
          </w:tcPr>
          <w:p w14:paraId="661F9FD8">
            <w:pPr>
              <w:jc w:val="left"/>
              <w:rPr>
                <w:rFonts w:hint="default"/>
                <w:b/>
                <w:i w:val="0"/>
                <w:lang w:val="en-US" w:eastAsia="zh-CN"/>
              </w:rPr>
            </w:pPr>
            <w:r>
              <w:rPr>
                <w:rFonts w:hint="default"/>
                <w:b/>
                <w:i w:val="0"/>
                <w:lang w:val="en-US" w:eastAsia="zh-CN"/>
              </w:rPr>
              <w:t>Urinary tract infection</w:t>
            </w:r>
          </w:p>
          <w:p w14:paraId="640CB787">
            <w:pPr>
              <w:jc w:val="left"/>
              <w:rPr>
                <w:rFonts w:hint="default"/>
                <w:b/>
                <w:i w:val="0"/>
                <w:lang w:val="en-US" w:eastAsia="zh-CN"/>
              </w:rPr>
            </w:pPr>
          </w:p>
          <w:p w14:paraId="3D904148">
            <w:pPr>
              <w:jc w:val="left"/>
              <w:rPr>
                <w:rFonts w:hint="default"/>
                <w:b/>
                <w:i w:val="0"/>
                <w:lang w:val="en-US" w:eastAsia="zh-CN"/>
              </w:rPr>
            </w:pPr>
          </w:p>
        </w:tc>
        <w:tc>
          <w:tcPr>
            <w:tcW w:w="1153" w:type="pct"/>
            <w:vAlign w:val="top"/>
          </w:tcPr>
          <w:p w14:paraId="7AF0338B">
            <w:pPr>
              <w:pStyle w:val="6"/>
              <w:spacing w:before="0" w:beforeAutospacing="0" w:after="240" w:afterAutospacing="0" w:line="360" w:lineRule="auto"/>
              <w:jc w:val="right"/>
              <w:rPr>
                <w:rFonts w:hint="eastAsia" w:ascii="Arial" w:hAnsi="Arial" w:eastAsia="宋体" w:cs="Arial"/>
                <w:color w:val="222222"/>
                <w:spacing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222222"/>
                <w:spacing w:val="2"/>
                <w:sz w:val="21"/>
                <w:szCs w:val="21"/>
                <w:highlight w:val="none"/>
                <w:vertAlign w:val="baseline"/>
                <w:lang w:val="en-US" w:eastAsia="zh-CN"/>
              </w:rPr>
              <w:t>0</w:t>
            </w:r>
          </w:p>
        </w:tc>
        <w:tc>
          <w:tcPr>
            <w:tcW w:w="1153" w:type="pct"/>
            <w:vAlign w:val="top"/>
          </w:tcPr>
          <w:p w14:paraId="4EE92B1C">
            <w:pPr>
              <w:pStyle w:val="6"/>
              <w:spacing w:before="0" w:beforeAutospacing="0" w:after="240" w:afterAutospacing="0" w:line="360" w:lineRule="auto"/>
              <w:jc w:val="right"/>
              <w:rPr>
                <w:rFonts w:hint="eastAsia" w:ascii="Arial" w:hAnsi="Arial" w:eastAsia="宋体" w:cs="Arial"/>
                <w:color w:val="222222"/>
                <w:spacing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222222"/>
                <w:spacing w:val="2"/>
                <w:sz w:val="21"/>
                <w:szCs w:val="21"/>
                <w:highlight w:val="none"/>
                <w:vertAlign w:val="baseline"/>
                <w:lang w:val="en-US" w:eastAsia="zh-CN"/>
              </w:rPr>
              <w:t>2</w:t>
            </w:r>
          </w:p>
        </w:tc>
      </w:tr>
      <w:tr w14:paraId="78DC5C61">
        <w:tblPrEx>
          <w:tblBorders>
            <w:top w:val="single" w:color="auto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2692" w:type="pct"/>
            <w:vAlign w:val="top"/>
          </w:tcPr>
          <w:p w14:paraId="0EB0F863">
            <w:pPr>
              <w:jc w:val="left"/>
              <w:rPr>
                <w:rFonts w:hint="default"/>
                <w:b/>
                <w:i w:val="0"/>
                <w:lang w:val="en-US" w:eastAsia="zh-CN"/>
              </w:rPr>
            </w:pPr>
            <w:r>
              <w:rPr>
                <w:rFonts w:hint="default"/>
                <w:b/>
                <w:i w:val="0"/>
                <w:lang w:val="en-US" w:eastAsia="zh-CN"/>
              </w:rPr>
              <w:t>Herpes zoster</w:t>
            </w:r>
          </w:p>
        </w:tc>
        <w:tc>
          <w:tcPr>
            <w:tcW w:w="1153" w:type="pct"/>
            <w:vAlign w:val="top"/>
          </w:tcPr>
          <w:p w14:paraId="71DB5C10">
            <w:pPr>
              <w:pStyle w:val="6"/>
              <w:spacing w:before="0" w:beforeAutospacing="0" w:after="240" w:afterAutospacing="0" w:line="360" w:lineRule="auto"/>
              <w:jc w:val="right"/>
              <w:rPr>
                <w:rFonts w:hint="eastAsia" w:ascii="Arial" w:hAnsi="Arial" w:eastAsia="宋体" w:cs="Arial"/>
                <w:color w:val="222222"/>
                <w:spacing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222222"/>
                <w:spacing w:val="2"/>
                <w:sz w:val="21"/>
                <w:szCs w:val="21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153" w:type="pct"/>
            <w:vAlign w:val="top"/>
          </w:tcPr>
          <w:p w14:paraId="4973B037">
            <w:pPr>
              <w:pStyle w:val="6"/>
              <w:spacing w:before="0" w:beforeAutospacing="0" w:after="240" w:afterAutospacing="0" w:line="360" w:lineRule="auto"/>
              <w:jc w:val="right"/>
              <w:rPr>
                <w:rFonts w:hint="eastAsia" w:ascii="Arial" w:hAnsi="Arial" w:eastAsia="宋体" w:cs="Arial"/>
                <w:color w:val="222222"/>
                <w:spacing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222222"/>
                <w:spacing w:val="2"/>
                <w:sz w:val="21"/>
                <w:szCs w:val="21"/>
                <w:highlight w:val="none"/>
                <w:vertAlign w:val="baseline"/>
                <w:lang w:val="en-US" w:eastAsia="zh-CN"/>
              </w:rPr>
              <w:t>5</w:t>
            </w:r>
          </w:p>
        </w:tc>
      </w:tr>
      <w:tr w14:paraId="516638A2">
        <w:tblPrEx>
          <w:tblBorders>
            <w:top w:val="single" w:color="auto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2692" w:type="pct"/>
            <w:vAlign w:val="top"/>
          </w:tcPr>
          <w:p w14:paraId="756F103C">
            <w:pPr>
              <w:jc w:val="left"/>
              <w:rPr>
                <w:rFonts w:hint="default"/>
                <w:b/>
                <w:i w:val="0"/>
                <w:lang w:val="en-US" w:eastAsia="zh-CN"/>
              </w:rPr>
            </w:pPr>
            <w:r>
              <w:rPr>
                <w:rFonts w:hint="default"/>
                <w:b/>
                <w:i w:val="0"/>
                <w:lang w:val="en-US" w:eastAsia="zh-CN"/>
              </w:rPr>
              <w:t>Herpes labialis</w:t>
            </w:r>
          </w:p>
        </w:tc>
        <w:tc>
          <w:tcPr>
            <w:tcW w:w="1153" w:type="pct"/>
            <w:vAlign w:val="top"/>
          </w:tcPr>
          <w:p w14:paraId="15013111">
            <w:pPr>
              <w:pStyle w:val="6"/>
              <w:spacing w:before="0" w:beforeAutospacing="0" w:after="240" w:afterAutospacing="0" w:line="360" w:lineRule="auto"/>
              <w:jc w:val="right"/>
              <w:rPr>
                <w:rFonts w:hint="default" w:ascii="Arial" w:hAnsi="Arial" w:eastAsia="宋体" w:cs="Arial"/>
                <w:color w:val="222222"/>
                <w:spacing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222222"/>
                <w:spacing w:val="2"/>
                <w:sz w:val="21"/>
                <w:szCs w:val="21"/>
                <w:highlight w:val="none"/>
                <w:vertAlign w:val="baseline"/>
                <w:lang w:val="en-US" w:eastAsia="zh-CN"/>
              </w:rPr>
              <w:t>0</w:t>
            </w:r>
          </w:p>
        </w:tc>
        <w:tc>
          <w:tcPr>
            <w:tcW w:w="1153" w:type="pct"/>
            <w:vAlign w:val="top"/>
          </w:tcPr>
          <w:p w14:paraId="49AF0206">
            <w:pPr>
              <w:pStyle w:val="6"/>
              <w:spacing w:before="0" w:beforeAutospacing="0" w:after="240" w:afterAutospacing="0" w:line="360" w:lineRule="auto"/>
              <w:jc w:val="right"/>
              <w:rPr>
                <w:rFonts w:hint="eastAsia" w:ascii="Arial" w:hAnsi="Arial" w:eastAsia="宋体" w:cs="Arial"/>
                <w:color w:val="222222"/>
                <w:spacing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222222"/>
                <w:spacing w:val="2"/>
                <w:sz w:val="21"/>
                <w:szCs w:val="21"/>
                <w:highlight w:val="none"/>
                <w:vertAlign w:val="baseline"/>
                <w:lang w:val="en-US" w:eastAsia="zh-CN"/>
              </w:rPr>
              <w:t>1</w:t>
            </w:r>
          </w:p>
        </w:tc>
      </w:tr>
      <w:tr w14:paraId="4DCD846F">
        <w:tblPrEx>
          <w:tblBorders>
            <w:top w:val="single" w:color="auto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2692" w:type="pct"/>
            <w:vAlign w:val="top"/>
          </w:tcPr>
          <w:p w14:paraId="066163BB">
            <w:pPr>
              <w:jc w:val="left"/>
              <w:rPr>
                <w:rFonts w:hint="default"/>
                <w:b/>
                <w:i w:val="0"/>
                <w:lang w:val="en-US" w:eastAsia="zh-CN"/>
              </w:rPr>
            </w:pPr>
            <w:r>
              <w:rPr>
                <w:rFonts w:hint="default"/>
                <w:b/>
                <w:i w:val="0"/>
                <w:lang w:val="en-US" w:eastAsia="zh-CN"/>
              </w:rPr>
              <w:t>Vaginitis</w:t>
            </w:r>
          </w:p>
        </w:tc>
        <w:tc>
          <w:tcPr>
            <w:tcW w:w="1153" w:type="pct"/>
            <w:vAlign w:val="top"/>
          </w:tcPr>
          <w:p w14:paraId="3862000D">
            <w:pPr>
              <w:pStyle w:val="6"/>
              <w:spacing w:before="0" w:beforeAutospacing="0" w:after="240" w:afterAutospacing="0" w:line="360" w:lineRule="auto"/>
              <w:jc w:val="right"/>
              <w:rPr>
                <w:rFonts w:hint="eastAsia" w:ascii="Arial" w:hAnsi="Arial" w:eastAsia="宋体" w:cs="Arial"/>
                <w:color w:val="222222"/>
                <w:spacing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222222"/>
                <w:spacing w:val="2"/>
                <w:sz w:val="21"/>
                <w:szCs w:val="21"/>
                <w:highlight w:val="none"/>
                <w:vertAlign w:val="baseline"/>
                <w:lang w:val="en-US" w:eastAsia="zh-CN"/>
              </w:rPr>
              <w:t>0</w:t>
            </w:r>
          </w:p>
        </w:tc>
        <w:tc>
          <w:tcPr>
            <w:tcW w:w="1153" w:type="pct"/>
            <w:vAlign w:val="top"/>
          </w:tcPr>
          <w:p w14:paraId="21DBF04D">
            <w:pPr>
              <w:pStyle w:val="6"/>
              <w:spacing w:before="0" w:beforeAutospacing="0" w:after="240" w:afterAutospacing="0" w:line="360" w:lineRule="auto"/>
              <w:jc w:val="right"/>
              <w:rPr>
                <w:rFonts w:hint="eastAsia" w:ascii="Arial" w:hAnsi="Arial" w:eastAsia="宋体" w:cs="Arial"/>
                <w:color w:val="222222"/>
                <w:spacing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222222"/>
                <w:spacing w:val="2"/>
                <w:sz w:val="21"/>
                <w:szCs w:val="21"/>
                <w:highlight w:val="none"/>
                <w:vertAlign w:val="baseline"/>
                <w:lang w:val="en-US" w:eastAsia="zh-CN"/>
              </w:rPr>
              <w:t>1</w:t>
            </w:r>
          </w:p>
        </w:tc>
      </w:tr>
      <w:tr w14:paraId="233A556D">
        <w:tblPrEx>
          <w:tblBorders>
            <w:top w:val="single" w:color="auto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2692" w:type="pct"/>
            <w:vAlign w:val="top"/>
          </w:tcPr>
          <w:p w14:paraId="6C92D9D3">
            <w:pPr>
              <w:jc w:val="left"/>
              <w:rPr>
                <w:rFonts w:hint="default"/>
                <w:b/>
                <w:i w:val="0"/>
                <w:lang w:val="en-US" w:eastAsia="zh-CN"/>
              </w:rPr>
            </w:pPr>
            <w:r>
              <w:rPr>
                <w:rFonts w:hint="default"/>
                <w:b/>
                <w:i w:val="0"/>
                <w:lang w:val="en-US" w:eastAsia="zh-CN"/>
              </w:rPr>
              <w:t>Fracture</w:t>
            </w:r>
          </w:p>
        </w:tc>
        <w:tc>
          <w:tcPr>
            <w:tcW w:w="1153" w:type="pct"/>
            <w:vAlign w:val="top"/>
          </w:tcPr>
          <w:p w14:paraId="499D2455">
            <w:pPr>
              <w:pStyle w:val="6"/>
              <w:spacing w:before="0" w:beforeAutospacing="0" w:after="240" w:afterAutospacing="0" w:line="360" w:lineRule="auto"/>
              <w:jc w:val="right"/>
              <w:rPr>
                <w:rFonts w:hint="default" w:ascii="Arial" w:hAnsi="Arial" w:eastAsia="宋体" w:cs="Arial"/>
                <w:color w:val="222222"/>
                <w:spacing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222222"/>
                <w:spacing w:val="2"/>
                <w:sz w:val="21"/>
                <w:szCs w:val="21"/>
                <w:highlight w:val="none"/>
                <w:vertAlign w:val="baseline"/>
                <w:lang w:val="en-US" w:eastAsia="zh-CN"/>
              </w:rPr>
              <w:t>0</w:t>
            </w:r>
          </w:p>
        </w:tc>
        <w:tc>
          <w:tcPr>
            <w:tcW w:w="1153" w:type="pct"/>
            <w:vAlign w:val="top"/>
          </w:tcPr>
          <w:p w14:paraId="7677A14B">
            <w:pPr>
              <w:pStyle w:val="6"/>
              <w:spacing w:before="0" w:beforeAutospacing="0" w:after="240" w:afterAutospacing="0" w:line="360" w:lineRule="auto"/>
              <w:jc w:val="right"/>
              <w:rPr>
                <w:rFonts w:hint="eastAsia" w:ascii="Arial" w:hAnsi="Arial" w:eastAsia="宋体" w:cs="Arial"/>
                <w:color w:val="222222"/>
                <w:spacing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222222"/>
                <w:spacing w:val="2"/>
                <w:sz w:val="21"/>
                <w:szCs w:val="21"/>
                <w:highlight w:val="none"/>
                <w:vertAlign w:val="baseline"/>
                <w:lang w:val="en-US" w:eastAsia="zh-CN"/>
              </w:rPr>
              <w:t>1</w:t>
            </w:r>
          </w:p>
        </w:tc>
      </w:tr>
      <w:tr w14:paraId="47EFBCA7">
        <w:tblPrEx>
          <w:tblBorders>
            <w:top w:val="single" w:color="auto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2692" w:type="pct"/>
            <w:vAlign w:val="top"/>
          </w:tcPr>
          <w:p w14:paraId="50751F44">
            <w:pPr>
              <w:jc w:val="left"/>
              <w:rPr>
                <w:rFonts w:hint="default"/>
                <w:b/>
                <w:i w:val="0"/>
                <w:lang w:val="en-US" w:eastAsia="zh-CN"/>
              </w:rPr>
            </w:pPr>
            <w:r>
              <w:rPr>
                <w:rFonts w:hint="default"/>
                <w:b/>
                <w:i w:val="0"/>
                <w:lang w:val="en-US" w:eastAsia="zh-CN"/>
              </w:rPr>
              <w:t>Deep vein thrombosis</w:t>
            </w:r>
          </w:p>
        </w:tc>
        <w:tc>
          <w:tcPr>
            <w:tcW w:w="1153" w:type="pct"/>
            <w:vAlign w:val="top"/>
          </w:tcPr>
          <w:p w14:paraId="209DD8A1">
            <w:pPr>
              <w:pStyle w:val="6"/>
              <w:spacing w:before="0" w:beforeAutospacing="0" w:after="240" w:afterAutospacing="0" w:line="360" w:lineRule="auto"/>
              <w:jc w:val="right"/>
              <w:rPr>
                <w:rFonts w:hint="eastAsia" w:ascii="Arial" w:hAnsi="Arial" w:eastAsia="宋体" w:cs="Arial"/>
                <w:color w:val="222222"/>
                <w:spacing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222222"/>
                <w:spacing w:val="2"/>
                <w:sz w:val="21"/>
                <w:szCs w:val="21"/>
                <w:highlight w:val="none"/>
                <w:vertAlign w:val="baseline"/>
                <w:lang w:val="en-US" w:eastAsia="zh-CN"/>
              </w:rPr>
              <w:t>0</w:t>
            </w:r>
          </w:p>
        </w:tc>
        <w:tc>
          <w:tcPr>
            <w:tcW w:w="1153" w:type="pct"/>
            <w:vAlign w:val="top"/>
          </w:tcPr>
          <w:p w14:paraId="7185183F">
            <w:pPr>
              <w:pStyle w:val="6"/>
              <w:spacing w:before="0" w:beforeAutospacing="0" w:after="240" w:afterAutospacing="0" w:line="360" w:lineRule="auto"/>
              <w:jc w:val="right"/>
              <w:rPr>
                <w:rFonts w:hint="eastAsia" w:ascii="Arial" w:hAnsi="Arial" w:eastAsia="宋体" w:cs="Arial"/>
                <w:color w:val="222222"/>
                <w:spacing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222222"/>
                <w:spacing w:val="2"/>
                <w:sz w:val="21"/>
                <w:szCs w:val="21"/>
                <w:highlight w:val="none"/>
                <w:vertAlign w:val="baseline"/>
                <w:lang w:val="en-US" w:eastAsia="zh-CN"/>
              </w:rPr>
              <w:t>1</w:t>
            </w:r>
          </w:p>
        </w:tc>
      </w:tr>
      <w:tr w14:paraId="41E3138A">
        <w:tblPrEx>
          <w:tblBorders>
            <w:top w:val="single" w:color="auto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exact"/>
          <w:jc w:val="center"/>
        </w:trPr>
        <w:tc>
          <w:tcPr>
            <w:tcW w:w="2692" w:type="pct"/>
            <w:vAlign w:val="top"/>
          </w:tcPr>
          <w:p w14:paraId="6C6873A9">
            <w:pPr>
              <w:jc w:val="left"/>
              <w:rPr>
                <w:rFonts w:hint="default"/>
                <w:b/>
                <w:i w:val="0"/>
                <w:lang w:val="en-US" w:eastAsia="zh-CN"/>
              </w:rPr>
            </w:pPr>
            <w:r>
              <w:rPr>
                <w:rFonts w:hint="default"/>
                <w:b/>
                <w:i w:val="0"/>
                <w:lang w:val="en-US" w:eastAsia="zh-CN"/>
              </w:rPr>
              <w:t>Gastrointestinal hemorrhage</w:t>
            </w:r>
          </w:p>
        </w:tc>
        <w:tc>
          <w:tcPr>
            <w:tcW w:w="1153" w:type="pct"/>
            <w:vAlign w:val="top"/>
          </w:tcPr>
          <w:p w14:paraId="0D919EB0">
            <w:pPr>
              <w:pStyle w:val="6"/>
              <w:spacing w:before="0" w:beforeAutospacing="0" w:after="240" w:afterAutospacing="0" w:line="360" w:lineRule="auto"/>
              <w:jc w:val="right"/>
              <w:rPr>
                <w:rFonts w:hint="eastAsia" w:ascii="Arial" w:hAnsi="Arial" w:eastAsia="宋体" w:cs="Arial"/>
                <w:color w:val="222222"/>
                <w:spacing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222222"/>
                <w:spacing w:val="2"/>
                <w:sz w:val="21"/>
                <w:szCs w:val="21"/>
                <w:highlight w:val="none"/>
                <w:vertAlign w:val="baseline"/>
                <w:lang w:val="en-US" w:eastAsia="zh-CN"/>
              </w:rPr>
              <w:t>0</w:t>
            </w:r>
          </w:p>
        </w:tc>
        <w:tc>
          <w:tcPr>
            <w:tcW w:w="1153" w:type="pct"/>
            <w:vAlign w:val="top"/>
          </w:tcPr>
          <w:p w14:paraId="226B9216">
            <w:pPr>
              <w:pStyle w:val="6"/>
              <w:spacing w:before="0" w:beforeAutospacing="0" w:after="240" w:afterAutospacing="0" w:line="360" w:lineRule="auto"/>
              <w:jc w:val="right"/>
              <w:rPr>
                <w:rFonts w:hint="eastAsia" w:ascii="Arial" w:hAnsi="Arial" w:eastAsia="宋体" w:cs="Arial"/>
                <w:color w:val="222222"/>
                <w:spacing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222222"/>
                <w:spacing w:val="2"/>
                <w:sz w:val="21"/>
                <w:szCs w:val="21"/>
                <w:highlight w:val="none"/>
                <w:vertAlign w:val="baseline"/>
                <w:lang w:val="en-US" w:eastAsia="zh-CN"/>
              </w:rPr>
              <w:t>2</w:t>
            </w:r>
          </w:p>
        </w:tc>
      </w:tr>
      <w:tr w14:paraId="4B0D24C6">
        <w:tblPrEx>
          <w:tblBorders>
            <w:top w:val="single" w:color="auto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2692" w:type="pct"/>
            <w:vAlign w:val="top"/>
          </w:tcPr>
          <w:p w14:paraId="696DDCCC">
            <w:pPr>
              <w:jc w:val="left"/>
              <w:rPr>
                <w:rFonts w:hint="default"/>
                <w:b/>
                <w:i w:val="0"/>
                <w:lang w:val="en-US" w:eastAsia="zh-CN"/>
              </w:rPr>
            </w:pPr>
            <w:r>
              <w:rPr>
                <w:rFonts w:hint="default"/>
                <w:b/>
                <w:i w:val="0"/>
                <w:lang w:val="en-US" w:eastAsia="zh-CN"/>
              </w:rPr>
              <w:t>Cerebral hemorrhage</w:t>
            </w:r>
          </w:p>
        </w:tc>
        <w:tc>
          <w:tcPr>
            <w:tcW w:w="1153" w:type="pct"/>
            <w:vAlign w:val="top"/>
          </w:tcPr>
          <w:p w14:paraId="50A689ED">
            <w:pPr>
              <w:pStyle w:val="6"/>
              <w:spacing w:before="0" w:beforeAutospacing="0" w:after="240" w:afterAutospacing="0" w:line="360" w:lineRule="auto"/>
              <w:jc w:val="right"/>
              <w:rPr>
                <w:rFonts w:hint="eastAsia" w:ascii="Arial" w:hAnsi="Arial" w:eastAsia="宋体" w:cs="Arial"/>
                <w:color w:val="222222"/>
                <w:spacing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222222"/>
                <w:spacing w:val="2"/>
                <w:sz w:val="21"/>
                <w:szCs w:val="21"/>
                <w:highlight w:val="none"/>
                <w:vertAlign w:val="baseline"/>
                <w:lang w:val="en-US" w:eastAsia="zh-CN"/>
              </w:rPr>
              <w:t>0</w:t>
            </w:r>
          </w:p>
        </w:tc>
        <w:tc>
          <w:tcPr>
            <w:tcW w:w="1153" w:type="pct"/>
            <w:vAlign w:val="top"/>
          </w:tcPr>
          <w:p w14:paraId="4447B5A3">
            <w:pPr>
              <w:pStyle w:val="6"/>
              <w:spacing w:before="0" w:beforeAutospacing="0" w:after="240" w:afterAutospacing="0" w:line="360" w:lineRule="auto"/>
              <w:jc w:val="right"/>
              <w:rPr>
                <w:rFonts w:hint="eastAsia" w:ascii="Arial" w:hAnsi="Arial" w:eastAsia="宋体" w:cs="Arial"/>
                <w:color w:val="222222"/>
                <w:spacing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222222"/>
                <w:spacing w:val="2"/>
                <w:sz w:val="21"/>
                <w:szCs w:val="21"/>
                <w:highlight w:val="none"/>
                <w:vertAlign w:val="baseline"/>
                <w:lang w:val="en-US" w:eastAsia="zh-CN"/>
              </w:rPr>
              <w:t>1</w:t>
            </w:r>
          </w:p>
        </w:tc>
      </w:tr>
      <w:tr w14:paraId="1A5A449A">
        <w:tblPrEx>
          <w:tblBorders>
            <w:top w:val="single" w:color="auto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2692" w:type="pct"/>
            <w:vAlign w:val="top"/>
          </w:tcPr>
          <w:p w14:paraId="1F688240">
            <w:pPr>
              <w:jc w:val="left"/>
              <w:rPr>
                <w:rFonts w:hint="default"/>
                <w:b/>
                <w:i w:val="0"/>
                <w:lang w:val="en-US" w:eastAsia="zh-CN"/>
              </w:rPr>
            </w:pPr>
            <w:r>
              <w:rPr>
                <w:rFonts w:hint="default"/>
                <w:b/>
                <w:i w:val="0"/>
                <w:lang w:val="en-US" w:eastAsia="zh-CN"/>
              </w:rPr>
              <w:t>Pain</w:t>
            </w:r>
          </w:p>
        </w:tc>
        <w:tc>
          <w:tcPr>
            <w:tcW w:w="1153" w:type="pct"/>
            <w:vAlign w:val="top"/>
          </w:tcPr>
          <w:p w14:paraId="7B314289">
            <w:pPr>
              <w:pStyle w:val="6"/>
              <w:spacing w:before="0" w:beforeAutospacing="0" w:after="240" w:afterAutospacing="0" w:line="360" w:lineRule="auto"/>
              <w:jc w:val="right"/>
              <w:rPr>
                <w:rFonts w:hint="eastAsia" w:ascii="Arial" w:hAnsi="Arial" w:eastAsia="宋体" w:cs="Arial"/>
                <w:color w:val="222222"/>
                <w:spacing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222222"/>
                <w:spacing w:val="2"/>
                <w:sz w:val="21"/>
                <w:szCs w:val="21"/>
                <w:highlight w:val="none"/>
                <w:vertAlign w:val="baseline"/>
                <w:lang w:val="en-US" w:eastAsia="zh-CN"/>
              </w:rPr>
              <w:t>0</w:t>
            </w:r>
          </w:p>
        </w:tc>
        <w:tc>
          <w:tcPr>
            <w:tcW w:w="1153" w:type="pct"/>
            <w:vAlign w:val="top"/>
          </w:tcPr>
          <w:p w14:paraId="06C71137">
            <w:pPr>
              <w:pStyle w:val="6"/>
              <w:spacing w:before="0" w:beforeAutospacing="0" w:after="240" w:afterAutospacing="0" w:line="360" w:lineRule="auto"/>
              <w:jc w:val="right"/>
              <w:rPr>
                <w:rFonts w:hint="default" w:ascii="Arial" w:hAnsi="Arial" w:eastAsia="宋体" w:cs="Arial"/>
                <w:color w:val="222222"/>
                <w:spacing w:val="2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222222"/>
                <w:spacing w:val="2"/>
                <w:sz w:val="21"/>
                <w:szCs w:val="21"/>
                <w:highlight w:val="none"/>
                <w:vertAlign w:val="baseline"/>
                <w:lang w:val="en-US" w:eastAsia="zh-CN"/>
              </w:rPr>
              <w:t>2</w:t>
            </w:r>
          </w:p>
        </w:tc>
      </w:tr>
    </w:tbl>
    <w:p w14:paraId="53D6F4A5">
      <w:pPr>
        <w:spacing w:afterAutospacing="0"/>
        <w:ind w:left="0" w:leftChars="0"/>
        <w:jc w:val="both"/>
        <w:rPr>
          <w:rFonts w:hint="eastAsia"/>
          <w:b w:val="0"/>
          <w:i/>
          <w:sz w:val="18"/>
        </w:rPr>
      </w:pPr>
      <w:r>
        <w:rPr>
          <w:b w:val="0"/>
          <w:i/>
          <w:sz w:val="18"/>
        </w:rPr>
        <w:t>BIO, biologics; SOC, standard of care. Owing to the small number of adverse events, formal between-group statistical comparisons were not performed.</w:t>
      </w:r>
    </w:p>
    <w:p w14:paraId="419E9065"/>
    <w:p w14:paraId="124E603F">
      <w:bookmarkStart w:id="0" w:name="_GoBack"/>
      <w:bookmarkEnd w:id="0"/>
    </w:p>
    <w:p w14:paraId="4E65FD0A"/>
    <w:p w14:paraId="5BF0DB9F"/>
    <w:p w14:paraId="1BE17609"/>
    <w:p w14:paraId="6B7D5FAC"/>
    <w:p w14:paraId="5BC3C739"/>
    <w:p w14:paraId="4FCBA882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3D1B29"/>
    <w:rsid w:val="25DD30FB"/>
    <w:rsid w:val="273D1B29"/>
    <w:rsid w:val="6C4D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u-mb-1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124</Words>
  <Characters>799</Characters>
  <Lines>0</Lines>
  <Paragraphs>0</Paragraphs>
  <TotalTime>1</TotalTime>
  <ScaleCrop>false</ScaleCrop>
  <LinksUpToDate>false</LinksUpToDate>
  <CharactersWithSpaces>888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2026-04-26T09:21:00Z</dcterms:created>
  <dc:creator>王苑</dc:creator>
  <cp:lastModifiedBy>王苑</cp:lastModifiedBy>
  <dcterms:modified xsi:type="dcterms:W3CDTF">2026-07-23T14:50:51Z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22A6E33B9D364F569DA601C66D9C6539_13</vt:lpwstr>
  </property>
  <property fmtid="{D5CDD505-2E9C-101B-9397-08002B2CF9AE}" pid="4" name="KSOTemplateDocerSaveRecord">
    <vt:lpwstr>eyJoZGlkIjoiMzMxYzY1MGRhMTEzMmFlMWU1MzcwYTEwM2I4OTkyMzMiLCJ1c2VySWQiOiIxMDYzMjE3MDkyIn0=</vt:lpwstr>
  </property>
</Properties>
</file>