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DBFA27" w14:textId="421965A5" w:rsidR="00212089" w:rsidRPr="00CB418D" w:rsidRDefault="00212089" w:rsidP="00612921">
      <w:pPr>
        <w:spacing w:line="480" w:lineRule="auto"/>
        <w:jc w:val="both"/>
        <w:rPr>
          <w:rFonts w:cstheme="minorHAnsi"/>
          <w:sz w:val="24"/>
          <w:szCs w:val="24"/>
          <w:lang w:val="en-US"/>
        </w:rPr>
      </w:pPr>
      <w:r w:rsidRPr="00CB418D">
        <w:rPr>
          <w:rFonts w:cstheme="minorHAnsi"/>
          <w:b/>
          <w:sz w:val="24"/>
          <w:szCs w:val="24"/>
          <w:lang w:val="en-US"/>
        </w:rPr>
        <w:t>Supplementary Table S1.</w:t>
      </w:r>
      <w:r w:rsidRPr="00CB418D">
        <w:rPr>
          <w:rFonts w:cstheme="minorHAnsi"/>
          <w:sz w:val="24"/>
          <w:szCs w:val="24"/>
          <w:lang w:val="en-US"/>
        </w:rPr>
        <w:t xml:space="preserve"> Adjusted multivariate logistic regression analysis with achievement of a ≥50% reduction in monthly headache days (MHD) as the dependent variable.</w:t>
      </w:r>
    </w:p>
    <w:p w14:paraId="7238EB16" w14:textId="5311F1B4" w:rsidR="00212089" w:rsidRDefault="00212089" w:rsidP="00612921">
      <w:pPr>
        <w:spacing w:line="480" w:lineRule="auto"/>
        <w:rPr>
          <w:rFonts w:cstheme="minorHAnsi"/>
          <w:sz w:val="24"/>
          <w:szCs w:val="24"/>
          <w:lang w:val="en-US"/>
        </w:rPr>
      </w:pPr>
      <w:bookmarkStart w:id="0" w:name="_GoBack"/>
      <w:bookmarkEnd w:id="0"/>
      <w:r w:rsidRPr="00CB418D">
        <w:rPr>
          <w:rFonts w:cstheme="minorHAnsi"/>
          <w:b/>
          <w:sz w:val="24"/>
          <w:szCs w:val="24"/>
          <w:lang w:val="en-US"/>
        </w:rPr>
        <w:t>(</w:t>
      </w:r>
      <w:r w:rsidR="008A4906">
        <w:rPr>
          <w:rFonts w:cstheme="minorHAnsi"/>
          <w:b/>
          <w:sz w:val="24"/>
          <w:szCs w:val="24"/>
          <w:lang w:val="en-US"/>
        </w:rPr>
        <w:t>A</w:t>
      </w:r>
      <w:r w:rsidRPr="00CB418D">
        <w:rPr>
          <w:rFonts w:cstheme="minorHAnsi"/>
          <w:b/>
          <w:sz w:val="24"/>
          <w:szCs w:val="24"/>
          <w:lang w:val="en-US"/>
        </w:rPr>
        <w:t>)</w:t>
      </w:r>
      <w:r w:rsidRPr="00CB418D">
        <w:rPr>
          <w:rFonts w:cstheme="minorHAnsi"/>
          <w:sz w:val="24"/>
          <w:szCs w:val="24"/>
          <w:lang w:val="en-US"/>
        </w:rPr>
        <w:t xml:space="preserve"> Multivariate model including all prespecified covariates</w:t>
      </w:r>
      <w:r w:rsidR="008A4906">
        <w:rPr>
          <w:rFonts w:cstheme="minorHAnsi"/>
          <w:sz w:val="24"/>
          <w:szCs w:val="24"/>
          <w:lang w:val="en-US"/>
        </w:rPr>
        <w:t xml:space="preserve"> of the primary analysis</w:t>
      </w:r>
      <w:r w:rsidRPr="00CB418D">
        <w:rPr>
          <w:rFonts w:cstheme="minorHAnsi"/>
          <w:sz w:val="24"/>
          <w:szCs w:val="24"/>
          <w:lang w:val="en-US"/>
        </w:rPr>
        <w:t>, with the number of prior preventive treatment failures entered as a continuous variable instead of treatment group (SPT vs. MPT).</w:t>
      </w:r>
      <w:r w:rsidR="008A4906">
        <w:rPr>
          <w:rFonts w:cstheme="minorHAnsi"/>
          <w:sz w:val="24"/>
          <w:szCs w:val="24"/>
          <w:lang w:val="en-US"/>
        </w:rPr>
        <w:t xml:space="preserve"> </w:t>
      </w:r>
      <w:r w:rsidR="008A4906" w:rsidRPr="008A4906">
        <w:rPr>
          <w:rFonts w:cstheme="minorHAnsi"/>
          <w:sz w:val="24"/>
          <w:szCs w:val="24"/>
          <w:lang w:val="en-US"/>
        </w:rPr>
        <w:t>The responder rates, defined as a ≥50% reduction in MHD, in the population included in this analysis were identical to those observed in the overall cohort, as reported in Table 3 (MPT: 43/140 (30.7%); SPT: 20/56 (35.7%)).</w:t>
      </w:r>
    </w:p>
    <w:tbl>
      <w:tblPr>
        <w:tblStyle w:val="Table"/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847"/>
        <w:gridCol w:w="839"/>
        <w:gridCol w:w="1389"/>
        <w:gridCol w:w="1181"/>
      </w:tblGrid>
      <w:tr w:rsidR="008A4906" w:rsidRPr="00CB418D" w14:paraId="7E260D47" w14:textId="77777777" w:rsidTr="007735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3847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60C0B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cstheme="minorHAnsi"/>
                <w:sz w:val="20"/>
                <w:szCs w:val="20"/>
              </w:rPr>
            </w:pPr>
            <w:r w:rsidRPr="00CB418D">
              <w:rPr>
                <w:rFonts w:eastAsia="Arial" w:cstheme="minorHAnsi"/>
                <w:b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83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8EC53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  <w:r w:rsidRPr="00CB418D">
              <w:rPr>
                <w:rFonts w:eastAsia="Arial" w:cstheme="minorHAnsi"/>
                <w:b/>
                <w:color w:val="000000"/>
                <w:sz w:val="20"/>
                <w:szCs w:val="20"/>
              </w:rPr>
              <w:t>OR</w:t>
            </w:r>
          </w:p>
        </w:tc>
        <w:tc>
          <w:tcPr>
            <w:tcW w:w="138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ED609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  <w:r w:rsidRPr="00CB418D">
              <w:rPr>
                <w:rFonts w:eastAsia="Arial" w:cstheme="minorHAnsi"/>
                <w:b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605B8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  <w:r w:rsidRPr="00CB418D">
              <w:rPr>
                <w:rFonts w:eastAsia="Arial" w:cstheme="minorHAnsi"/>
                <w:b/>
                <w:color w:val="000000"/>
                <w:sz w:val="20"/>
                <w:szCs w:val="20"/>
              </w:rPr>
              <w:t>p-value</w:t>
            </w:r>
          </w:p>
        </w:tc>
      </w:tr>
      <w:tr w:rsidR="008A4906" w:rsidRPr="00CB418D" w14:paraId="65F4BE74" w14:textId="77777777" w:rsidTr="0077352B">
        <w:trPr>
          <w:jc w:val="center"/>
        </w:trPr>
        <w:tc>
          <w:tcPr>
            <w:tcW w:w="3847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847CB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0"/>
              </w:rPr>
              <w:t>Number of pre-treatments</w:t>
            </w:r>
          </w:p>
        </w:tc>
        <w:tc>
          <w:tcPr>
            <w:tcW w:w="83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6F8E8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1.04</w:t>
            </w:r>
          </w:p>
        </w:tc>
        <w:tc>
          <w:tcPr>
            <w:tcW w:w="138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7C507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0.84, 1.30</w:t>
            </w: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E9B33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0.7</w:t>
            </w:r>
          </w:p>
        </w:tc>
      </w:tr>
      <w:tr w:rsidR="008A4906" w:rsidRPr="00CB418D" w14:paraId="10C4CE4D" w14:textId="77777777" w:rsidTr="0077352B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B5A8E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0"/>
              </w:rPr>
              <w:t>Age (years)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DE16F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0.99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E563D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0.96, 1.02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F1FD3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0.6</w:t>
            </w:r>
          </w:p>
        </w:tc>
      </w:tr>
      <w:tr w:rsidR="008A4906" w:rsidRPr="00CB418D" w14:paraId="4715AA2B" w14:textId="77777777" w:rsidTr="0077352B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B21FB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0"/>
              </w:rPr>
              <w:t>Sex (ref: male)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39B5C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BF7F6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43C2E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A4906" w:rsidRPr="00CB418D" w14:paraId="5618C74C" w14:textId="77777777" w:rsidTr="0077352B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E1E65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cstheme="minorHAnsi"/>
                <w:sz w:val="20"/>
                <w:szCs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0DC4F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1.37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0B7D0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0.61, 3.15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87CCF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0.5</w:t>
            </w:r>
          </w:p>
        </w:tc>
      </w:tr>
      <w:tr w:rsidR="008A4906" w:rsidRPr="00CB418D" w14:paraId="434A3AE4" w14:textId="77777777" w:rsidTr="0077352B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28DFF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0"/>
              </w:rPr>
              <w:t>Baseline headache days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E2BE0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1.00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63214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0.91, 1.09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BECD9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&gt;0.9</w:t>
            </w:r>
          </w:p>
        </w:tc>
      </w:tr>
      <w:tr w:rsidR="008A4906" w:rsidRPr="00CB418D" w14:paraId="03DA2F62" w14:textId="77777777" w:rsidTr="0077352B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212A0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0"/>
              </w:rPr>
              <w:t>Chronic migraine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136C6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F420B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559FD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A4906" w:rsidRPr="00CB418D" w14:paraId="1394CC81" w14:textId="77777777" w:rsidTr="0077352B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8685D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cstheme="minorHAnsi"/>
                <w:sz w:val="20"/>
                <w:szCs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8A69B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0.28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C5497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0.07, 1.04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5D4E2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0.064</w:t>
            </w:r>
          </w:p>
        </w:tc>
      </w:tr>
      <w:tr w:rsidR="008A4906" w:rsidRPr="00CB418D" w14:paraId="2728B171" w14:textId="77777777" w:rsidTr="0077352B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621A4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0"/>
              </w:rPr>
              <w:t>Daily headache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573EF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D6C1E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9A200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A4906" w:rsidRPr="00CB418D" w14:paraId="4875FA0B" w14:textId="77777777" w:rsidTr="0077352B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C14EA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cstheme="minorHAnsi"/>
                <w:sz w:val="20"/>
                <w:szCs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B3F2F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0.23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3B04F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0.03, 1.25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FB66B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0.11</w:t>
            </w:r>
          </w:p>
        </w:tc>
      </w:tr>
      <w:tr w:rsidR="008A4906" w:rsidRPr="00CB418D" w14:paraId="214702D3" w14:textId="77777777" w:rsidTr="0077352B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6434C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0"/>
              </w:rPr>
              <w:t>Medication overuse headache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0A982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38D1B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93D71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A4906" w:rsidRPr="00CB418D" w14:paraId="038D3D50" w14:textId="77777777" w:rsidTr="0077352B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42C59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cstheme="minorHAnsi"/>
                <w:sz w:val="20"/>
                <w:szCs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6280D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4.17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B4CC5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1.58, 12.5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CF76F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0.006</w:t>
            </w:r>
          </w:p>
        </w:tc>
      </w:tr>
      <w:tr w:rsidR="008A4906" w:rsidRPr="00CB418D" w14:paraId="34E84D37" w14:textId="77777777" w:rsidTr="0077352B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5CD53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0"/>
              </w:rPr>
              <w:t>Psychiatric comorbidity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2C9E3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7D00C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53A3E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A4906" w:rsidRPr="00CB418D" w14:paraId="324E4B91" w14:textId="77777777" w:rsidTr="0077352B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71803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cstheme="minorHAnsi"/>
                <w:sz w:val="20"/>
                <w:szCs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10D8C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1.24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18142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0.54, 3.02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8B32B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0.6</w:t>
            </w:r>
          </w:p>
        </w:tc>
      </w:tr>
      <w:tr w:rsidR="008A4906" w:rsidRPr="00CB418D" w14:paraId="7398B511" w14:textId="77777777" w:rsidTr="0077352B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5D671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0"/>
              </w:rPr>
              <w:t>Concomitant preventive medication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05B94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63540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5C08C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A4906" w:rsidRPr="00CB418D" w14:paraId="29F921E0" w14:textId="77777777" w:rsidTr="0077352B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730E8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cstheme="minorHAnsi"/>
                <w:sz w:val="20"/>
                <w:szCs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C0521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0.87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D9C74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0.44, 1.71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7E356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0.7</w:t>
            </w:r>
          </w:p>
        </w:tc>
      </w:tr>
      <w:tr w:rsidR="008A4906" w:rsidRPr="00CB418D" w14:paraId="3D85162E" w14:textId="77777777" w:rsidTr="0077352B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55ABA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proofErr w:type="spellStart"/>
            <w:r w:rsidRPr="00CB418D">
              <w:rPr>
                <w:rFonts w:eastAsia="Arial" w:cstheme="minorHAnsi"/>
                <w:color w:val="000000"/>
                <w:sz w:val="20"/>
                <w:szCs w:val="20"/>
              </w:rPr>
              <w:t>Erenumab</w:t>
            </w:r>
            <w:proofErr w:type="spellEnd"/>
            <w:r w:rsidRPr="00CB418D">
              <w:rPr>
                <w:rFonts w:eastAsia="Arial" w:cstheme="minorHAnsi"/>
                <w:color w:val="000000"/>
                <w:sz w:val="20"/>
                <w:szCs w:val="20"/>
              </w:rPr>
              <w:t xml:space="preserve"> dose (ref: 140mg)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66EEE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A86BE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FD82D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A4906" w:rsidRPr="00CB418D" w14:paraId="5A0419F5" w14:textId="77777777" w:rsidTr="0077352B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0C8C4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cstheme="minorHAnsi"/>
                <w:sz w:val="20"/>
                <w:szCs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0"/>
              </w:rPr>
              <w:t>70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2C9D0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0.79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51CC3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0.29, 2.09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D2368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0.6</w:t>
            </w:r>
          </w:p>
        </w:tc>
      </w:tr>
      <w:tr w:rsidR="008A4906" w:rsidRPr="00CB418D" w14:paraId="13204F2B" w14:textId="77777777" w:rsidTr="0077352B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4A94A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0"/>
              </w:rPr>
              <w:t>Headache diary available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F5B31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A426F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3A225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8A4906" w:rsidRPr="00CB418D" w14:paraId="06EFAA33" w14:textId="77777777" w:rsidTr="0077352B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9E37C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cstheme="minorHAnsi"/>
                <w:sz w:val="20"/>
                <w:szCs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Medical documentation only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8F519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0.79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F8CE3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0.37, 1.66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C9AEA" w14:textId="77777777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ascii="Calibri" w:hAnsi="Calibri"/>
                <w:sz w:val="20"/>
              </w:rPr>
              <w:t>0.5</w:t>
            </w:r>
          </w:p>
        </w:tc>
      </w:tr>
      <w:tr w:rsidR="008A4906" w:rsidRPr="009B4312" w14:paraId="2F2C8A2A" w14:textId="77777777" w:rsidTr="0077352B">
        <w:trPr>
          <w:jc w:val="center"/>
        </w:trPr>
        <w:tc>
          <w:tcPr>
            <w:tcW w:w="7256" w:type="dxa"/>
            <w:gridSpan w:val="4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119EE" w14:textId="3D1023CC" w:rsidR="008A4906" w:rsidRPr="00CB418D" w:rsidRDefault="008A4906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  <w:szCs w:val="20"/>
              </w:rPr>
            </w:pPr>
            <w:r w:rsidRPr="008A4906">
              <w:rPr>
                <w:rFonts w:eastAsia="Arial" w:cstheme="minorHAnsi"/>
                <w:color w:val="000000"/>
                <w:sz w:val="20"/>
                <w:szCs w:val="22"/>
              </w:rPr>
              <w:t>CI: Confidence Interval, MPT: Multiple prior preventive therapies, OR: Odds Ratio, SPT: Single prior preventive therapy</w:t>
            </w:r>
          </w:p>
        </w:tc>
      </w:tr>
    </w:tbl>
    <w:p w14:paraId="4C89872A" w14:textId="53133591" w:rsidR="008A4906" w:rsidRDefault="008A4906" w:rsidP="00612921">
      <w:pPr>
        <w:spacing w:line="480" w:lineRule="auto"/>
        <w:rPr>
          <w:rFonts w:cstheme="minorHAnsi"/>
          <w:sz w:val="24"/>
          <w:szCs w:val="24"/>
          <w:lang w:val="en-US"/>
        </w:rPr>
      </w:pPr>
    </w:p>
    <w:p w14:paraId="5CE3ACAD" w14:textId="77777777" w:rsidR="008A4906" w:rsidRPr="00CB418D" w:rsidRDefault="008A4906" w:rsidP="008A4906">
      <w:pPr>
        <w:spacing w:line="480" w:lineRule="auto"/>
        <w:jc w:val="both"/>
        <w:rPr>
          <w:rFonts w:cstheme="minorHAnsi"/>
          <w:sz w:val="24"/>
          <w:szCs w:val="24"/>
          <w:lang w:val="en-US"/>
        </w:rPr>
      </w:pPr>
      <w:r w:rsidRPr="00CB418D">
        <w:rPr>
          <w:rFonts w:cstheme="minorHAnsi"/>
          <w:b/>
          <w:sz w:val="24"/>
          <w:szCs w:val="24"/>
          <w:lang w:val="en-US"/>
        </w:rPr>
        <w:lastRenderedPageBreak/>
        <w:t>(</w:t>
      </w:r>
      <w:r>
        <w:rPr>
          <w:rFonts w:cstheme="minorHAnsi"/>
          <w:b/>
          <w:sz w:val="24"/>
          <w:szCs w:val="24"/>
          <w:lang w:val="en-US"/>
        </w:rPr>
        <w:t>B</w:t>
      </w:r>
      <w:r w:rsidRPr="00CB418D">
        <w:rPr>
          <w:rFonts w:cstheme="minorHAnsi"/>
          <w:b/>
          <w:sz w:val="24"/>
          <w:szCs w:val="24"/>
          <w:lang w:val="en-US"/>
        </w:rPr>
        <w:t>)</w:t>
      </w:r>
      <w:r w:rsidRPr="00CB418D">
        <w:rPr>
          <w:rFonts w:cstheme="minorHAnsi"/>
          <w:sz w:val="24"/>
          <w:szCs w:val="24"/>
          <w:lang w:val="en-US"/>
        </w:rPr>
        <w:t xml:space="preserve"> Multivariate model including all prespecified covariates, with treatment group (single prior preventive treatment failure [SPT] vs. multiple prior preventive treatment failures [MPT]) as the primary explanatory variable.</w:t>
      </w:r>
    </w:p>
    <w:tbl>
      <w:tblPr>
        <w:tblStyle w:val="Table"/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847"/>
        <w:gridCol w:w="839"/>
        <w:gridCol w:w="1389"/>
        <w:gridCol w:w="1181"/>
      </w:tblGrid>
      <w:tr w:rsidR="008A4906" w:rsidRPr="00CB418D" w14:paraId="39D9FF8C" w14:textId="77777777" w:rsidTr="006C0A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3847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45E56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b/>
                <w:color w:val="000000"/>
                <w:sz w:val="20"/>
                <w:szCs w:val="22"/>
              </w:rPr>
              <w:t>Characteristic</w:t>
            </w:r>
          </w:p>
        </w:tc>
        <w:tc>
          <w:tcPr>
            <w:tcW w:w="83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3DBE4" w14:textId="2FE6C8F3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b/>
                <w:color w:val="000000"/>
                <w:sz w:val="20"/>
                <w:szCs w:val="22"/>
              </w:rPr>
              <w:t>OR</w:t>
            </w:r>
          </w:p>
        </w:tc>
        <w:tc>
          <w:tcPr>
            <w:tcW w:w="138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77AB7" w14:textId="43B7DFD4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b/>
                <w:color w:val="000000"/>
                <w:sz w:val="20"/>
                <w:szCs w:val="22"/>
              </w:rPr>
              <w:t>95% CI</w:t>
            </w: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BA3DB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b/>
                <w:color w:val="000000"/>
                <w:sz w:val="20"/>
                <w:szCs w:val="22"/>
              </w:rPr>
              <w:t>p-value</w:t>
            </w:r>
          </w:p>
        </w:tc>
      </w:tr>
      <w:tr w:rsidR="008A4906" w:rsidRPr="009B4312" w14:paraId="1599F3D3" w14:textId="77777777" w:rsidTr="006C0A39">
        <w:trPr>
          <w:jc w:val="center"/>
        </w:trPr>
        <w:tc>
          <w:tcPr>
            <w:tcW w:w="3847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D626A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Treatment group (SPT vs MPT)</w:t>
            </w:r>
          </w:p>
        </w:tc>
        <w:tc>
          <w:tcPr>
            <w:tcW w:w="83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5846E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38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6369F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A3041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</w:tr>
      <w:tr w:rsidR="008A4906" w:rsidRPr="00CB418D" w14:paraId="66A351A6" w14:textId="77777777" w:rsidTr="006C0A39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BA0B2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MPT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0AB98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—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3EBBE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—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7A5DF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</w:tr>
      <w:tr w:rsidR="008A4906" w:rsidRPr="00CB418D" w14:paraId="2BA18CDB" w14:textId="77777777" w:rsidTr="006C0A39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02E0A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SPT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2FC38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1.46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2A7DE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0.52, 4.12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EB9FA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0.5</w:t>
            </w:r>
          </w:p>
        </w:tc>
      </w:tr>
      <w:tr w:rsidR="008A4906" w:rsidRPr="00CB418D" w14:paraId="368A4F5F" w14:textId="77777777" w:rsidTr="006C0A39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569A6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Age (years)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2F912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0.98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9F371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0.94, 1.02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D0FF8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0.3</w:t>
            </w:r>
          </w:p>
        </w:tc>
      </w:tr>
      <w:tr w:rsidR="008A4906" w:rsidRPr="00CB418D" w14:paraId="2BB1FF8F" w14:textId="77777777" w:rsidTr="006C0A39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3C4C7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Sex (ref: male)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0FB41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3DB49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03DDB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</w:tr>
      <w:tr w:rsidR="008A4906" w:rsidRPr="00CB418D" w14:paraId="15C56FBE" w14:textId="77777777" w:rsidTr="006C0A39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5DFD9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female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96BF1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1.30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EA371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0.54, 3.24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0E3F2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0.6</w:t>
            </w:r>
          </w:p>
        </w:tc>
      </w:tr>
      <w:tr w:rsidR="008A4906" w:rsidRPr="00CB418D" w14:paraId="055D4BE7" w14:textId="77777777" w:rsidTr="006C0A39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C81AC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Baseline headache days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77F6C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1.04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02733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0.94, 1.14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CCEFB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0.5</w:t>
            </w:r>
          </w:p>
        </w:tc>
      </w:tr>
      <w:tr w:rsidR="008A4906" w:rsidRPr="00CB418D" w14:paraId="7B62BFF6" w14:textId="77777777" w:rsidTr="006C0A39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592CA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Chronic migraine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D403A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5B9AC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0FC0F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</w:tr>
      <w:tr w:rsidR="008A4906" w:rsidRPr="00CB418D" w14:paraId="602AFD9C" w14:textId="77777777" w:rsidTr="006C0A39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B2B84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yes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13734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0.26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F8DF9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0.06, 1.11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65941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0.076</w:t>
            </w:r>
          </w:p>
        </w:tc>
      </w:tr>
      <w:tr w:rsidR="008A4906" w:rsidRPr="00CB418D" w14:paraId="359CB9C1" w14:textId="77777777" w:rsidTr="006C0A39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03232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Daily headache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290EA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E3874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86CA4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</w:tr>
      <w:tr w:rsidR="008A4906" w:rsidRPr="00CB418D" w14:paraId="0B4211E9" w14:textId="77777777" w:rsidTr="006C0A39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EE36C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yes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79CEB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0.09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BD8C9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0.00, 0.67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862C7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0.041</w:t>
            </w:r>
          </w:p>
        </w:tc>
      </w:tr>
      <w:tr w:rsidR="008A4906" w:rsidRPr="00CB418D" w14:paraId="5FE303F7" w14:textId="77777777" w:rsidTr="006C0A39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5D22B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Medication overuse headache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C7547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C0916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567FD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</w:tr>
      <w:tr w:rsidR="008A4906" w:rsidRPr="00CB418D" w14:paraId="036C182F" w14:textId="77777777" w:rsidTr="006C0A39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BF745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yes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9D20F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3.03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C4192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1.07, 9.55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C59C1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0.044</w:t>
            </w:r>
          </w:p>
        </w:tc>
      </w:tr>
      <w:tr w:rsidR="008A4906" w:rsidRPr="00CB418D" w14:paraId="3B4C6D5C" w14:textId="77777777" w:rsidTr="006C0A39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87918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Psychiatric comorbidity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A8C7F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CCADE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F5B40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</w:tr>
      <w:tr w:rsidR="008A4906" w:rsidRPr="00CB418D" w14:paraId="124A8195" w14:textId="77777777" w:rsidTr="006C0A39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C245B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no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BB145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1.41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C616F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0.56, 3.84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2B01A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0.5</w:t>
            </w:r>
          </w:p>
        </w:tc>
      </w:tr>
      <w:tr w:rsidR="008A4906" w:rsidRPr="00CB418D" w14:paraId="4E2C6AA8" w14:textId="77777777" w:rsidTr="006C0A39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9E414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Concomitant preventive medication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FC0E3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79457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29936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</w:tr>
      <w:tr w:rsidR="008A4906" w:rsidRPr="00CB418D" w14:paraId="1BA56509" w14:textId="77777777" w:rsidTr="006C0A39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49829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yes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E0A4D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0.97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E08A9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0.46, 2.07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F0952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&gt;0.9</w:t>
            </w:r>
          </w:p>
        </w:tc>
      </w:tr>
      <w:tr w:rsidR="008A4906" w:rsidRPr="00CB418D" w14:paraId="5995828C" w14:textId="77777777" w:rsidTr="006C0A39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1C05E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Migraine duration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DB589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1.03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A0503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0.99, 1.07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F1F6D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0.14</w:t>
            </w:r>
          </w:p>
        </w:tc>
      </w:tr>
      <w:tr w:rsidR="008A4906" w:rsidRPr="00CB418D" w14:paraId="20050651" w14:textId="77777777" w:rsidTr="006C0A39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E08B4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</w:rPr>
            </w:pPr>
            <w:proofErr w:type="spellStart"/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Erenumab</w:t>
            </w:r>
            <w:proofErr w:type="spellEnd"/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 xml:space="preserve"> dose (ref: 140mg)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0C50C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4272B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F4CE1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</w:tr>
      <w:tr w:rsidR="008A4906" w:rsidRPr="00CB418D" w14:paraId="216DF22B" w14:textId="77777777" w:rsidTr="006C0A39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01C34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70mg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6F25F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1.07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D0D8A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0.38, 3.05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D37AE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&gt;0.9</w:t>
            </w:r>
          </w:p>
        </w:tc>
      </w:tr>
      <w:tr w:rsidR="008A4906" w:rsidRPr="00CB418D" w14:paraId="3A489D8F" w14:textId="77777777" w:rsidTr="006C0A39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01AF0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Aura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62F52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23739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D8F20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</w:tr>
      <w:tr w:rsidR="008A4906" w:rsidRPr="00CB418D" w14:paraId="359444D0" w14:textId="77777777" w:rsidTr="006C0A39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1561D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Arial" w:cstheme="minorHAnsi"/>
                <w:color w:val="000000"/>
                <w:sz w:val="20"/>
                <w:szCs w:val="22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no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13DE0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1.89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F7BB6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0.92, 3.96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9DDF2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0.086</w:t>
            </w:r>
          </w:p>
        </w:tc>
      </w:tr>
      <w:tr w:rsidR="008A4906" w:rsidRPr="00CB418D" w14:paraId="2E6E6D10" w14:textId="77777777" w:rsidTr="006C0A39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0A65F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NA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B56F0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0.90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31984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0.04, 9.00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6BF1C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&gt;0.9</w:t>
            </w:r>
          </w:p>
        </w:tc>
      </w:tr>
      <w:tr w:rsidR="008A4906" w:rsidRPr="00CB418D" w14:paraId="4FC62EAE" w14:textId="77777777" w:rsidTr="006C0A39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ADB1F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Headache diary available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52C14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89963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1458D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</w:p>
        </w:tc>
      </w:tr>
      <w:tr w:rsidR="008A4906" w:rsidRPr="00CB418D" w14:paraId="1C579B1C" w14:textId="77777777" w:rsidTr="006C0A39">
        <w:trPr>
          <w:jc w:val="center"/>
        </w:trPr>
        <w:tc>
          <w:tcPr>
            <w:tcW w:w="3847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997D1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Medical documentation only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1CECC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0.98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71F7C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0.42, 2.25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F9FEF" w14:textId="77777777" w:rsidR="008A4906" w:rsidRPr="00CB418D" w:rsidRDefault="008A4906" w:rsidP="006C0A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inorHAnsi"/>
                <w:sz w:val="20"/>
              </w:rPr>
            </w:pPr>
            <w:r w:rsidRPr="00CB418D">
              <w:rPr>
                <w:rFonts w:eastAsia="Arial" w:cstheme="minorHAnsi"/>
                <w:color w:val="000000"/>
                <w:sz w:val="20"/>
                <w:szCs w:val="22"/>
              </w:rPr>
              <w:t>&gt;0.9</w:t>
            </w:r>
          </w:p>
        </w:tc>
      </w:tr>
      <w:tr w:rsidR="008A4906" w:rsidRPr="009B4312" w14:paraId="081977FA" w14:textId="77777777" w:rsidTr="008B093B">
        <w:trPr>
          <w:jc w:val="center"/>
        </w:trPr>
        <w:tc>
          <w:tcPr>
            <w:tcW w:w="7256" w:type="dxa"/>
            <w:gridSpan w:val="4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64607" w14:textId="1FC9BF8A" w:rsidR="008A4906" w:rsidRPr="00CB418D" w:rsidRDefault="008A4906" w:rsidP="008A49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inorHAnsi"/>
                <w:sz w:val="20"/>
              </w:rPr>
            </w:pPr>
            <w:r w:rsidRPr="008A4906">
              <w:rPr>
                <w:rFonts w:eastAsia="Arial" w:cstheme="minorHAnsi"/>
                <w:color w:val="000000"/>
                <w:sz w:val="20"/>
                <w:szCs w:val="22"/>
              </w:rPr>
              <w:t xml:space="preserve">CI: Confidence Interval, MPT: Multiple prior preventive therapies, </w:t>
            </w:r>
            <w:r>
              <w:rPr>
                <w:rFonts w:eastAsia="Arial" w:cstheme="minorHAnsi"/>
                <w:color w:val="000000"/>
                <w:sz w:val="20"/>
                <w:szCs w:val="22"/>
              </w:rPr>
              <w:t xml:space="preserve">NA: Not available, </w:t>
            </w:r>
            <w:r w:rsidRPr="008A4906">
              <w:rPr>
                <w:rFonts w:eastAsia="Arial" w:cstheme="minorHAnsi"/>
                <w:color w:val="000000"/>
                <w:sz w:val="20"/>
                <w:szCs w:val="22"/>
              </w:rPr>
              <w:t>OR: Odds Ratio, SPT: Single prior preventive therapy</w:t>
            </w:r>
          </w:p>
        </w:tc>
      </w:tr>
    </w:tbl>
    <w:p w14:paraId="541C67D8" w14:textId="77777777" w:rsidR="008A4906" w:rsidRPr="00CB418D" w:rsidRDefault="008A4906" w:rsidP="008A4906">
      <w:pPr>
        <w:rPr>
          <w:rFonts w:cstheme="minorHAnsi"/>
          <w:lang w:val="en-US"/>
        </w:rPr>
      </w:pPr>
    </w:p>
    <w:tbl>
      <w:tblPr>
        <w:tblStyle w:val="Tabellenraster"/>
        <w:tblpPr w:leftFromText="141" w:rightFromText="141" w:vertAnchor="text" w:horzAnchor="margin" w:tblpY="3003"/>
        <w:tblW w:w="0" w:type="auto"/>
        <w:tblLook w:val="04A0" w:firstRow="1" w:lastRow="0" w:firstColumn="1" w:lastColumn="0" w:noHBand="0" w:noVBand="1"/>
      </w:tblPr>
      <w:tblGrid>
        <w:gridCol w:w="2470"/>
        <w:gridCol w:w="1542"/>
        <w:gridCol w:w="2002"/>
        <w:gridCol w:w="2483"/>
      </w:tblGrid>
      <w:tr w:rsidR="008A4906" w:rsidRPr="00592719" w14:paraId="71275954" w14:textId="77777777" w:rsidTr="008A4906">
        <w:tc>
          <w:tcPr>
            <w:tcW w:w="2470" w:type="dxa"/>
          </w:tcPr>
          <w:p w14:paraId="406776B6" w14:textId="77777777" w:rsidR="008A4906" w:rsidRPr="008A4906" w:rsidRDefault="008A4906" w:rsidP="008A4906">
            <w:pPr>
              <w:spacing w:before="100" w:after="100"/>
              <w:ind w:left="300" w:right="100"/>
              <w:rPr>
                <w:rFonts w:eastAsia="Arial" w:cstheme="minorHAnsi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42" w:type="dxa"/>
          </w:tcPr>
          <w:p w14:paraId="5C41EC32" w14:textId="77777777" w:rsidR="008A4906" w:rsidRPr="00592719" w:rsidRDefault="008A4906" w:rsidP="008A4906">
            <w:pPr>
              <w:spacing w:before="100" w:after="100"/>
              <w:ind w:left="300" w:right="100"/>
              <w:rPr>
                <w:rFonts w:eastAsia="Arial" w:cstheme="minorHAnsi"/>
                <w:b/>
                <w:color w:val="000000"/>
                <w:sz w:val="20"/>
                <w:szCs w:val="20"/>
              </w:rPr>
            </w:pPr>
            <w:r w:rsidRPr="00592719">
              <w:rPr>
                <w:rFonts w:eastAsia="Arial" w:cstheme="minorHAnsi"/>
                <w:b/>
                <w:color w:val="000000"/>
                <w:sz w:val="20"/>
                <w:szCs w:val="20"/>
              </w:rPr>
              <w:t>SPT</w:t>
            </w:r>
          </w:p>
        </w:tc>
        <w:tc>
          <w:tcPr>
            <w:tcW w:w="2002" w:type="dxa"/>
          </w:tcPr>
          <w:p w14:paraId="680F3053" w14:textId="77777777" w:rsidR="008A4906" w:rsidRPr="00592719" w:rsidRDefault="008A4906" w:rsidP="008A4906">
            <w:pPr>
              <w:spacing w:before="100" w:after="100"/>
              <w:ind w:left="300" w:right="100"/>
              <w:rPr>
                <w:rFonts w:eastAsia="Arial" w:cstheme="minorHAnsi"/>
                <w:b/>
                <w:color w:val="000000"/>
                <w:sz w:val="20"/>
                <w:szCs w:val="20"/>
              </w:rPr>
            </w:pPr>
            <w:r w:rsidRPr="00592719">
              <w:rPr>
                <w:rFonts w:eastAsia="Arial" w:cstheme="minorHAnsi"/>
                <w:b/>
                <w:color w:val="000000"/>
                <w:sz w:val="20"/>
                <w:szCs w:val="20"/>
              </w:rPr>
              <w:t>MPT</w:t>
            </w:r>
          </w:p>
        </w:tc>
        <w:tc>
          <w:tcPr>
            <w:tcW w:w="2483" w:type="dxa"/>
          </w:tcPr>
          <w:p w14:paraId="29BDCB27" w14:textId="77777777" w:rsidR="008A4906" w:rsidRPr="00592719" w:rsidRDefault="008A4906" w:rsidP="008A4906">
            <w:pPr>
              <w:spacing w:before="100" w:after="100"/>
              <w:ind w:left="300" w:right="100"/>
              <w:rPr>
                <w:rFonts w:eastAsia="Arial" w:cstheme="minorHAnsi"/>
                <w:b/>
                <w:color w:val="000000"/>
                <w:sz w:val="20"/>
                <w:szCs w:val="20"/>
              </w:rPr>
            </w:pPr>
            <w:r w:rsidRPr="00592719">
              <w:rPr>
                <w:rFonts w:eastAsia="Arial" w:cstheme="minorHAnsi"/>
                <w:b/>
                <w:color w:val="000000"/>
                <w:sz w:val="20"/>
                <w:szCs w:val="20"/>
              </w:rPr>
              <w:t>Total</w:t>
            </w:r>
          </w:p>
        </w:tc>
      </w:tr>
      <w:tr w:rsidR="008A4906" w:rsidRPr="00592719" w14:paraId="0F9715D4" w14:textId="77777777" w:rsidTr="008A4906">
        <w:tc>
          <w:tcPr>
            <w:tcW w:w="2470" w:type="dxa"/>
          </w:tcPr>
          <w:p w14:paraId="0D9AD445" w14:textId="77777777" w:rsidR="008A4906" w:rsidRPr="008A4906" w:rsidRDefault="008A4906" w:rsidP="008A4906">
            <w:pPr>
              <w:spacing w:before="100" w:after="100"/>
              <w:ind w:left="300" w:right="100"/>
              <w:rPr>
                <w:rFonts w:eastAsia="Arial" w:cstheme="minorHAnsi"/>
                <w:b/>
                <w:color w:val="000000"/>
                <w:sz w:val="20"/>
                <w:szCs w:val="20"/>
              </w:rPr>
            </w:pPr>
            <w:r w:rsidRPr="008A4906">
              <w:rPr>
                <w:rFonts w:eastAsia="Arial" w:cstheme="minorHAnsi"/>
                <w:b/>
                <w:color w:val="000000"/>
                <w:sz w:val="20"/>
                <w:szCs w:val="20"/>
              </w:rPr>
              <w:t>Responder</w:t>
            </w:r>
          </w:p>
        </w:tc>
        <w:tc>
          <w:tcPr>
            <w:tcW w:w="1542" w:type="dxa"/>
          </w:tcPr>
          <w:p w14:paraId="07CE0C26" w14:textId="77777777" w:rsidR="008A4906" w:rsidRPr="00592719" w:rsidRDefault="008A4906" w:rsidP="008A4906">
            <w:pPr>
              <w:spacing w:before="100" w:after="100"/>
              <w:ind w:left="300" w:right="100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592719">
              <w:rPr>
                <w:rFonts w:eastAsia="Arial" w:cstheme="minorHAnsi"/>
                <w:color w:val="000000"/>
                <w:sz w:val="20"/>
                <w:szCs w:val="20"/>
              </w:rPr>
              <w:t>18 (35%)</w:t>
            </w:r>
          </w:p>
        </w:tc>
        <w:tc>
          <w:tcPr>
            <w:tcW w:w="2002" w:type="dxa"/>
          </w:tcPr>
          <w:p w14:paraId="06B4C04F" w14:textId="77777777" w:rsidR="008A4906" w:rsidRPr="00592719" w:rsidRDefault="008A4906" w:rsidP="008A4906">
            <w:pPr>
              <w:spacing w:before="100" w:after="100"/>
              <w:ind w:left="300" w:right="100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592719">
              <w:rPr>
                <w:rFonts w:eastAsia="Arial" w:cstheme="minorHAnsi"/>
                <w:color w:val="000000"/>
                <w:sz w:val="20"/>
                <w:szCs w:val="20"/>
              </w:rPr>
              <w:t>38 (31%)</w:t>
            </w:r>
          </w:p>
        </w:tc>
        <w:tc>
          <w:tcPr>
            <w:tcW w:w="2483" w:type="dxa"/>
          </w:tcPr>
          <w:p w14:paraId="5F425A82" w14:textId="77777777" w:rsidR="008A4906" w:rsidRPr="00592719" w:rsidRDefault="008A4906" w:rsidP="008A4906">
            <w:pPr>
              <w:spacing w:before="100" w:after="100"/>
              <w:ind w:left="300" w:right="100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592719">
              <w:rPr>
                <w:rFonts w:eastAsia="Arial" w:cstheme="minorHAnsi"/>
                <w:color w:val="000000"/>
                <w:sz w:val="20"/>
                <w:szCs w:val="20"/>
              </w:rPr>
              <w:t>56 (32%)</w:t>
            </w:r>
          </w:p>
        </w:tc>
      </w:tr>
      <w:tr w:rsidR="008A4906" w:rsidRPr="00592719" w14:paraId="0A9D7851" w14:textId="77777777" w:rsidTr="008A4906">
        <w:tc>
          <w:tcPr>
            <w:tcW w:w="2470" w:type="dxa"/>
          </w:tcPr>
          <w:p w14:paraId="322D2F5F" w14:textId="77777777" w:rsidR="008A4906" w:rsidRPr="008A4906" w:rsidRDefault="008A4906" w:rsidP="008A4906">
            <w:pPr>
              <w:spacing w:before="100" w:after="100"/>
              <w:ind w:left="300" w:right="100"/>
              <w:rPr>
                <w:rFonts w:eastAsia="Arial" w:cstheme="minorHAnsi"/>
                <w:b/>
                <w:color w:val="000000"/>
                <w:sz w:val="20"/>
                <w:szCs w:val="20"/>
              </w:rPr>
            </w:pPr>
            <w:r w:rsidRPr="008A4906">
              <w:rPr>
                <w:rFonts w:eastAsia="Arial" w:cstheme="minorHAnsi"/>
                <w:b/>
                <w:color w:val="000000"/>
                <w:sz w:val="20"/>
                <w:szCs w:val="20"/>
              </w:rPr>
              <w:t>Non-Responder</w:t>
            </w:r>
          </w:p>
        </w:tc>
        <w:tc>
          <w:tcPr>
            <w:tcW w:w="1542" w:type="dxa"/>
          </w:tcPr>
          <w:p w14:paraId="0A7F22B0" w14:textId="77777777" w:rsidR="008A4906" w:rsidRPr="00592719" w:rsidRDefault="008A4906" w:rsidP="008A4906">
            <w:pPr>
              <w:spacing w:before="100" w:after="100"/>
              <w:ind w:left="300" w:right="100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592719">
              <w:rPr>
                <w:rFonts w:eastAsia="Arial" w:cstheme="minorHAnsi"/>
                <w:color w:val="000000"/>
                <w:sz w:val="20"/>
                <w:szCs w:val="20"/>
              </w:rPr>
              <w:t>34 (65%)</w:t>
            </w:r>
          </w:p>
        </w:tc>
        <w:tc>
          <w:tcPr>
            <w:tcW w:w="2002" w:type="dxa"/>
          </w:tcPr>
          <w:p w14:paraId="4A625EE0" w14:textId="77777777" w:rsidR="008A4906" w:rsidRPr="00592719" w:rsidRDefault="008A4906" w:rsidP="008A4906">
            <w:pPr>
              <w:spacing w:before="100" w:after="100"/>
              <w:ind w:left="300" w:right="100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592719">
              <w:rPr>
                <w:rFonts w:eastAsia="Arial" w:cstheme="minorHAnsi"/>
                <w:color w:val="000000"/>
                <w:sz w:val="20"/>
                <w:szCs w:val="20"/>
              </w:rPr>
              <w:t>84 (69%)</w:t>
            </w:r>
          </w:p>
        </w:tc>
        <w:tc>
          <w:tcPr>
            <w:tcW w:w="2483" w:type="dxa"/>
          </w:tcPr>
          <w:p w14:paraId="3ADEA645" w14:textId="77777777" w:rsidR="008A4906" w:rsidRPr="00592719" w:rsidRDefault="008A4906" w:rsidP="008A4906">
            <w:pPr>
              <w:spacing w:before="100" w:after="100"/>
              <w:ind w:left="300" w:right="100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592719">
              <w:rPr>
                <w:rFonts w:eastAsia="Arial" w:cstheme="minorHAnsi"/>
                <w:color w:val="000000"/>
                <w:sz w:val="20"/>
                <w:szCs w:val="20"/>
              </w:rPr>
              <w:t>118 (68%)</w:t>
            </w:r>
          </w:p>
        </w:tc>
      </w:tr>
      <w:tr w:rsidR="008A4906" w:rsidRPr="00592719" w14:paraId="20E5D219" w14:textId="77777777" w:rsidTr="008A4906">
        <w:tc>
          <w:tcPr>
            <w:tcW w:w="2470" w:type="dxa"/>
          </w:tcPr>
          <w:p w14:paraId="561D6755" w14:textId="77777777" w:rsidR="008A4906" w:rsidRPr="008A4906" w:rsidRDefault="008A4906" w:rsidP="008A4906">
            <w:pPr>
              <w:spacing w:before="100" w:after="100"/>
              <w:ind w:left="300" w:right="100"/>
              <w:rPr>
                <w:rFonts w:eastAsia="Arial" w:cstheme="minorHAnsi"/>
                <w:b/>
                <w:color w:val="000000"/>
                <w:sz w:val="20"/>
                <w:szCs w:val="20"/>
              </w:rPr>
            </w:pPr>
            <w:r w:rsidRPr="008A4906">
              <w:rPr>
                <w:rFonts w:eastAsia="Arial" w:cstheme="minorHAnsi"/>
                <w:b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542" w:type="dxa"/>
          </w:tcPr>
          <w:p w14:paraId="411212A7" w14:textId="77777777" w:rsidR="008A4906" w:rsidRPr="00592719" w:rsidRDefault="008A4906" w:rsidP="008A4906">
            <w:pPr>
              <w:spacing w:before="100" w:after="100"/>
              <w:ind w:left="300" w:right="100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592719">
              <w:rPr>
                <w:rFonts w:eastAsia="Arial" w:cstheme="minorHAns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002" w:type="dxa"/>
          </w:tcPr>
          <w:p w14:paraId="6D626449" w14:textId="77777777" w:rsidR="008A4906" w:rsidRPr="00592719" w:rsidRDefault="008A4906" w:rsidP="008A4906">
            <w:pPr>
              <w:spacing w:before="100" w:after="100"/>
              <w:ind w:left="300" w:right="100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592719">
              <w:rPr>
                <w:rFonts w:eastAsia="Arial" w:cstheme="minorHAnsi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2483" w:type="dxa"/>
          </w:tcPr>
          <w:p w14:paraId="72AE39A1" w14:textId="77777777" w:rsidR="008A4906" w:rsidRPr="00592719" w:rsidRDefault="008A4906" w:rsidP="008A4906">
            <w:pPr>
              <w:spacing w:before="100" w:after="100"/>
              <w:ind w:left="300" w:right="100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592719">
              <w:rPr>
                <w:rFonts w:eastAsia="Arial" w:cstheme="minorHAnsi"/>
                <w:color w:val="000000"/>
                <w:sz w:val="20"/>
                <w:szCs w:val="20"/>
              </w:rPr>
              <w:t>174</w:t>
            </w:r>
          </w:p>
        </w:tc>
      </w:tr>
    </w:tbl>
    <w:p w14:paraId="60C8A1E2" w14:textId="17C6F0A9" w:rsidR="008A4906" w:rsidRPr="008A4906" w:rsidRDefault="008A4906" w:rsidP="008A4906">
      <w:pPr>
        <w:spacing w:line="480" w:lineRule="auto"/>
        <w:jc w:val="both"/>
        <w:rPr>
          <w:rFonts w:cstheme="minorHAnsi"/>
          <w:sz w:val="24"/>
          <w:szCs w:val="24"/>
          <w:lang w:val="en-US"/>
        </w:rPr>
      </w:pPr>
      <w:r w:rsidRPr="00592719">
        <w:rPr>
          <w:rFonts w:cstheme="minorHAnsi"/>
          <w:sz w:val="24"/>
          <w:szCs w:val="24"/>
          <w:lang w:val="en-US"/>
        </w:rPr>
        <w:t>This model included all available covariates. Due to missing data for one or more variables, 22 of the 196 patients were excluded, resulting in a complete-case population of 174 patients. The distribution of responders and non-responders (</w:t>
      </w:r>
      <w:r w:rsidRPr="00CB418D">
        <w:rPr>
          <w:rFonts w:cstheme="minorHAnsi"/>
          <w:sz w:val="24"/>
          <w:szCs w:val="24"/>
          <w:lang w:val="en-US"/>
        </w:rPr>
        <w:t>≥50% reduction in monthly headache days (MHD</w:t>
      </w:r>
      <w:r>
        <w:rPr>
          <w:rFonts w:cstheme="minorHAnsi"/>
          <w:sz w:val="24"/>
          <w:szCs w:val="24"/>
          <w:lang w:val="en-US"/>
        </w:rPr>
        <w:t>))</w:t>
      </w:r>
      <w:r w:rsidRPr="00592719">
        <w:rPr>
          <w:rFonts w:cstheme="minorHAnsi"/>
          <w:sz w:val="24"/>
          <w:szCs w:val="24"/>
          <w:lang w:val="en-US"/>
        </w:rPr>
        <w:t xml:space="preserve"> according to treatment group is shown in the table.</w:t>
      </w:r>
      <w:r>
        <w:rPr>
          <w:rFonts w:cstheme="minorHAnsi"/>
          <w:sz w:val="24"/>
          <w:szCs w:val="24"/>
          <w:lang w:val="en-US"/>
        </w:rPr>
        <w:t xml:space="preserve"> (</w:t>
      </w:r>
      <w:r w:rsidRPr="00CB418D">
        <w:rPr>
          <w:rFonts w:cstheme="minorHAnsi"/>
          <w:sz w:val="24"/>
          <w:szCs w:val="24"/>
          <w:lang w:val="en-US"/>
        </w:rPr>
        <w:t>SP</w:t>
      </w:r>
      <w:r>
        <w:rPr>
          <w:rFonts w:cstheme="minorHAnsi"/>
          <w:sz w:val="24"/>
          <w:szCs w:val="24"/>
          <w:lang w:val="en-US"/>
        </w:rPr>
        <w:t xml:space="preserve">T: </w:t>
      </w:r>
      <w:r w:rsidRPr="00CB418D">
        <w:rPr>
          <w:rFonts w:cstheme="minorHAnsi"/>
          <w:sz w:val="24"/>
          <w:szCs w:val="24"/>
          <w:lang w:val="en-US"/>
        </w:rPr>
        <w:t>single prior preventive treatment failure</w:t>
      </w:r>
      <w:r>
        <w:rPr>
          <w:rFonts w:cstheme="minorHAnsi"/>
          <w:sz w:val="24"/>
          <w:szCs w:val="24"/>
          <w:lang w:val="en-US"/>
        </w:rPr>
        <w:t xml:space="preserve">, </w:t>
      </w:r>
      <w:r w:rsidRPr="00CB418D">
        <w:rPr>
          <w:rFonts w:cstheme="minorHAnsi"/>
          <w:sz w:val="24"/>
          <w:szCs w:val="24"/>
          <w:lang w:val="en-US"/>
        </w:rPr>
        <w:t>MPT</w:t>
      </w:r>
      <w:r>
        <w:rPr>
          <w:rFonts w:cstheme="minorHAnsi"/>
          <w:sz w:val="24"/>
          <w:szCs w:val="24"/>
          <w:lang w:val="en-US"/>
        </w:rPr>
        <w:t xml:space="preserve">: </w:t>
      </w:r>
      <w:r w:rsidRPr="00CB418D">
        <w:rPr>
          <w:rFonts w:cstheme="minorHAnsi"/>
          <w:sz w:val="24"/>
          <w:szCs w:val="24"/>
          <w:lang w:val="en-US"/>
        </w:rPr>
        <w:t>multiple prior preventive treatment failures</w:t>
      </w:r>
      <w:r>
        <w:rPr>
          <w:rFonts w:cstheme="minorHAnsi"/>
          <w:sz w:val="24"/>
          <w:szCs w:val="24"/>
          <w:lang w:val="en-US"/>
        </w:rPr>
        <w:t>):</w:t>
      </w:r>
    </w:p>
    <w:p w14:paraId="0BF741D5" w14:textId="77777777" w:rsidR="008A4906" w:rsidRPr="00592719" w:rsidRDefault="008A4906" w:rsidP="008A4906">
      <w:pPr>
        <w:rPr>
          <w:rFonts w:cstheme="minorHAnsi"/>
          <w:lang w:val="en-US"/>
        </w:rPr>
      </w:pPr>
    </w:p>
    <w:p w14:paraId="656DEFD2" w14:textId="77777777" w:rsidR="008A4906" w:rsidRDefault="008A4906" w:rsidP="008A4906">
      <w:pPr>
        <w:spacing w:line="480" w:lineRule="auto"/>
        <w:rPr>
          <w:rFonts w:cstheme="minorHAnsi"/>
          <w:b/>
          <w:sz w:val="24"/>
          <w:szCs w:val="24"/>
          <w:lang w:val="en-US"/>
        </w:rPr>
      </w:pPr>
      <w:r w:rsidRPr="00CB418D">
        <w:rPr>
          <w:rFonts w:cstheme="minorHAnsi"/>
          <w:b/>
          <w:sz w:val="24"/>
          <w:szCs w:val="24"/>
          <w:lang w:val="en-US"/>
        </w:rPr>
        <w:t xml:space="preserve"> </w:t>
      </w:r>
    </w:p>
    <w:p w14:paraId="22FAD751" w14:textId="77777777" w:rsidR="008A4906" w:rsidRPr="00CB418D" w:rsidRDefault="008A4906" w:rsidP="00612921">
      <w:pPr>
        <w:spacing w:line="480" w:lineRule="auto"/>
        <w:rPr>
          <w:rFonts w:cstheme="minorHAnsi"/>
          <w:sz w:val="24"/>
          <w:szCs w:val="24"/>
          <w:lang w:val="en-US"/>
        </w:rPr>
      </w:pPr>
    </w:p>
    <w:p w14:paraId="1E00A4EF" w14:textId="45963E74" w:rsidR="00592719" w:rsidRPr="00592719" w:rsidRDefault="00592719" w:rsidP="008A4906">
      <w:pPr>
        <w:jc w:val="both"/>
        <w:rPr>
          <w:rFonts w:eastAsia="Arial" w:cstheme="minorHAnsi"/>
          <w:color w:val="000000"/>
          <w:sz w:val="20"/>
          <w:szCs w:val="20"/>
          <w:lang w:val="en-US" w:eastAsia="de-DE"/>
        </w:rPr>
      </w:pPr>
      <w:r w:rsidRPr="00CB418D">
        <w:rPr>
          <w:rFonts w:cstheme="minorHAnsi"/>
          <w:sz w:val="24"/>
          <w:szCs w:val="24"/>
          <w:lang w:val="en-US"/>
        </w:rPr>
        <w:t xml:space="preserve"> </w:t>
      </w:r>
    </w:p>
    <w:sectPr w:rsidR="00592719" w:rsidRPr="0059271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6AE"/>
    <w:rsid w:val="00023BFE"/>
    <w:rsid w:val="00087728"/>
    <w:rsid w:val="00212089"/>
    <w:rsid w:val="00465871"/>
    <w:rsid w:val="004D6FC8"/>
    <w:rsid w:val="00592719"/>
    <w:rsid w:val="00612921"/>
    <w:rsid w:val="006A5360"/>
    <w:rsid w:val="008A4906"/>
    <w:rsid w:val="009B4312"/>
    <w:rsid w:val="009D1E9D"/>
    <w:rsid w:val="00B60D52"/>
    <w:rsid w:val="00B766AE"/>
    <w:rsid w:val="00C11F52"/>
    <w:rsid w:val="00CB418D"/>
    <w:rsid w:val="00E0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17A80"/>
  <w15:chartTrackingRefBased/>
  <w15:docId w15:val="{E49CEC23-C277-4FB3-9355-6F05AEC86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VerbatimChar">
    <w:name w:val="Verbatim Char"/>
    <w:basedOn w:val="Absatz-Standardschriftart"/>
    <w:link w:val="SourceCode"/>
    <w:rsid w:val="00023BFE"/>
    <w:rPr>
      <w:rFonts w:ascii="Consolas" w:hAnsi="Consolas"/>
      <w:shd w:val="clear" w:color="auto" w:fill="F8F8F8"/>
    </w:rPr>
  </w:style>
  <w:style w:type="paragraph" w:customStyle="1" w:styleId="SourceCode">
    <w:name w:val="Source Code"/>
    <w:basedOn w:val="Standard"/>
    <w:link w:val="VerbatimChar"/>
    <w:rsid w:val="00023BFE"/>
    <w:pPr>
      <w:shd w:val="clear" w:color="auto" w:fill="F8F8F8"/>
      <w:wordWrap w:val="0"/>
      <w:spacing w:after="200" w:line="240" w:lineRule="auto"/>
    </w:pPr>
    <w:rPr>
      <w:rFonts w:ascii="Consolas" w:hAnsi="Consolas"/>
    </w:rPr>
  </w:style>
  <w:style w:type="table" w:customStyle="1" w:styleId="Table">
    <w:name w:val="Table"/>
    <w:semiHidden/>
    <w:unhideWhenUsed/>
    <w:qFormat/>
    <w:rsid w:val="00B60D52"/>
    <w:pPr>
      <w:spacing w:after="200" w:line="240" w:lineRule="auto"/>
    </w:pPr>
    <w:rPr>
      <w:sz w:val="24"/>
      <w:szCs w:val="24"/>
      <w:lang w:val="en-US" w:eastAsia="de-D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styleId="Listenabsatz">
    <w:name w:val="List Paragraph"/>
    <w:basedOn w:val="Standard"/>
    <w:uiPriority w:val="34"/>
    <w:qFormat/>
    <w:rsid w:val="00592719"/>
    <w:pPr>
      <w:ind w:left="720"/>
      <w:contextualSpacing/>
    </w:pPr>
    <w:rPr>
      <w:kern w:val="2"/>
      <w14:ligatures w14:val="standardContextual"/>
    </w:rPr>
  </w:style>
  <w:style w:type="table" w:styleId="Tabellenraster">
    <w:name w:val="Table Grid"/>
    <w:basedOn w:val="NormaleTabelle"/>
    <w:uiPriority w:val="39"/>
    <w:rsid w:val="00592719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2584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 Scheffler</dc:creator>
  <cp:keywords/>
  <dc:description/>
  <cp:lastModifiedBy>Armin Scheffler</cp:lastModifiedBy>
  <cp:revision>6</cp:revision>
  <dcterms:created xsi:type="dcterms:W3CDTF">2026-08-09T13:15:00Z</dcterms:created>
  <dcterms:modified xsi:type="dcterms:W3CDTF">2026-08-10T19:18:00Z</dcterms:modified>
</cp:coreProperties>
</file>