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F77181" w14:textId="77777777" w:rsidR="003E2CA0" w:rsidRPr="00260AEE" w:rsidRDefault="003E2CA0" w:rsidP="003E2CA0">
      <w:pPr>
        <w:rPr>
          <w:rFonts w:cstheme="majorHAnsi"/>
          <w:b/>
        </w:rPr>
      </w:pPr>
    </w:p>
    <w:p w14:paraId="38CA2E11" w14:textId="058E2D09" w:rsidR="003E2CA0" w:rsidRPr="00260AEE" w:rsidRDefault="003E2CA0" w:rsidP="003E2CA0">
      <w:pPr>
        <w:rPr>
          <w:rFonts w:cstheme="majorHAnsi"/>
          <w:b/>
          <w:lang w:val="en-US"/>
        </w:rPr>
      </w:pPr>
      <w:r w:rsidRPr="00260AEE">
        <w:rPr>
          <w:rFonts w:cstheme="majorHAnsi"/>
          <w:b/>
          <w:lang w:val="en-US"/>
        </w:rPr>
        <w:t>Supplementary Table S</w:t>
      </w:r>
      <w:r w:rsidR="00260AEE" w:rsidRPr="00260AEE">
        <w:rPr>
          <w:rFonts w:cstheme="majorHAnsi"/>
          <w:b/>
          <w:lang w:val="en-US"/>
        </w:rPr>
        <w:t>3</w:t>
      </w:r>
      <w:r w:rsidRPr="00260AEE">
        <w:rPr>
          <w:rFonts w:cstheme="majorHAnsi"/>
          <w:b/>
          <w:lang w:val="en-US"/>
        </w:rPr>
        <w:t>: Weighted Logistic Regression After Propensity Score Weighting</w:t>
      </w:r>
    </w:p>
    <w:p w14:paraId="3F56119A" w14:textId="15967647" w:rsidR="003E2CA0" w:rsidRPr="004B2272" w:rsidRDefault="003E2CA0" w:rsidP="004B2272">
      <w:pPr>
        <w:pStyle w:val="FirstParagraph"/>
        <w:spacing w:line="480" w:lineRule="auto"/>
        <w:rPr>
          <w:rFonts w:ascii="Calibri" w:hAnsi="Calibri" w:cs="Calibri"/>
          <w:kern w:val="2"/>
          <w:lang w:val="en-GB"/>
          <w14:ligatures w14:val="standardContextual"/>
        </w:rPr>
      </w:pPr>
      <w:r w:rsidRPr="004B2272">
        <w:rPr>
          <w:rFonts w:ascii="Calibri" w:hAnsi="Calibri" w:cs="Calibri"/>
          <w:kern w:val="2"/>
          <w:lang w:val="en-GB"/>
          <w14:ligatures w14:val="standardContextual"/>
        </w:rPr>
        <w:t xml:space="preserve">A weighted logistic regression model was fitted using the propensity score weights. </w:t>
      </w:r>
      <w:r w:rsidR="004B2272" w:rsidRPr="004B2272">
        <w:rPr>
          <w:rFonts w:ascii="Calibri" w:hAnsi="Calibri" w:cs="Calibri"/>
          <w:kern w:val="2"/>
          <w:lang w:val="en-GB"/>
          <w14:ligatures w14:val="standardContextual"/>
        </w:rPr>
        <w:t>The responder rates, defined as a ≥50% reduction in MHD, in the population included in this analysis were identical to those observed in the overall cohort, as reported in Table 3 (MPT: 43/140 (30.7%); SPT: 20/56 (35.7%))</w:t>
      </w:r>
    </w:p>
    <w:p w14:paraId="63EE0919" w14:textId="77777777" w:rsidR="003E2CA0" w:rsidRPr="00260AEE" w:rsidRDefault="003E2CA0" w:rsidP="003E2CA0">
      <w:pPr>
        <w:rPr>
          <w:rFonts w:cstheme="majorHAnsi"/>
          <w:lang w:val="en-US"/>
        </w:rPr>
      </w:pPr>
    </w:p>
    <w:tbl>
      <w:tblPr>
        <w:tblStyle w:val="Table"/>
        <w:tblW w:w="0" w:type="auto"/>
        <w:jc w:val="center"/>
        <w:tblLayout w:type="fixed"/>
        <w:tblLook w:val="0420" w:firstRow="1" w:lastRow="0" w:firstColumn="0" w:lastColumn="0" w:noHBand="0" w:noVBand="1"/>
      </w:tblPr>
      <w:tblGrid>
        <w:gridCol w:w="3479"/>
        <w:gridCol w:w="839"/>
        <w:gridCol w:w="1389"/>
        <w:gridCol w:w="1181"/>
      </w:tblGrid>
      <w:tr w:rsidR="00127960" w:rsidRPr="00260AEE" w14:paraId="6E645822" w14:textId="77777777" w:rsidTr="009138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tcW w:w="347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B53818" w14:textId="77777777" w:rsidR="00127960" w:rsidRPr="00260AEE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rPr>
                <w:rFonts w:cstheme="majorHAnsi"/>
                <w:sz w:val="22"/>
                <w:szCs w:val="22"/>
              </w:rPr>
            </w:pPr>
            <w:r w:rsidRPr="00260AEE">
              <w:rPr>
                <w:rFonts w:eastAsia="Arial" w:cstheme="majorHAnsi"/>
                <w:b/>
                <w:color w:val="000000"/>
                <w:sz w:val="22"/>
                <w:szCs w:val="22"/>
              </w:rPr>
              <w:t>Characteristic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5B8BA" w14:textId="4AEEFCAB" w:rsidR="00127960" w:rsidRPr="00260AEE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ajorHAnsi"/>
                <w:sz w:val="22"/>
                <w:szCs w:val="22"/>
              </w:rPr>
            </w:pPr>
            <w:r w:rsidRPr="00260AEE">
              <w:rPr>
                <w:rFonts w:eastAsia="Arial" w:cstheme="majorHAnsi"/>
                <w:b/>
                <w:color w:val="000000"/>
                <w:sz w:val="22"/>
                <w:szCs w:val="22"/>
              </w:rPr>
              <w:t>OR</w:t>
            </w: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C8066" w14:textId="4D600CA1" w:rsidR="00127960" w:rsidRPr="00260AEE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ajorHAnsi"/>
                <w:sz w:val="22"/>
                <w:szCs w:val="22"/>
              </w:rPr>
            </w:pPr>
            <w:r w:rsidRPr="00260AEE">
              <w:rPr>
                <w:rFonts w:eastAsia="Arial" w:cstheme="majorHAnsi"/>
                <w:b/>
                <w:color w:val="000000"/>
                <w:sz w:val="22"/>
                <w:szCs w:val="22"/>
              </w:rPr>
              <w:t>95% CI</w:t>
            </w:r>
            <w:bookmarkStart w:id="0" w:name="_GoBack"/>
            <w:bookmarkEnd w:id="0"/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D6B82C" w14:textId="77777777" w:rsidR="00127960" w:rsidRPr="00260AEE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100" w:right="100"/>
              <w:jc w:val="center"/>
              <w:rPr>
                <w:rFonts w:cstheme="majorHAnsi"/>
                <w:sz w:val="22"/>
                <w:szCs w:val="22"/>
              </w:rPr>
            </w:pPr>
            <w:r w:rsidRPr="00260AEE">
              <w:rPr>
                <w:rFonts w:eastAsia="Arial" w:cstheme="majorHAnsi"/>
                <w:b/>
                <w:color w:val="000000"/>
                <w:sz w:val="22"/>
                <w:szCs w:val="22"/>
              </w:rPr>
              <w:t>p-value</w:t>
            </w:r>
          </w:p>
        </w:tc>
      </w:tr>
      <w:tr w:rsidR="00127960" w:rsidRPr="00CC1A7D" w14:paraId="7E6D7CAD" w14:textId="77777777" w:rsidTr="00913805">
        <w:trPr>
          <w:jc w:val="center"/>
        </w:trPr>
        <w:tc>
          <w:tcPr>
            <w:tcW w:w="347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95FCA0" w14:textId="77777777" w:rsidR="00127960" w:rsidRPr="00CC1A7D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eastAsia="Arial" w:cstheme="majorHAnsi"/>
                <w:color w:val="000000"/>
                <w:sz w:val="20"/>
                <w:szCs w:val="20"/>
              </w:rPr>
              <w:t>Treatment group (SPT vs MPT)</w:t>
            </w:r>
          </w:p>
        </w:tc>
        <w:tc>
          <w:tcPr>
            <w:tcW w:w="83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094BBD" w14:textId="77777777" w:rsidR="00127960" w:rsidRPr="00CC1A7D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B3B53" w14:textId="77777777" w:rsidR="00127960" w:rsidRPr="00CC1A7D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0F9254" w14:textId="77777777" w:rsidR="00127960" w:rsidRPr="00CC1A7D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</w:p>
        </w:tc>
      </w:tr>
      <w:tr w:rsidR="00127960" w:rsidRPr="00CC1A7D" w14:paraId="5B19798D" w14:textId="77777777" w:rsidTr="00913805">
        <w:trPr>
          <w:jc w:val="center"/>
        </w:trPr>
        <w:tc>
          <w:tcPr>
            <w:tcW w:w="3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54E2B9" w14:textId="7F65B530" w:rsidR="00127960" w:rsidRPr="00CC1A7D" w:rsidRDefault="00CC1A7D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    </w:t>
            </w:r>
            <w:r w:rsidR="00127960" w:rsidRPr="00CC1A7D">
              <w:rPr>
                <w:rFonts w:eastAsia="Arial" w:cstheme="majorHAnsi"/>
                <w:color w:val="000000"/>
                <w:sz w:val="20"/>
                <w:szCs w:val="20"/>
              </w:rPr>
              <w:t>MPT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8AA002" w14:textId="77777777" w:rsidR="00127960" w:rsidRPr="00CC1A7D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eastAsia="Arial" w:cstheme="maj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294D88" w14:textId="77777777" w:rsidR="00127960" w:rsidRPr="00CC1A7D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eastAsia="Arial" w:cstheme="majorHAnsi"/>
                <w:color w:val="000000"/>
                <w:sz w:val="20"/>
                <w:szCs w:val="20"/>
              </w:rPr>
              <w:t>—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04E53" w14:textId="77777777" w:rsidR="00127960" w:rsidRPr="00CC1A7D" w:rsidRDefault="00127960" w:rsidP="00913805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</w:p>
        </w:tc>
      </w:tr>
      <w:tr w:rsidR="00CC1A7D" w:rsidRPr="00CC1A7D" w14:paraId="59DF0E48" w14:textId="77777777" w:rsidTr="00CC1A7D">
        <w:trPr>
          <w:jc w:val="center"/>
        </w:trPr>
        <w:tc>
          <w:tcPr>
            <w:tcW w:w="347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45F7BF" w14:textId="7BE4DEB5" w:rsidR="00CC1A7D" w:rsidRPr="00CC1A7D" w:rsidRDefault="00CC1A7D" w:rsidP="00286C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    </w:t>
            </w:r>
            <w:r w:rsidRPr="00CC1A7D">
              <w:rPr>
                <w:rFonts w:eastAsia="Arial" w:cstheme="majorHAnsi"/>
                <w:color w:val="000000"/>
                <w:sz w:val="20"/>
                <w:szCs w:val="20"/>
              </w:rPr>
              <w:t>SPT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E2D69" w14:textId="77777777" w:rsidR="00CC1A7D" w:rsidRPr="00CC1A7D" w:rsidRDefault="00CC1A7D" w:rsidP="00286C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eastAsia="Arial" w:cstheme="majorHAnsi"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60D283" w14:textId="77777777" w:rsidR="00CC1A7D" w:rsidRPr="00CC1A7D" w:rsidRDefault="00CC1A7D" w:rsidP="00286C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eastAsia="Arial" w:cstheme="majorHAnsi"/>
                <w:color w:val="000000"/>
                <w:sz w:val="20"/>
                <w:szCs w:val="20"/>
              </w:rPr>
              <w:t>0.19, 2.12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78BC5D" w14:textId="77777777" w:rsidR="00CC1A7D" w:rsidRPr="00CC1A7D" w:rsidRDefault="00CC1A7D" w:rsidP="00286C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eastAsia="Arial" w:cstheme="majorHAnsi"/>
                <w:color w:val="000000"/>
                <w:sz w:val="20"/>
                <w:szCs w:val="20"/>
              </w:rPr>
              <w:t>0.6</w:t>
            </w:r>
          </w:p>
        </w:tc>
      </w:tr>
      <w:tr w:rsidR="00CC1A7D" w:rsidRPr="00CC1A7D" w14:paraId="6B853B70" w14:textId="77777777" w:rsidTr="00CC1A7D">
        <w:trPr>
          <w:jc w:val="center"/>
        </w:trPr>
        <w:tc>
          <w:tcPr>
            <w:tcW w:w="34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319290" w14:textId="77777777" w:rsidR="00CC1A7D" w:rsidRPr="00CC1A7D" w:rsidRDefault="00CC1A7D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Age</w:t>
            </w:r>
          </w:p>
        </w:tc>
        <w:tc>
          <w:tcPr>
            <w:tcW w:w="83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D0955F" w14:textId="77777777" w:rsidR="00CC1A7D" w:rsidRPr="00CC1A7D" w:rsidRDefault="00CC1A7D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0.99</w:t>
            </w:r>
          </w:p>
        </w:tc>
        <w:tc>
          <w:tcPr>
            <w:tcW w:w="138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FF4F68" w14:textId="77777777" w:rsidR="00CC1A7D" w:rsidRPr="00CC1A7D" w:rsidRDefault="00CC1A7D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0.96, 1.03</w:t>
            </w:r>
          </w:p>
        </w:tc>
        <w:tc>
          <w:tcPr>
            <w:tcW w:w="118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95FFDA" w14:textId="77777777" w:rsidR="00CC1A7D" w:rsidRPr="00CC1A7D" w:rsidRDefault="00CC1A7D" w:rsidP="0077352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0.7</w:t>
            </w:r>
          </w:p>
        </w:tc>
      </w:tr>
      <w:tr w:rsidR="00CC1A7D" w:rsidRPr="00CC1A7D" w14:paraId="136D3E0F" w14:textId="77777777" w:rsidTr="00CC1A7D">
        <w:trPr>
          <w:jc w:val="center"/>
        </w:trPr>
        <w:tc>
          <w:tcPr>
            <w:tcW w:w="347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B91978" w14:textId="339BE35B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eastAsia="Arial" w:cstheme="minorHAnsi"/>
                <w:color w:val="000000"/>
                <w:sz w:val="20"/>
                <w:szCs w:val="20"/>
              </w:rPr>
              <w:t>Baseline headache days</w:t>
            </w:r>
          </w:p>
        </w:tc>
        <w:tc>
          <w:tcPr>
            <w:tcW w:w="83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12ECC2" w14:textId="215C9FB8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0.95</w:t>
            </w:r>
          </w:p>
        </w:tc>
        <w:tc>
          <w:tcPr>
            <w:tcW w:w="1389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1191FE" w14:textId="79681CF3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0.90, 1.00</w:t>
            </w:r>
          </w:p>
        </w:tc>
        <w:tc>
          <w:tcPr>
            <w:tcW w:w="1181" w:type="dxa"/>
            <w:tcBorders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A63A3" w14:textId="2A2B7E94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0.042</w:t>
            </w:r>
          </w:p>
        </w:tc>
      </w:tr>
      <w:tr w:rsidR="00CC1A7D" w:rsidRPr="00CC1A7D" w14:paraId="4176F63F" w14:textId="77777777" w:rsidTr="0077352B">
        <w:trPr>
          <w:jc w:val="center"/>
        </w:trPr>
        <w:tc>
          <w:tcPr>
            <w:tcW w:w="347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F287C2" w14:textId="3A252F84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eastAsia="Arial" w:cstheme="minorHAnsi"/>
                <w:color w:val="000000"/>
                <w:sz w:val="20"/>
                <w:szCs w:val="20"/>
              </w:rPr>
              <w:t>Headache diary available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F142A" w14:textId="77777777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C55E4F" w14:textId="77777777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BFC860" w14:textId="77777777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cstheme="majorHAnsi"/>
                <w:sz w:val="20"/>
                <w:szCs w:val="20"/>
              </w:rPr>
            </w:pPr>
          </w:p>
        </w:tc>
      </w:tr>
      <w:tr w:rsidR="00CC1A7D" w:rsidRPr="00CC1A7D" w14:paraId="72DC3270" w14:textId="77777777" w:rsidTr="00913805">
        <w:trPr>
          <w:jc w:val="center"/>
        </w:trPr>
        <w:tc>
          <w:tcPr>
            <w:tcW w:w="347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4752F" w14:textId="0D41A176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300" w:right="100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    </w:t>
            </w:r>
            <w:r w:rsidRPr="00CC1A7D">
              <w:rPr>
                <w:rFonts w:eastAsia="Arial" w:cstheme="minorHAnsi"/>
                <w:color w:val="000000"/>
                <w:sz w:val="20"/>
                <w:szCs w:val="20"/>
              </w:rPr>
              <w:t>Medical documentation only</w:t>
            </w:r>
          </w:p>
        </w:tc>
        <w:tc>
          <w:tcPr>
            <w:tcW w:w="83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A0579B" w14:textId="052373CF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0.82</w:t>
            </w:r>
          </w:p>
        </w:tc>
        <w:tc>
          <w:tcPr>
            <w:tcW w:w="1389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4D8C62" w14:textId="3C1E776F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0.37, 1.83</w:t>
            </w:r>
          </w:p>
        </w:tc>
        <w:tc>
          <w:tcPr>
            <w:tcW w:w="1181" w:type="dxa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F527B" w14:textId="77D8AFBE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eastAsia="Arial" w:cstheme="majorHAnsi"/>
                <w:color w:val="000000"/>
                <w:sz w:val="20"/>
                <w:szCs w:val="20"/>
              </w:rPr>
            </w:pPr>
            <w:r w:rsidRPr="00CC1A7D">
              <w:rPr>
                <w:rFonts w:ascii="Calibri" w:hAnsi="Calibri"/>
                <w:sz w:val="20"/>
                <w:szCs w:val="20"/>
              </w:rPr>
              <w:t>0.6</w:t>
            </w:r>
          </w:p>
        </w:tc>
      </w:tr>
      <w:tr w:rsidR="00CC1A7D" w:rsidRPr="00CC1A7D" w14:paraId="7E0029B0" w14:textId="77777777" w:rsidTr="00913805">
        <w:trPr>
          <w:jc w:val="center"/>
        </w:trPr>
        <w:tc>
          <w:tcPr>
            <w:tcW w:w="6888" w:type="dxa"/>
            <w:gridSpan w:val="4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B2F8D0" w14:textId="1640B1BA" w:rsidR="00CC1A7D" w:rsidRPr="00CC1A7D" w:rsidRDefault="00CC1A7D" w:rsidP="00CC1A7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right="100"/>
              <w:rPr>
                <w:rFonts w:cstheme="majorHAnsi"/>
                <w:sz w:val="20"/>
                <w:szCs w:val="22"/>
              </w:rPr>
            </w:pPr>
            <w:r w:rsidRPr="00CC1A7D">
              <w:rPr>
                <w:rFonts w:eastAsia="Arial" w:cstheme="minorHAnsi"/>
                <w:color w:val="000000"/>
                <w:sz w:val="20"/>
              </w:rPr>
              <w:t xml:space="preserve">CI = Confidence Interval, MPT: Multiple prior preventive therapies, OR = Odds Ratio, </w:t>
            </w:r>
            <w:r w:rsidRPr="00CC1A7D">
              <w:rPr>
                <w:rFonts w:ascii="Calibri" w:hAnsi="Calibri" w:cs="Calibri"/>
                <w:sz w:val="20"/>
                <w:lang w:val="en-GB"/>
              </w:rPr>
              <w:t>SPT: Single prior preventive therapy</w:t>
            </w:r>
          </w:p>
        </w:tc>
      </w:tr>
    </w:tbl>
    <w:p w14:paraId="747782A7" w14:textId="77777777" w:rsidR="003E2CA0" w:rsidRPr="00260AEE" w:rsidRDefault="003E2CA0" w:rsidP="003E2CA0">
      <w:pPr>
        <w:rPr>
          <w:lang w:val="en-US"/>
        </w:rPr>
      </w:pPr>
    </w:p>
    <w:p w14:paraId="17A7B298" w14:textId="77777777" w:rsidR="009D1E9D" w:rsidRPr="00260AEE" w:rsidRDefault="009D1E9D">
      <w:pPr>
        <w:rPr>
          <w:lang w:val="en-US"/>
        </w:rPr>
      </w:pPr>
    </w:p>
    <w:sectPr w:rsidR="009D1E9D" w:rsidRPr="00260AE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6B9C"/>
    <w:rsid w:val="00127960"/>
    <w:rsid w:val="00260AEE"/>
    <w:rsid w:val="003E2CA0"/>
    <w:rsid w:val="004B2272"/>
    <w:rsid w:val="007A6B9C"/>
    <w:rsid w:val="009D1E9D"/>
    <w:rsid w:val="00CC1A7D"/>
    <w:rsid w:val="00CF3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08AECA"/>
  <w15:chartTrackingRefBased/>
  <w15:docId w15:val="{C523AC62-C951-4FA0-806B-01930480A5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3E2CA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">
    <w:name w:val="Table"/>
    <w:semiHidden/>
    <w:unhideWhenUsed/>
    <w:qFormat/>
    <w:rsid w:val="003E2CA0"/>
    <w:pPr>
      <w:spacing w:after="200" w:line="240" w:lineRule="auto"/>
    </w:pPr>
    <w:rPr>
      <w:sz w:val="24"/>
      <w:szCs w:val="24"/>
      <w:lang w:val="en-US" w:eastAsia="de-D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FirstParagraph">
    <w:name w:val="First Paragraph"/>
    <w:basedOn w:val="Textkrper"/>
    <w:next w:val="Textkrper"/>
    <w:qFormat/>
    <w:rsid w:val="003E2CA0"/>
    <w:pPr>
      <w:spacing w:before="180" w:after="180" w:line="240" w:lineRule="auto"/>
    </w:pPr>
    <w:rPr>
      <w:sz w:val="24"/>
      <w:szCs w:val="24"/>
      <w:lang w:val="en-US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3E2CA0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3E2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 Scheffler</dc:creator>
  <cp:keywords/>
  <dc:description/>
  <cp:lastModifiedBy>Armin Scheffler</cp:lastModifiedBy>
  <cp:revision>4</cp:revision>
  <dcterms:created xsi:type="dcterms:W3CDTF">2026-08-09T13:34:00Z</dcterms:created>
  <dcterms:modified xsi:type="dcterms:W3CDTF">2026-08-09T14:26:00Z</dcterms:modified>
</cp:coreProperties>
</file>