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C29B1" w14:textId="7559A0C4" w:rsidR="007540BB" w:rsidRPr="00CB418D" w:rsidRDefault="007540BB" w:rsidP="007540BB">
      <w:pPr>
        <w:spacing w:line="480" w:lineRule="auto"/>
        <w:jc w:val="both"/>
        <w:rPr>
          <w:rFonts w:cstheme="minorHAnsi"/>
        </w:rPr>
      </w:pPr>
      <w:r w:rsidRPr="00CB418D">
        <w:rPr>
          <w:rFonts w:cstheme="minorHAnsi"/>
          <w:b/>
        </w:rPr>
        <w:t>Supplementary Table S</w:t>
      </w:r>
      <w:r>
        <w:rPr>
          <w:rFonts w:cstheme="minorHAnsi"/>
          <w:b/>
        </w:rPr>
        <w:t>4</w:t>
      </w:r>
      <w:r w:rsidRPr="00CB418D">
        <w:rPr>
          <w:rFonts w:cstheme="minorHAnsi"/>
          <w:b/>
        </w:rPr>
        <w:t>.</w:t>
      </w:r>
      <w:r w:rsidRPr="00CB418D">
        <w:rPr>
          <w:rFonts w:cstheme="minorHAnsi"/>
        </w:rPr>
        <w:t xml:space="preserve"> </w:t>
      </w:r>
      <w:r>
        <w:rPr>
          <w:rFonts w:cstheme="minorHAnsi"/>
        </w:rPr>
        <w:t xml:space="preserve">Subgroup analysis. </w:t>
      </w:r>
      <w:r w:rsidRPr="00582F74">
        <w:rPr>
          <w:rFonts w:cstheme="minorHAnsi"/>
        </w:rPr>
        <w:t>This model included only patients for whom headache outcome data were available from a headache diary.</w:t>
      </w:r>
      <w:r>
        <w:rPr>
          <w:rFonts w:cstheme="minorHAnsi"/>
        </w:rPr>
        <w:t xml:space="preserve"> </w:t>
      </w:r>
      <w:r w:rsidRPr="00CB418D">
        <w:rPr>
          <w:rFonts w:cstheme="minorHAnsi"/>
        </w:rPr>
        <w:t>Adjust</w:t>
      </w:r>
      <w:bookmarkStart w:id="0" w:name="_GoBack"/>
      <w:bookmarkEnd w:id="0"/>
      <w:r w:rsidRPr="00CB418D">
        <w:rPr>
          <w:rFonts w:cstheme="minorHAnsi"/>
        </w:rPr>
        <w:t>ed multivariate logistic regression analysis with achievement of a ≥50% reduction in monthly headache days (MHD) as the dependent variable.</w:t>
      </w:r>
      <w:r w:rsidRPr="007540BB">
        <w:rPr>
          <w:rFonts w:cstheme="minorHAnsi"/>
        </w:rPr>
        <w:t xml:space="preserve"> </w:t>
      </w:r>
    </w:p>
    <w:p w14:paraId="100D8B0D" w14:textId="77777777" w:rsidR="007540BB" w:rsidRDefault="007540BB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47"/>
        <w:gridCol w:w="839"/>
        <w:gridCol w:w="1389"/>
        <w:gridCol w:w="1181"/>
      </w:tblGrid>
      <w:tr w:rsidR="00787B4A" w:rsidRPr="00CB418D" w14:paraId="60849770" w14:textId="77777777" w:rsidTr="00773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3EFD4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47BAB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3F4A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D080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p-value</w:t>
            </w:r>
          </w:p>
        </w:tc>
      </w:tr>
      <w:tr w:rsidR="00787B4A" w:rsidRPr="008A4906" w14:paraId="5553BEAB" w14:textId="77777777" w:rsidTr="0077352B">
        <w:trPr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94D4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Treatment group (SPT vs MPT)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46D7F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6ADE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964C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1DE02F73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96E4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6A77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3590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C975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6DD70915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0D1E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SPT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1688" w14:textId="6D3B5CBE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0.66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490D" w14:textId="5BE574E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0.07, 5.18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7C6B" w14:textId="259E1C72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0.7</w:t>
            </w:r>
          </w:p>
        </w:tc>
      </w:tr>
      <w:tr w:rsidR="00787B4A" w:rsidRPr="00CB418D" w14:paraId="5BD3A4DC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46044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Age (years)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DF170" w14:textId="586302A6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1.01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1C59" w14:textId="0F7C6B64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0.97, 1.05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040D4" w14:textId="688D0A63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0.7</w:t>
            </w:r>
          </w:p>
        </w:tc>
      </w:tr>
      <w:tr w:rsidR="00787B4A" w:rsidRPr="00CB418D" w14:paraId="1B5CDE4A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6D54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Sex (ref: male)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72573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A93C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D3165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2F58CCFF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7441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female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C45F" w14:textId="2858EEFE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1.13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336C" w14:textId="7295CD0D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0.36, 3.62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397F1" w14:textId="26C6DFC8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0.8</w:t>
            </w:r>
          </w:p>
        </w:tc>
      </w:tr>
      <w:tr w:rsidR="00787B4A" w:rsidRPr="00CB418D" w14:paraId="6296A414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214F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Baseline headache days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C942" w14:textId="56FBE155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0.90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E907" w14:textId="61DD3164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0.79, 1.02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9BB8" w14:textId="4A75E72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0.10</w:t>
            </w:r>
          </w:p>
        </w:tc>
      </w:tr>
      <w:tr w:rsidR="00787B4A" w:rsidRPr="00CB418D" w14:paraId="3ED9E67D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82FC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Chronic migraine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D0B8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EE25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DF056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2D56DDAE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1BAE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CCFB" w14:textId="6E97D5C6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0.37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B32B" w14:textId="2707A94F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0.06, 1.97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475E" w14:textId="7D226D6B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0.3</w:t>
            </w:r>
          </w:p>
        </w:tc>
      </w:tr>
      <w:tr w:rsidR="00787B4A" w:rsidRPr="00CB418D" w14:paraId="37B0616E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331DA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Daily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C69A3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6C5A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2A63E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6DA11052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88B0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859B" w14:textId="580B0E2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0.47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5197" w14:textId="778EF51F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0.02, 5.27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F63A" w14:textId="447E110B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0.6</w:t>
            </w:r>
          </w:p>
        </w:tc>
      </w:tr>
      <w:tr w:rsidR="00787B4A" w:rsidRPr="00CB418D" w14:paraId="49C75112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005D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Medication overuse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6E341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E491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721B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31C990E8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0284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8022" w14:textId="3F1926BD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8.44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76DB2" w14:textId="0B9D8FD9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2.30, 42.3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81B3B" w14:textId="536EC3C0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0.003</w:t>
            </w:r>
          </w:p>
        </w:tc>
      </w:tr>
      <w:tr w:rsidR="00787B4A" w:rsidRPr="00CB418D" w14:paraId="2D5D230A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F265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Psychiatric comorbidity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C58F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F9FC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F5C3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3F2288E9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115E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no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4215" w14:textId="34471A19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0.85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C790" w14:textId="57A74794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0.23, 3.26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D866" w14:textId="73A6A19E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0.8</w:t>
            </w:r>
          </w:p>
        </w:tc>
      </w:tr>
      <w:tr w:rsidR="00787B4A" w:rsidRPr="00CB418D" w14:paraId="46ECCD76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33E7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Concomitant preventive medication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2F5EB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F968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FE19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787B4A" w:rsidRPr="00CB418D" w14:paraId="05B3A02A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3138B" w14:textId="7777777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6FA5" w14:textId="466E8D65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1.05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4F6F8" w14:textId="3A62AB07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0.41, 2.70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33C78" w14:textId="40F57573" w:rsidR="00787B4A" w:rsidRPr="00CB418D" w:rsidRDefault="00787B4A" w:rsidP="00787B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&gt;0.9</w:t>
            </w:r>
          </w:p>
        </w:tc>
      </w:tr>
      <w:tr w:rsidR="00787B4A" w:rsidRPr="00CB418D" w14:paraId="4E0BF542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3975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proofErr w:type="spellStart"/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Erenumab</w:t>
            </w:r>
            <w:proofErr w:type="spellEnd"/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 xml:space="preserve"> dose (ref: 140mg)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30D2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B0AC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A7BCA" w14:textId="77777777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582F74" w:rsidRPr="00CB418D" w14:paraId="4597E608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CCF00" w14:textId="77777777" w:rsidR="00582F74" w:rsidRPr="00CB418D" w:rsidRDefault="00582F74" w:rsidP="00582F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70mg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0DAA" w14:textId="23A7C8EA" w:rsidR="00582F74" w:rsidRPr="00CB418D" w:rsidRDefault="00582F74" w:rsidP="00582F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0.49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F045A" w14:textId="290C762D" w:rsidR="00582F74" w:rsidRPr="00CB418D" w:rsidRDefault="00582F74" w:rsidP="00582F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0.07, 3.42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E97B" w14:textId="4F307D8F" w:rsidR="00582F74" w:rsidRPr="00CB418D" w:rsidRDefault="00582F74" w:rsidP="00582F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0.5</w:t>
            </w:r>
          </w:p>
        </w:tc>
      </w:tr>
      <w:tr w:rsidR="00787B4A" w:rsidRPr="008A4906" w14:paraId="3D766787" w14:textId="77777777" w:rsidTr="0077352B">
        <w:trPr>
          <w:jc w:val="center"/>
        </w:trPr>
        <w:tc>
          <w:tcPr>
            <w:tcW w:w="7256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189F5" w14:textId="5179B353" w:rsidR="00787B4A" w:rsidRPr="00CB418D" w:rsidRDefault="00787B4A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8A4906">
              <w:rPr>
                <w:rFonts w:eastAsia="Arial" w:cstheme="minorHAnsi"/>
                <w:color w:val="000000"/>
                <w:sz w:val="20"/>
                <w:szCs w:val="22"/>
              </w:rPr>
              <w:t>CI: Confidence Interval, MPT: Multiple prior preventive therapies, OR: Odds Ratio, SPT: Single prior preventive therapy</w:t>
            </w:r>
          </w:p>
        </w:tc>
      </w:tr>
    </w:tbl>
    <w:p w14:paraId="3B7C6BE0" w14:textId="1D7A5B6A" w:rsidR="00FF2E9B" w:rsidRDefault="00FF2E9B" w:rsidP="00787B4A"/>
    <w:p w14:paraId="2B8C1136" w14:textId="5EA9F373" w:rsidR="00787B4A" w:rsidRPr="008A4906" w:rsidRDefault="00787B4A" w:rsidP="00787B4A">
      <w:pPr>
        <w:spacing w:line="480" w:lineRule="auto"/>
        <w:jc w:val="both"/>
        <w:rPr>
          <w:rFonts w:cstheme="minorHAnsi"/>
        </w:rPr>
      </w:pPr>
      <w:r w:rsidRPr="00592719">
        <w:rPr>
          <w:rFonts w:cstheme="minorHAnsi"/>
        </w:rPr>
        <w:lastRenderedPageBreak/>
        <w:t>The distribution of responders and non-responders (</w:t>
      </w:r>
      <w:r w:rsidRPr="00CB418D">
        <w:rPr>
          <w:rFonts w:cstheme="minorHAnsi"/>
        </w:rPr>
        <w:t>≥50% reduction in monthly headache days (MHD</w:t>
      </w:r>
      <w:r>
        <w:rPr>
          <w:rFonts w:cstheme="minorHAnsi"/>
        </w:rPr>
        <w:t>))</w:t>
      </w:r>
      <w:r w:rsidRPr="00592719">
        <w:rPr>
          <w:rFonts w:cstheme="minorHAnsi"/>
        </w:rPr>
        <w:t xml:space="preserve"> according to treatment group is shown in the table.</w:t>
      </w:r>
      <w:r>
        <w:rPr>
          <w:rFonts w:cstheme="minorHAnsi"/>
        </w:rPr>
        <w:t xml:space="preserve"> (</w:t>
      </w:r>
      <w:r w:rsidRPr="00CB418D">
        <w:rPr>
          <w:rFonts w:cstheme="minorHAnsi"/>
        </w:rPr>
        <w:t>SP</w:t>
      </w:r>
      <w:r>
        <w:rPr>
          <w:rFonts w:cstheme="minorHAnsi"/>
        </w:rPr>
        <w:t xml:space="preserve">T: </w:t>
      </w:r>
      <w:r w:rsidRPr="00CB418D">
        <w:rPr>
          <w:rFonts w:cstheme="minorHAnsi"/>
        </w:rPr>
        <w:t>single prior preventive treatment failure</w:t>
      </w:r>
      <w:r>
        <w:rPr>
          <w:rFonts w:cstheme="minorHAnsi"/>
        </w:rPr>
        <w:t xml:space="preserve">, </w:t>
      </w:r>
      <w:r w:rsidRPr="00CB418D">
        <w:rPr>
          <w:rFonts w:cstheme="minorHAnsi"/>
        </w:rPr>
        <w:t>MPT</w:t>
      </w:r>
      <w:r>
        <w:rPr>
          <w:rFonts w:cstheme="minorHAnsi"/>
        </w:rPr>
        <w:t xml:space="preserve">: </w:t>
      </w:r>
      <w:r w:rsidRPr="00CB418D">
        <w:rPr>
          <w:rFonts w:cstheme="minorHAnsi"/>
        </w:rPr>
        <w:t>multiple prior preventive treatment failures</w:t>
      </w:r>
      <w:r>
        <w:rPr>
          <w:rFonts w:cstheme="minorHAnsi"/>
        </w:rPr>
        <w:t>):</w:t>
      </w:r>
    </w:p>
    <w:tbl>
      <w:tblPr>
        <w:tblStyle w:val="Tabellenraster"/>
        <w:tblpPr w:leftFromText="141" w:rightFromText="141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2470"/>
        <w:gridCol w:w="1542"/>
        <w:gridCol w:w="2002"/>
        <w:gridCol w:w="2483"/>
      </w:tblGrid>
      <w:tr w:rsidR="00787B4A" w:rsidRPr="00592719" w14:paraId="3083778F" w14:textId="77777777" w:rsidTr="00787B4A">
        <w:tc>
          <w:tcPr>
            <w:tcW w:w="2470" w:type="dxa"/>
          </w:tcPr>
          <w:p w14:paraId="05F6B410" w14:textId="77777777" w:rsidR="00787B4A" w:rsidRPr="008A4906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667AE3" w14:textId="77777777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SPT</w:t>
            </w:r>
          </w:p>
        </w:tc>
        <w:tc>
          <w:tcPr>
            <w:tcW w:w="2002" w:type="dxa"/>
          </w:tcPr>
          <w:p w14:paraId="4A8555B1" w14:textId="77777777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MPT</w:t>
            </w:r>
          </w:p>
        </w:tc>
        <w:tc>
          <w:tcPr>
            <w:tcW w:w="2483" w:type="dxa"/>
          </w:tcPr>
          <w:p w14:paraId="78355179" w14:textId="77777777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Total</w:t>
            </w:r>
          </w:p>
        </w:tc>
      </w:tr>
      <w:tr w:rsidR="00787B4A" w:rsidRPr="00592719" w14:paraId="05562662" w14:textId="77777777" w:rsidTr="00787B4A">
        <w:tc>
          <w:tcPr>
            <w:tcW w:w="2470" w:type="dxa"/>
          </w:tcPr>
          <w:p w14:paraId="3E8E724E" w14:textId="77777777" w:rsidR="00787B4A" w:rsidRPr="008A4906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Responder</w:t>
            </w:r>
          </w:p>
        </w:tc>
        <w:tc>
          <w:tcPr>
            <w:tcW w:w="1542" w:type="dxa"/>
          </w:tcPr>
          <w:p w14:paraId="79C3ED81" w14:textId="3A7D7722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4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36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002" w:type="dxa"/>
          </w:tcPr>
          <w:p w14:paraId="6C7B5F87" w14:textId="4370F5B4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33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33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483" w:type="dxa"/>
          </w:tcPr>
          <w:p w14:paraId="540CAD03" w14:textId="66EABDA8" w:rsidR="00787B4A" w:rsidRPr="00592719" w:rsidRDefault="00582F74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37</w:t>
            </w:r>
            <w:r w:rsidR="00787B4A"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(3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3</w:t>
            </w:r>
            <w:r w:rsidR="00787B4A"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</w:tr>
      <w:tr w:rsidR="00787B4A" w:rsidRPr="00592719" w14:paraId="7A216BC7" w14:textId="77777777" w:rsidTr="00787B4A">
        <w:tc>
          <w:tcPr>
            <w:tcW w:w="2470" w:type="dxa"/>
          </w:tcPr>
          <w:p w14:paraId="550B2C5B" w14:textId="77777777" w:rsidR="00787B4A" w:rsidRPr="008A4906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Non-Responder</w:t>
            </w:r>
          </w:p>
        </w:tc>
        <w:tc>
          <w:tcPr>
            <w:tcW w:w="1542" w:type="dxa"/>
          </w:tcPr>
          <w:p w14:paraId="28B18616" w14:textId="7FC800B1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7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64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002" w:type="dxa"/>
          </w:tcPr>
          <w:p w14:paraId="3D71CA77" w14:textId="43F714A5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68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67</w:t>
            </w: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483" w:type="dxa"/>
          </w:tcPr>
          <w:p w14:paraId="51711437" w14:textId="1304B06F" w:rsidR="00787B4A" w:rsidRPr="00592719" w:rsidRDefault="00582F74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75</w:t>
            </w:r>
            <w:r w:rsidR="00787B4A" w:rsidRPr="00592719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(67</w:t>
            </w:r>
            <w:r w:rsidR="00787B4A" w:rsidRPr="00592719">
              <w:rPr>
                <w:rFonts w:eastAsia="Arial" w:cstheme="minorHAnsi"/>
                <w:color w:val="000000"/>
                <w:sz w:val="20"/>
                <w:szCs w:val="20"/>
              </w:rPr>
              <w:t>%)</w:t>
            </w:r>
          </w:p>
        </w:tc>
      </w:tr>
      <w:tr w:rsidR="00787B4A" w:rsidRPr="00592719" w14:paraId="57109395" w14:textId="77777777" w:rsidTr="00787B4A">
        <w:tc>
          <w:tcPr>
            <w:tcW w:w="2470" w:type="dxa"/>
          </w:tcPr>
          <w:p w14:paraId="6F309D69" w14:textId="77777777" w:rsidR="00787B4A" w:rsidRPr="008A4906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42" w:type="dxa"/>
          </w:tcPr>
          <w:p w14:paraId="3713C98B" w14:textId="6D364C11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02" w:type="dxa"/>
          </w:tcPr>
          <w:p w14:paraId="0D27B1D7" w14:textId="6A2C3140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483" w:type="dxa"/>
          </w:tcPr>
          <w:p w14:paraId="46DE3E80" w14:textId="1DF86EF5" w:rsidR="00787B4A" w:rsidRPr="00592719" w:rsidRDefault="00787B4A" w:rsidP="00787B4A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</w:rPr>
              <w:t>112</w:t>
            </w:r>
          </w:p>
        </w:tc>
      </w:tr>
    </w:tbl>
    <w:p w14:paraId="7A11ADBF" w14:textId="77777777" w:rsidR="00787B4A" w:rsidRPr="00787B4A" w:rsidRDefault="00787B4A" w:rsidP="00787B4A"/>
    <w:sectPr w:rsidR="00787B4A" w:rsidRPr="00787B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BB"/>
    <w:rsid w:val="004244BB"/>
    <w:rsid w:val="00582F74"/>
    <w:rsid w:val="007540BB"/>
    <w:rsid w:val="00787B4A"/>
    <w:rsid w:val="00FF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542C"/>
  <w15:chartTrackingRefBased/>
  <w15:docId w15:val="{A9BF974E-B9EE-407F-A74B-1A797321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87B4A"/>
    <w:pPr>
      <w:spacing w:after="20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787B4A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table" w:styleId="Tabellenraster">
    <w:name w:val="Table Grid"/>
    <w:basedOn w:val="NormaleTabelle"/>
    <w:uiPriority w:val="39"/>
    <w:rsid w:val="00787B4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3</cp:revision>
  <dcterms:created xsi:type="dcterms:W3CDTF">2026-08-09T15:38:00Z</dcterms:created>
  <dcterms:modified xsi:type="dcterms:W3CDTF">2026-08-09T15:54:00Z</dcterms:modified>
</cp:coreProperties>
</file>