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1C59B7">
      <w:pPr>
        <w:pStyle w:val="4"/>
        <w:keepNext w:val="0"/>
        <w:keepLines w:val="0"/>
        <w:widowControl/>
        <w:suppressLineNumbers w:val="0"/>
        <w:spacing w:before="105" w:beforeAutospacing="0" w:after="105" w:afterAutospacing="0" w:line="480" w:lineRule="auto"/>
        <w:jc w:val="both"/>
        <w:rPr>
          <w:rFonts w:hint="default" w:ascii="Times New Roman" w:hAnsi="Times New Roman" w:eastAsia="Myriad Pro Light" w:cs="Times New Roman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default" w:ascii="Times New Roman" w:hAnsi="Times New Roman" w:eastAsia="Myriad Pro Light" w:cs="Times New Roman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>Supplementary Material for</w:t>
      </w:r>
    </w:p>
    <w:p w14:paraId="663C4BDE">
      <w:pPr>
        <w:pStyle w:val="4"/>
        <w:keepNext w:val="0"/>
        <w:keepLines w:val="0"/>
        <w:widowControl/>
        <w:suppressLineNumbers w:val="0"/>
        <w:spacing w:before="105" w:beforeAutospacing="0" w:after="105" w:afterAutospacing="0" w:line="480" w:lineRule="auto"/>
        <w:jc w:val="both"/>
        <w:rPr>
          <w:rFonts w:hint="default" w:ascii="Times New Roman" w:hAnsi="Times New Roman" w:eastAsia="Myriad Pro Light" w:cs="Times New Roman"/>
          <w:b w:val="0"/>
          <w:bCs w:val="0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default" w:ascii="Times New Roman" w:hAnsi="Times New Roman" w:eastAsia="Myriad Pro Light" w:cs="Times New Roman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  <w:t>Manuscript Title:</w:t>
      </w:r>
      <w:r>
        <w:rPr>
          <w:rFonts w:hint="default" w:ascii="Times New Roman" w:hAnsi="Times New Roman" w:eastAsia="Myriad Pro Light" w:cs="Times New Roman"/>
          <w:b w:val="0"/>
          <w:bCs w:val="0"/>
          <w:color w:val="0000FF"/>
          <w:kern w:val="0"/>
          <w:sz w:val="24"/>
          <w:szCs w:val="24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Myriad Pro Light" w:cs="Times New Roman"/>
          <w:b w:val="0"/>
          <w:bCs w:val="0"/>
          <w:color w:val="auto"/>
          <w:kern w:val="0"/>
          <w:sz w:val="24"/>
          <w:szCs w:val="24"/>
          <w:highlight w:val="none"/>
          <w:lang w:val="en-US" w:eastAsia="zh-CN" w:bidi="ar"/>
        </w:rPr>
        <w:t>Comparative Analysis of Six Inflammatory Markers in Epilepsy Severity: SIRI Shows the Strongest Association</w:t>
      </w:r>
    </w:p>
    <w:p w14:paraId="54F8A8F8">
      <w:pPr>
        <w:pStyle w:val="4"/>
        <w:keepNext w:val="0"/>
        <w:keepLines w:val="0"/>
        <w:widowControl/>
        <w:suppressLineNumbers w:val="0"/>
        <w:spacing w:before="105" w:beforeAutospacing="0" w:after="105" w:afterAutospacing="0" w:line="480" w:lineRule="auto"/>
        <w:jc w:val="both"/>
        <w:rPr>
          <w:rFonts w:hint="default" w:ascii="Times New Roman" w:hAnsi="Times New Roman" w:eastAsia="Myriad Pro Light" w:cs="Times New Roman"/>
          <w:b w:val="0"/>
          <w:bCs w:val="0"/>
          <w:color w:val="auto"/>
          <w:kern w:val="0"/>
          <w:sz w:val="24"/>
          <w:szCs w:val="24"/>
          <w:highlight w:val="none"/>
          <w:lang w:val="en-US" w:eastAsia="zh-CN" w:bidi="ar"/>
        </w:rPr>
      </w:pPr>
    </w:p>
    <w:p w14:paraId="02405171">
      <w:pPr>
        <w:pStyle w:val="54"/>
        <w:spacing w:line="480" w:lineRule="auto"/>
        <w:jc w:val="both"/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</w:rPr>
        <w:t>Journal:</w:t>
      </w: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cs="Times New Roman"/>
          <w:b w:val="0"/>
          <w:bCs/>
          <w:i w:val="0"/>
          <w:iCs/>
          <w:color w:val="auto"/>
          <w:sz w:val="24"/>
          <w:szCs w:val="24"/>
          <w:lang w:val="en-US" w:eastAsia="zh-CN"/>
        </w:rPr>
        <w:t>BMC Neurology</w:t>
      </w:r>
    </w:p>
    <w:p w14:paraId="6BB685EC">
      <w:pPr>
        <w:pStyle w:val="19"/>
        <w:rPr>
          <w:rFonts w:hint="default" w:ascii="Times New Roman" w:hAnsi="Times New Roman" w:cs="Times New Roman"/>
          <w:sz w:val="24"/>
          <w:szCs w:val="24"/>
        </w:rPr>
      </w:pPr>
    </w:p>
    <w:p w14:paraId="11D68CAF">
      <w:pPr>
        <w:pStyle w:val="54"/>
        <w:spacing w:line="480" w:lineRule="auto"/>
        <w:jc w:val="both"/>
        <w:rPr>
          <w:rFonts w:hint="default" w:ascii="Times New Roman" w:hAnsi="Times New Roman" w:cs="Times New Roman"/>
          <w:b/>
          <w:bCs w:val="0"/>
          <w:i w:val="0"/>
          <w:iCs/>
          <w:sz w:val="24"/>
          <w:szCs w:val="24"/>
        </w:rPr>
      </w:pPr>
      <w:r>
        <w:rPr>
          <w:rFonts w:hint="default" w:ascii="Times New Roman" w:hAnsi="Times New Roman" w:cs="Times New Roman"/>
          <w:b/>
          <w:bCs w:val="0"/>
          <w:i w:val="0"/>
          <w:iCs/>
          <w:sz w:val="24"/>
          <w:szCs w:val="24"/>
        </w:rPr>
        <w:t>This file contains the following supplementary items:</w:t>
      </w:r>
    </w:p>
    <w:p w14:paraId="3E22DC24">
      <w:pPr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eastAsia="Segoe UI" w:cs="Times New Roman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cs="Times New Roman"/>
          <w:b w:val="0"/>
          <w:bCs/>
          <w:i w:val="0"/>
          <w:iCs/>
          <w:sz w:val="24"/>
          <w:szCs w:val="24"/>
        </w:rPr>
        <w:t>Supplementary Table S1. </w:t>
      </w:r>
      <w:r>
        <w:rPr>
          <w:rFonts w:hint="default" w:ascii="Times New Roman" w:hAnsi="Times New Roman" w:eastAsia="Segoe UI" w:cs="Times New Roman"/>
          <w:kern w:val="0"/>
          <w:sz w:val="24"/>
          <w:szCs w:val="24"/>
          <w:lang w:val="en-US" w:eastAsia="zh-CN" w:bidi="ar"/>
        </w:rPr>
        <w:t>Correlations between inflammatory markers and NHS3 score (Spearman's rank correlation coefficient)</w:t>
      </w:r>
    </w:p>
    <w:p w14:paraId="1D4A20AE">
      <w:pPr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eastAsia="Segoe UI" w:cs="Times New Roman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cs="Times New Roman" w:eastAsiaTheme="minorHAnsi"/>
          <w:b w:val="0"/>
          <w:bCs w:val="0"/>
          <w:kern w:val="0"/>
          <w:sz w:val="24"/>
          <w:szCs w:val="24"/>
          <w:lang w:val="en-US" w:eastAsia="zh-CN" w:bidi="ar"/>
        </w:rPr>
        <w:t>Supplementary Table S</w:t>
      </w:r>
      <w:r>
        <w:rPr>
          <w:rFonts w:hint="eastAsia" w:cs="Times New Roman"/>
          <w:b w:val="0"/>
          <w:bCs w:val="0"/>
          <w:kern w:val="0"/>
          <w:sz w:val="24"/>
          <w:szCs w:val="24"/>
          <w:lang w:val="en-US" w:eastAsia="zh-CN" w:bidi="ar"/>
        </w:rPr>
        <w:t>2</w:t>
      </w:r>
      <w:r>
        <w:rPr>
          <w:rFonts w:hint="default" w:ascii="Times New Roman" w:hAnsi="Times New Roman" w:cs="Times New Roman" w:eastAsiaTheme="minorHAnsi"/>
          <w:b w:val="0"/>
          <w:bCs w:val="0"/>
          <w:kern w:val="0"/>
          <w:sz w:val="24"/>
          <w:szCs w:val="24"/>
          <w:lang w:val="en-US" w:eastAsia="zh-CN" w:bidi="ar"/>
        </w:rPr>
        <w:t>. Multivariable logistic regression analysis in the generalized seizure subgroup for higher NHS3 scores (NHS3 ≥ 9)</w:t>
      </w:r>
    </w:p>
    <w:p w14:paraId="2B6FE33E">
      <w:pPr>
        <w:pStyle w:val="54"/>
        <w:spacing w:line="480" w:lineRule="auto"/>
        <w:jc w:val="both"/>
        <w:rPr>
          <w:rFonts w:hint="default" w:ascii="Times New Roman" w:hAnsi="Times New Roman" w:cs="Times New Roman"/>
          <w:b w:val="0"/>
          <w:bCs/>
          <w:i w:val="0"/>
          <w:iCs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/>
          <w:i w:val="0"/>
          <w:iCs/>
          <w:sz w:val="24"/>
          <w:szCs w:val="24"/>
        </w:rPr>
        <w:t>Supplementary Table S</w:t>
      </w:r>
      <w:r>
        <w:rPr>
          <w:rFonts w:hint="eastAsia" w:eastAsia="宋体" w:cs="Times New Roman"/>
          <w:b w:val="0"/>
          <w:bCs/>
          <w:i w:val="0"/>
          <w:iCs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cs="Times New Roman"/>
          <w:b w:val="0"/>
          <w:bCs/>
          <w:i w:val="0"/>
          <w:iCs/>
          <w:sz w:val="24"/>
          <w:szCs w:val="24"/>
        </w:rPr>
        <w:t>. ROC analysis of inflammatory markers for identifying higher NHS3 scores using alternative cutoffs (NHS3 ≥ 8 and ≥ 10).</w:t>
      </w:r>
    </w:p>
    <w:p w14:paraId="47AD62DE">
      <w:pPr>
        <w:pStyle w:val="54"/>
        <w:spacing w:line="480" w:lineRule="auto"/>
        <w:jc w:val="both"/>
        <w:rPr>
          <w:rFonts w:hint="default"/>
        </w:rPr>
      </w:pPr>
      <w:r>
        <w:rPr>
          <w:rFonts w:hint="default" w:ascii="Times New Roman" w:hAnsi="Times New Roman" w:cs="Times New Roman"/>
          <w:b w:val="0"/>
          <w:bCs/>
          <w:i w:val="0"/>
          <w:iCs/>
          <w:sz w:val="24"/>
          <w:szCs w:val="24"/>
        </w:rPr>
        <w:t>Supplementary Table S</w:t>
      </w:r>
      <w:r>
        <w:rPr>
          <w:rFonts w:hint="eastAsia" w:eastAsia="宋体" w:cs="Times New Roman"/>
          <w:b w:val="0"/>
          <w:bCs/>
          <w:i w:val="0"/>
          <w:iCs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cs="Times New Roman"/>
          <w:b w:val="0"/>
          <w:bCs/>
          <w:i w:val="0"/>
          <w:iCs/>
          <w:sz w:val="24"/>
          <w:szCs w:val="24"/>
        </w:rPr>
        <w:t>. Multivariable logistic regression analysis of factors associated with higher NHS3 scores using alternative cutoffs (NHS3 ≥ 8 and ≥ 10).</w:t>
      </w:r>
    </w:p>
    <w:p w14:paraId="2CF011D9">
      <w:pPr>
        <w:pStyle w:val="54"/>
        <w:spacing w:line="480" w:lineRule="auto"/>
        <w:jc w:val="both"/>
        <w:rPr>
          <w:rFonts w:hint="default" w:ascii="Times New Roman" w:hAnsi="Times New Roman" w:cs="Times New Roman"/>
          <w:b w:val="0"/>
          <w:bCs/>
          <w:i w:val="0"/>
          <w:iCs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/>
          <w:i w:val="0"/>
          <w:iCs/>
          <w:sz w:val="24"/>
          <w:szCs w:val="24"/>
        </w:rPr>
        <w:t>Supplementary Figure S1. ROC curves of SIRI, MPV, and their combination for identifying higher NHS3 scores at cutoffs of (A) NHS3 ≥ 8 and (B) NHS3 ≥ 10.</w:t>
      </w:r>
    </w:p>
    <w:p w14:paraId="3C534FC4">
      <w:pPr>
        <w:pStyle w:val="19"/>
        <w:rPr>
          <w:rFonts w:hint="default"/>
          <w:lang w:val="en-US" w:eastAsia="zh-CN"/>
        </w:rPr>
      </w:pPr>
    </w:p>
    <w:p w14:paraId="25FC2487">
      <w:pPr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eastAsia="Segoe UI" w:cs="Times New Roman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cs="Times New Roman" w:eastAsiaTheme="minorHAnsi"/>
          <w:b/>
          <w:bCs/>
          <w:kern w:val="0"/>
          <w:sz w:val="24"/>
          <w:szCs w:val="24"/>
          <w:lang w:val="en-US" w:eastAsia="zh-CN" w:bidi="ar"/>
        </w:rPr>
        <w:t xml:space="preserve">Supplementary Table </w:t>
      </w:r>
      <w:r>
        <w:rPr>
          <w:rFonts w:hint="eastAsia" w:cs="Times New Roman"/>
          <w:b/>
          <w:bCs/>
          <w:kern w:val="0"/>
          <w:sz w:val="24"/>
          <w:szCs w:val="24"/>
          <w:lang w:val="en-US" w:eastAsia="zh-CN" w:bidi="ar"/>
        </w:rPr>
        <w:t>1</w:t>
      </w:r>
      <w:r>
        <w:rPr>
          <w:rFonts w:hint="default" w:ascii="Times New Roman" w:hAnsi="Times New Roman" w:eastAsia="Segoe UI" w:cs="Times New Roman"/>
          <w:b/>
          <w:bCs/>
          <w:kern w:val="0"/>
          <w:sz w:val="24"/>
          <w:szCs w:val="24"/>
          <w:lang w:val="en-US" w:eastAsia="zh-CN" w:bidi="ar"/>
        </w:rPr>
        <w:t xml:space="preserve">. </w:t>
      </w:r>
      <w:r>
        <w:rPr>
          <w:rFonts w:hint="default" w:ascii="Times New Roman" w:hAnsi="Times New Roman" w:eastAsia="Segoe UI" w:cs="Times New Roman"/>
          <w:kern w:val="0"/>
          <w:sz w:val="24"/>
          <w:szCs w:val="24"/>
          <w:lang w:val="en-US" w:eastAsia="zh-CN" w:bidi="ar"/>
        </w:rPr>
        <w:t>Correlations between inflammatory markers and NHS3 score (Spearman's rank correlation coefficient)</w:t>
      </w:r>
    </w:p>
    <w:tbl>
      <w:tblPr>
        <w:tblStyle w:val="21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487"/>
        <w:gridCol w:w="2959"/>
        <w:gridCol w:w="2448"/>
      </w:tblGrid>
      <w:tr w14:paraId="7BF2A34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97" w:hRule="exact"/>
        </w:trPr>
        <w:tc>
          <w:tcPr>
            <w:tcW w:w="0" w:type="auto"/>
            <w:tcBorders>
              <w:bottom w:val="single" w:color="auto" w:sz="6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46AB4AB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Marker</w:t>
            </w:r>
          </w:p>
        </w:tc>
        <w:tc>
          <w:tcPr>
            <w:tcW w:w="0" w:type="auto"/>
            <w:tcBorders>
              <w:bottom w:val="single" w:color="auto" w:sz="6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9A8577B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Correlation coefficient (r)</w:t>
            </w:r>
          </w:p>
        </w:tc>
        <w:tc>
          <w:tcPr>
            <w:tcW w:w="2448" w:type="dxa"/>
            <w:tcBorders>
              <w:bottom w:val="single" w:color="auto" w:sz="6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210A64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/>
                <w:iCs/>
                <w:kern w:val="0"/>
                <w:sz w:val="24"/>
                <w:szCs w:val="24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 xml:space="preserve"> value</w:t>
            </w:r>
          </w:p>
        </w:tc>
      </w:tr>
      <w:tr w14:paraId="311CAE1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97" w:hRule="exact"/>
        </w:trPr>
        <w:tc>
          <w:tcPr>
            <w:tcW w:w="0" w:type="auto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88AFB12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NLR</w:t>
            </w:r>
          </w:p>
        </w:tc>
        <w:tc>
          <w:tcPr>
            <w:tcW w:w="0" w:type="auto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68237C3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0.305</w:t>
            </w:r>
          </w:p>
        </w:tc>
        <w:tc>
          <w:tcPr>
            <w:tcW w:w="2448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1CEB6F6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&lt;0.001</w:t>
            </w:r>
          </w:p>
        </w:tc>
      </w:tr>
      <w:tr w14:paraId="6204BF4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97" w:hRule="exac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CE08B35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PLR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E530E92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0.081</w:t>
            </w:r>
          </w:p>
        </w:tc>
        <w:tc>
          <w:tcPr>
            <w:tcW w:w="2448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2BEE047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0.121</w:t>
            </w:r>
          </w:p>
        </w:tc>
      </w:tr>
      <w:tr w14:paraId="0A2E8C3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97" w:hRule="exac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549C4EC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MLR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A6488E2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0.287</w:t>
            </w:r>
          </w:p>
        </w:tc>
        <w:tc>
          <w:tcPr>
            <w:tcW w:w="2448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5082BD7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&lt;0.001</w:t>
            </w:r>
          </w:p>
        </w:tc>
      </w:tr>
      <w:tr w14:paraId="1A242AE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97" w:hRule="exac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21D69D1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SII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973B93F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0.239</w:t>
            </w:r>
          </w:p>
        </w:tc>
        <w:tc>
          <w:tcPr>
            <w:tcW w:w="2448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5F3EB11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&lt;0.001</w:t>
            </w:r>
          </w:p>
        </w:tc>
      </w:tr>
      <w:tr w14:paraId="53C639D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97" w:hRule="exac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BC71635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SIRI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54A8833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0.402</w:t>
            </w:r>
          </w:p>
        </w:tc>
        <w:tc>
          <w:tcPr>
            <w:tcW w:w="2448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64EFCBB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&lt;0.001</w:t>
            </w:r>
          </w:p>
        </w:tc>
      </w:tr>
      <w:tr w14:paraId="201C85C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97" w:hRule="exac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B380893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PAR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B5EE305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0.127</w:t>
            </w:r>
          </w:p>
        </w:tc>
        <w:tc>
          <w:tcPr>
            <w:tcW w:w="2448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4316917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0.016</w:t>
            </w:r>
          </w:p>
        </w:tc>
      </w:tr>
      <w:tr w14:paraId="41C5CA0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97" w:hRule="exac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8E09173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Mean platelet volume (MPV)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CA7E9D1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-0.377</w:t>
            </w:r>
          </w:p>
        </w:tc>
        <w:tc>
          <w:tcPr>
            <w:tcW w:w="2448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3CAAD76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&lt;0.001</w:t>
            </w:r>
          </w:p>
        </w:tc>
      </w:tr>
      <w:tr w14:paraId="4D56C54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97" w:hRule="exac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D0FF1DE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Platelet distribution width (PDW)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A81F5AC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0.115</w:t>
            </w:r>
          </w:p>
        </w:tc>
        <w:tc>
          <w:tcPr>
            <w:tcW w:w="2448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4BF74CE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0.029</w:t>
            </w:r>
          </w:p>
        </w:tc>
      </w:tr>
    </w:tbl>
    <w:p w14:paraId="574502A7">
      <w:pPr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eastAsia="Segoe UI" w:cs="Times New Roman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Segoe UI" w:cs="Times New Roman"/>
          <w:kern w:val="0"/>
          <w:sz w:val="24"/>
          <w:szCs w:val="24"/>
          <w:lang w:val="en-US" w:eastAsia="zh-CN" w:bidi="ar"/>
        </w:rPr>
        <w:t>Note: Spearman's rank correlation analysis was used. NHS3, National Hospital Seizure Severity Scale; NLR, neutrophil</w:t>
      </w:r>
      <w:r>
        <w:rPr>
          <w:rFonts w:hint="default" w:ascii="Times New Roman" w:hAnsi="Times New Roman" w:eastAsia="Segoe UI" w:cs="Times New Roman"/>
          <w:kern w:val="0"/>
          <w:sz w:val="24"/>
          <w:szCs w:val="24"/>
          <w:lang w:val="en-US" w:eastAsia="zh-CN" w:bidi="ar"/>
        </w:rPr>
        <w:noBreakHyphen/>
      </w:r>
      <w:r>
        <w:rPr>
          <w:rFonts w:hint="default" w:ascii="Times New Roman" w:hAnsi="Times New Roman" w:eastAsia="Segoe UI" w:cs="Times New Roman"/>
          <w:kern w:val="0"/>
          <w:sz w:val="24"/>
          <w:szCs w:val="24"/>
          <w:lang w:val="en-US" w:eastAsia="zh-CN" w:bidi="ar"/>
        </w:rPr>
        <w:t>to</w:t>
      </w:r>
      <w:r>
        <w:rPr>
          <w:rFonts w:hint="default" w:ascii="Times New Roman" w:hAnsi="Times New Roman" w:eastAsia="Segoe UI" w:cs="Times New Roman"/>
          <w:kern w:val="0"/>
          <w:sz w:val="24"/>
          <w:szCs w:val="24"/>
          <w:lang w:val="en-US" w:eastAsia="zh-CN" w:bidi="ar"/>
        </w:rPr>
        <w:noBreakHyphen/>
      </w:r>
      <w:r>
        <w:rPr>
          <w:rFonts w:hint="default" w:ascii="Times New Roman" w:hAnsi="Times New Roman" w:eastAsia="Segoe UI" w:cs="Times New Roman"/>
          <w:kern w:val="0"/>
          <w:sz w:val="24"/>
          <w:szCs w:val="24"/>
          <w:lang w:val="en-US" w:eastAsia="zh-CN" w:bidi="ar"/>
        </w:rPr>
        <w:t>lymphocyte ratio; PLR, platelet</w:t>
      </w:r>
      <w:r>
        <w:rPr>
          <w:rFonts w:hint="default" w:ascii="Times New Roman" w:hAnsi="Times New Roman" w:eastAsia="Segoe UI" w:cs="Times New Roman"/>
          <w:kern w:val="0"/>
          <w:sz w:val="24"/>
          <w:szCs w:val="24"/>
          <w:lang w:val="en-US" w:eastAsia="zh-CN" w:bidi="ar"/>
        </w:rPr>
        <w:noBreakHyphen/>
      </w:r>
      <w:r>
        <w:rPr>
          <w:rFonts w:hint="default" w:ascii="Times New Roman" w:hAnsi="Times New Roman" w:eastAsia="Segoe UI" w:cs="Times New Roman"/>
          <w:kern w:val="0"/>
          <w:sz w:val="24"/>
          <w:szCs w:val="24"/>
          <w:lang w:val="en-US" w:eastAsia="zh-CN" w:bidi="ar"/>
        </w:rPr>
        <w:t>to</w:t>
      </w:r>
      <w:r>
        <w:rPr>
          <w:rFonts w:hint="default" w:ascii="Times New Roman" w:hAnsi="Times New Roman" w:eastAsia="Segoe UI" w:cs="Times New Roman"/>
          <w:kern w:val="0"/>
          <w:sz w:val="24"/>
          <w:szCs w:val="24"/>
          <w:lang w:val="en-US" w:eastAsia="zh-CN" w:bidi="ar"/>
        </w:rPr>
        <w:noBreakHyphen/>
      </w:r>
      <w:r>
        <w:rPr>
          <w:rFonts w:hint="default" w:ascii="Times New Roman" w:hAnsi="Times New Roman" w:eastAsia="Segoe UI" w:cs="Times New Roman"/>
          <w:kern w:val="0"/>
          <w:sz w:val="24"/>
          <w:szCs w:val="24"/>
          <w:lang w:val="en-US" w:eastAsia="zh-CN" w:bidi="ar"/>
        </w:rPr>
        <w:t>lymphocyte ratio; MLR, monocyte</w:t>
      </w:r>
      <w:r>
        <w:rPr>
          <w:rFonts w:hint="default" w:ascii="Times New Roman" w:hAnsi="Times New Roman" w:eastAsia="Segoe UI" w:cs="Times New Roman"/>
          <w:kern w:val="0"/>
          <w:sz w:val="24"/>
          <w:szCs w:val="24"/>
          <w:lang w:val="en-US" w:eastAsia="zh-CN" w:bidi="ar"/>
        </w:rPr>
        <w:noBreakHyphen/>
      </w:r>
      <w:r>
        <w:rPr>
          <w:rFonts w:hint="default" w:ascii="Times New Roman" w:hAnsi="Times New Roman" w:eastAsia="Segoe UI" w:cs="Times New Roman"/>
          <w:kern w:val="0"/>
          <w:sz w:val="24"/>
          <w:szCs w:val="24"/>
          <w:lang w:val="en-US" w:eastAsia="zh-CN" w:bidi="ar"/>
        </w:rPr>
        <w:t>to</w:t>
      </w:r>
      <w:r>
        <w:rPr>
          <w:rFonts w:hint="default" w:ascii="Times New Roman" w:hAnsi="Times New Roman" w:eastAsia="Segoe UI" w:cs="Times New Roman"/>
          <w:kern w:val="0"/>
          <w:sz w:val="24"/>
          <w:szCs w:val="24"/>
          <w:lang w:val="en-US" w:eastAsia="zh-CN" w:bidi="ar"/>
        </w:rPr>
        <w:noBreakHyphen/>
      </w:r>
      <w:r>
        <w:rPr>
          <w:rFonts w:hint="default" w:ascii="Times New Roman" w:hAnsi="Times New Roman" w:eastAsia="Segoe UI" w:cs="Times New Roman"/>
          <w:kern w:val="0"/>
          <w:sz w:val="24"/>
          <w:szCs w:val="24"/>
          <w:lang w:val="en-US" w:eastAsia="zh-CN" w:bidi="ar"/>
        </w:rPr>
        <w:t>lymphocyte ratio; SII, systemic immune</w:t>
      </w:r>
      <w:r>
        <w:rPr>
          <w:rFonts w:hint="default" w:ascii="Times New Roman" w:hAnsi="Times New Roman" w:eastAsia="Segoe UI" w:cs="Times New Roman"/>
          <w:kern w:val="0"/>
          <w:sz w:val="24"/>
          <w:szCs w:val="24"/>
          <w:lang w:val="en-US" w:eastAsia="zh-CN" w:bidi="ar"/>
        </w:rPr>
        <w:noBreakHyphen/>
      </w:r>
      <w:r>
        <w:rPr>
          <w:rFonts w:hint="default" w:ascii="Times New Roman" w:hAnsi="Times New Roman" w:eastAsia="Segoe UI" w:cs="Times New Roman"/>
          <w:kern w:val="0"/>
          <w:sz w:val="24"/>
          <w:szCs w:val="24"/>
          <w:lang w:val="en-US" w:eastAsia="zh-CN" w:bidi="ar"/>
        </w:rPr>
        <w:t>inflammation index; SIRI, systemic inflammatory response index; PAR, platelet</w:t>
      </w:r>
      <w:r>
        <w:rPr>
          <w:rFonts w:hint="default" w:ascii="Times New Roman" w:hAnsi="Times New Roman" w:eastAsia="Segoe UI" w:cs="Times New Roman"/>
          <w:kern w:val="0"/>
          <w:sz w:val="24"/>
          <w:szCs w:val="24"/>
          <w:lang w:val="en-US" w:eastAsia="zh-CN" w:bidi="ar"/>
        </w:rPr>
        <w:noBreakHyphen/>
      </w:r>
      <w:r>
        <w:rPr>
          <w:rFonts w:hint="default" w:ascii="Times New Roman" w:hAnsi="Times New Roman" w:eastAsia="Segoe UI" w:cs="Times New Roman"/>
          <w:kern w:val="0"/>
          <w:sz w:val="24"/>
          <w:szCs w:val="24"/>
          <w:lang w:val="en-US" w:eastAsia="zh-CN" w:bidi="ar"/>
        </w:rPr>
        <w:t>to</w:t>
      </w:r>
      <w:r>
        <w:rPr>
          <w:rFonts w:hint="default" w:ascii="Times New Roman" w:hAnsi="Times New Roman" w:eastAsia="Segoe UI" w:cs="Times New Roman"/>
          <w:kern w:val="0"/>
          <w:sz w:val="24"/>
          <w:szCs w:val="24"/>
          <w:lang w:val="en-US" w:eastAsia="zh-CN" w:bidi="ar"/>
        </w:rPr>
        <w:noBreakHyphen/>
      </w:r>
      <w:r>
        <w:rPr>
          <w:rFonts w:hint="default" w:ascii="Times New Roman" w:hAnsi="Times New Roman" w:eastAsia="Segoe UI" w:cs="Times New Roman"/>
          <w:kern w:val="0"/>
          <w:sz w:val="24"/>
          <w:szCs w:val="24"/>
          <w:lang w:val="en-US" w:eastAsia="zh-CN" w:bidi="ar"/>
        </w:rPr>
        <w:t>albumin ratio.</w:t>
      </w:r>
    </w:p>
    <w:p w14:paraId="5E2A3FB9">
      <w:pPr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eastAsia="Segoe UI" w:cs="Times New Roman"/>
          <w:kern w:val="0"/>
          <w:sz w:val="24"/>
          <w:szCs w:val="24"/>
          <w:lang w:val="en-US" w:eastAsia="zh-CN" w:bidi="ar"/>
        </w:rPr>
      </w:pPr>
    </w:p>
    <w:p w14:paraId="01F4F99A">
      <w:pPr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eastAsia="Segoe UI" w:cs="Times New Roman"/>
          <w:kern w:val="0"/>
          <w:sz w:val="24"/>
          <w:szCs w:val="24"/>
          <w:lang w:val="en-US" w:eastAsia="zh-CN" w:bidi="ar"/>
        </w:rPr>
      </w:pPr>
    </w:p>
    <w:p w14:paraId="5BB820DA">
      <w:pPr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eastAsia="Segoe UI" w:cs="Times New Roman"/>
          <w:kern w:val="0"/>
          <w:sz w:val="24"/>
          <w:szCs w:val="24"/>
          <w:lang w:val="en-US" w:eastAsia="zh-CN" w:bidi="ar"/>
        </w:rPr>
      </w:pPr>
    </w:p>
    <w:p w14:paraId="0FC4CEC3">
      <w:pPr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eastAsia="Segoe UI" w:cs="Times New Roman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Segoe UI" w:cs="Times New Roman"/>
          <w:b/>
          <w:bCs/>
          <w:kern w:val="0"/>
          <w:sz w:val="24"/>
          <w:szCs w:val="24"/>
          <w:lang w:val="en-US" w:eastAsia="zh-CN" w:bidi="ar"/>
        </w:rPr>
        <w:t xml:space="preserve">Supplementary Table </w:t>
      </w:r>
      <w:r>
        <w:rPr>
          <w:rFonts w:hint="eastAsia" w:ascii="Times New Roman" w:hAnsi="Times New Roman" w:eastAsia="Segoe UI" w:cs="Times New Roman"/>
          <w:b/>
          <w:bCs/>
          <w:kern w:val="0"/>
          <w:sz w:val="24"/>
          <w:szCs w:val="24"/>
          <w:lang w:val="en-US" w:eastAsia="zh-CN" w:bidi="ar"/>
        </w:rPr>
        <w:t>2</w:t>
      </w:r>
      <w:r>
        <w:rPr>
          <w:rFonts w:hint="default" w:ascii="Times New Roman" w:hAnsi="Times New Roman" w:eastAsia="Segoe UI" w:cs="Times New Roman"/>
          <w:b/>
          <w:bCs/>
          <w:kern w:val="0"/>
          <w:sz w:val="24"/>
          <w:szCs w:val="24"/>
          <w:lang w:val="en-US" w:eastAsia="zh-CN" w:bidi="ar"/>
        </w:rPr>
        <w:t xml:space="preserve">. </w:t>
      </w:r>
      <w:r>
        <w:rPr>
          <w:rFonts w:hint="default" w:ascii="Times New Roman" w:hAnsi="Times New Roman" w:eastAsia="Segoe UI" w:cs="Times New Roman"/>
          <w:kern w:val="0"/>
          <w:sz w:val="24"/>
          <w:szCs w:val="24"/>
          <w:lang w:val="en-US" w:eastAsia="zh-CN" w:bidi="ar"/>
        </w:rPr>
        <w:t>Multivariable logistic regression analysis in the generalized seizure subgroup for higher NHS3 scores (NHS3 ≥ 9)</w:t>
      </w:r>
    </w:p>
    <w:tbl>
      <w:tblPr>
        <w:tblStyle w:val="21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10"/>
        <w:gridCol w:w="2210"/>
        <w:gridCol w:w="2210"/>
        <w:gridCol w:w="2210"/>
        <w:gridCol w:w="2211"/>
      </w:tblGrid>
      <w:tr w14:paraId="61E07FA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97" w:hRule="exact"/>
        </w:trPr>
        <w:tc>
          <w:tcPr>
            <w:tcW w:w="2210" w:type="dxa"/>
            <w:tcBorders>
              <w:bottom w:val="single" w:color="auto" w:sz="6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4F3EB9A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Variable</w:t>
            </w:r>
          </w:p>
        </w:tc>
        <w:tc>
          <w:tcPr>
            <w:tcW w:w="2210" w:type="dxa"/>
            <w:tcBorders>
              <w:bottom w:val="single" w:color="auto" w:sz="6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ADC0564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SIRI model</w:t>
            </w:r>
          </w:p>
        </w:tc>
        <w:tc>
          <w:tcPr>
            <w:tcW w:w="2210" w:type="dxa"/>
            <w:tcBorders>
              <w:bottom w:val="single" w:color="auto" w:sz="6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F1C60B9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210" w:type="dxa"/>
            <w:tcBorders>
              <w:bottom w:val="single" w:color="auto" w:sz="6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A64685E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MPV model</w:t>
            </w:r>
          </w:p>
        </w:tc>
        <w:tc>
          <w:tcPr>
            <w:tcW w:w="2211" w:type="dxa"/>
            <w:tcBorders>
              <w:bottom w:val="single" w:color="auto" w:sz="6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117F5AC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0EB6644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97" w:hRule="exact"/>
        </w:trPr>
        <w:tc>
          <w:tcPr>
            <w:tcW w:w="2210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51936DC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210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B35ACEF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OR (95% CI)</w:t>
            </w:r>
          </w:p>
        </w:tc>
        <w:tc>
          <w:tcPr>
            <w:tcW w:w="2210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519E7F9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/>
                <w:iCs/>
                <w:kern w:val="0"/>
                <w:sz w:val="24"/>
                <w:szCs w:val="24"/>
                <w:lang w:val="en-US" w:eastAsia="zh-CN" w:bidi="ar"/>
              </w:rPr>
              <w:t>P</w:t>
            </w:r>
          </w:p>
        </w:tc>
        <w:tc>
          <w:tcPr>
            <w:tcW w:w="2210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ACBB247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OR (95% CI)</w:t>
            </w:r>
          </w:p>
        </w:tc>
        <w:tc>
          <w:tcPr>
            <w:tcW w:w="2211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73E56C0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/>
                <w:iCs/>
                <w:kern w:val="0"/>
                <w:sz w:val="24"/>
                <w:szCs w:val="24"/>
                <w:lang w:val="en-US" w:eastAsia="zh-CN" w:bidi="ar"/>
              </w:rPr>
              <w:t>P</w:t>
            </w:r>
          </w:p>
        </w:tc>
      </w:tr>
      <w:tr w14:paraId="104C442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97" w:hRule="exact"/>
        </w:trPr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C2493C4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Core inflammatory marker</w:t>
            </w:r>
          </w:p>
        </w:tc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2202FEC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F100677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AAE0932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211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860D435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3E49F3C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97" w:hRule="exact"/>
        </w:trPr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B308A7C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SIRI (per unit increase)</w:t>
            </w:r>
          </w:p>
        </w:tc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A8DCABA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1.856 (0.999–3.445)</w:t>
            </w:r>
          </w:p>
        </w:tc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A1652F5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0.050</w:t>
            </w:r>
          </w:p>
        </w:tc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8E4CA17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  <w:tc>
          <w:tcPr>
            <w:tcW w:w="2211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2CEC2CA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</w:tr>
      <w:tr w14:paraId="043891D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97" w:hRule="exact"/>
        </w:trPr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9AD4311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MPV (per 1 fL increase)</w:t>
            </w:r>
          </w:p>
        </w:tc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13EAE93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6A00CE6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F4A760F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0.672 (0.506–0.893)</w:t>
            </w:r>
          </w:p>
        </w:tc>
        <w:tc>
          <w:tcPr>
            <w:tcW w:w="2211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E662D70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0.006</w:t>
            </w:r>
          </w:p>
        </w:tc>
      </w:tr>
      <w:tr w14:paraId="1D506D3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97" w:hRule="exact"/>
        </w:trPr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7C6183E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Clinical covariates</w:t>
            </w:r>
          </w:p>
        </w:tc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DF92F0F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5138B0B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57C3BA8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211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7ECF919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4713763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97" w:hRule="exact"/>
        </w:trPr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B75CE6B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Recent seizure ≤5 days (yes vs. no)</w:t>
            </w:r>
          </w:p>
        </w:tc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1A55741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6.907 (3.279–14.549)</w:t>
            </w:r>
          </w:p>
        </w:tc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267B22A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&lt;0.001</w:t>
            </w:r>
          </w:p>
        </w:tc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17F3620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9.183 (4.254–19.827)</w:t>
            </w:r>
          </w:p>
        </w:tc>
        <w:tc>
          <w:tcPr>
            <w:tcW w:w="2211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963FF72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&lt;0.001</w:t>
            </w:r>
          </w:p>
        </w:tc>
      </w:tr>
      <w:tr w14:paraId="4063369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97" w:hRule="exact"/>
        </w:trPr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4711145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Frequent seizure (yes vs. no)</w:t>
            </w:r>
          </w:p>
        </w:tc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F180A11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2.996 (1.448–6.199)</w:t>
            </w:r>
          </w:p>
        </w:tc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CC36E74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0.003</w:t>
            </w:r>
          </w:p>
        </w:tc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AF7253B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2.866 (1.340–6.132)</w:t>
            </w:r>
          </w:p>
        </w:tc>
        <w:tc>
          <w:tcPr>
            <w:tcW w:w="2211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456913C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0.007</w:t>
            </w:r>
          </w:p>
        </w:tc>
      </w:tr>
      <w:tr w14:paraId="39F0404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97" w:hRule="exact"/>
        </w:trPr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CB57C2D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Number of ASMs (per level increase)</w:t>
            </w:r>
          </w:p>
        </w:tc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BDCB708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0.729 (0.482–1.103)</w:t>
            </w:r>
          </w:p>
        </w:tc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A520E48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0.134</w:t>
            </w:r>
          </w:p>
        </w:tc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00ADACB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0.823 (0.526–1.287)</w:t>
            </w:r>
          </w:p>
        </w:tc>
        <w:tc>
          <w:tcPr>
            <w:tcW w:w="2211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D0F94ED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0.391</w:t>
            </w:r>
          </w:p>
        </w:tc>
      </w:tr>
      <w:tr w14:paraId="02E0E24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97" w:hRule="exact"/>
        </w:trPr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223482C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Age (per 1-year increase)</w:t>
            </w:r>
          </w:p>
        </w:tc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5BD5495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1.006 (0.978–1.035)</w:t>
            </w:r>
          </w:p>
        </w:tc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9A2D559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0.636</w:t>
            </w:r>
          </w:p>
        </w:tc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A08F9B2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1.003 (0.977–1.031)</w:t>
            </w:r>
          </w:p>
        </w:tc>
        <w:tc>
          <w:tcPr>
            <w:tcW w:w="2211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0DB4058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0.808</w:t>
            </w:r>
          </w:p>
        </w:tc>
      </w:tr>
      <w:tr w14:paraId="2B43A8A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97" w:hRule="exact"/>
        </w:trPr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9CDF5FD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Smoking (yes vs. no)</w:t>
            </w:r>
          </w:p>
        </w:tc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29B91F4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0.660 (0.242–1.801)</w:t>
            </w:r>
          </w:p>
        </w:tc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0A37BC0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0.417</w:t>
            </w:r>
          </w:p>
        </w:tc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CA47D82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0.662 (0.244–1.797)</w:t>
            </w:r>
          </w:p>
        </w:tc>
        <w:tc>
          <w:tcPr>
            <w:tcW w:w="2211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7F6DEDD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0.418</w:t>
            </w:r>
          </w:p>
        </w:tc>
      </w:tr>
      <w:tr w14:paraId="6B2CD97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97" w:hRule="exact"/>
        </w:trPr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54B14D2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Hypertension (yes vs. no)</w:t>
            </w:r>
          </w:p>
        </w:tc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5E7379D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3.068 (0.800–11.765)</w:t>
            </w:r>
          </w:p>
        </w:tc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51FF43E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0.102</w:t>
            </w:r>
          </w:p>
        </w:tc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3C26F5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3.944 (0.985–15.795)</w:t>
            </w:r>
          </w:p>
        </w:tc>
        <w:tc>
          <w:tcPr>
            <w:tcW w:w="2211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8B72595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0.053</w:t>
            </w:r>
          </w:p>
        </w:tc>
      </w:tr>
      <w:tr w14:paraId="71BCF94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97" w:hRule="exact"/>
        </w:trPr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E70EC14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Diabetes (yes vs. no)</w:t>
            </w:r>
          </w:p>
        </w:tc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DDF4962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2.103 (0.180–24.564)</w:t>
            </w:r>
          </w:p>
        </w:tc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F39917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0.554</w:t>
            </w:r>
          </w:p>
        </w:tc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27D8B37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2.151 (0.191–24.269)</w:t>
            </w:r>
          </w:p>
        </w:tc>
        <w:tc>
          <w:tcPr>
            <w:tcW w:w="2211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6734613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0.535</w:t>
            </w:r>
          </w:p>
        </w:tc>
      </w:tr>
      <w:tr w14:paraId="163660B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97" w:hRule="exact"/>
        </w:trPr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7FD487E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EEG (reference: normal)</w:t>
            </w:r>
          </w:p>
        </w:tc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D168B32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7CB1774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0EC42F5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211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C42E81B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313E367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97" w:hRule="exact"/>
        </w:trPr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631D149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Mild abnormality</w:t>
            </w:r>
          </w:p>
        </w:tc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A04434D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0.590 (0.240–1.449)</w:t>
            </w:r>
          </w:p>
        </w:tc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F80E94C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0.249</w:t>
            </w:r>
          </w:p>
        </w:tc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CFC450B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0.554 (0.217–1.415)</w:t>
            </w:r>
          </w:p>
        </w:tc>
        <w:tc>
          <w:tcPr>
            <w:tcW w:w="2211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7E17743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0.217</w:t>
            </w:r>
          </w:p>
        </w:tc>
      </w:tr>
      <w:tr w14:paraId="591359A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97" w:hRule="exact"/>
        </w:trPr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9C50AFF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Focal discharges</w:t>
            </w:r>
          </w:p>
        </w:tc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7C0B1B4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1.191 (0.500–2.837)</w:t>
            </w:r>
          </w:p>
        </w:tc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226B14B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0.693</w:t>
            </w:r>
          </w:p>
        </w:tc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13B2E7E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1.104 (0.439–2.774)</w:t>
            </w:r>
          </w:p>
        </w:tc>
        <w:tc>
          <w:tcPr>
            <w:tcW w:w="2211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EC1861E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0.833</w:t>
            </w:r>
          </w:p>
        </w:tc>
      </w:tr>
      <w:tr w14:paraId="3E3C344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97" w:hRule="exact"/>
        </w:trPr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DB10966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Generalized discharges</w:t>
            </w:r>
          </w:p>
        </w:tc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4E81286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4.070 (0.660–25.108)</w:t>
            </w:r>
          </w:p>
        </w:tc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A9BC633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0.131</w:t>
            </w:r>
          </w:p>
        </w:tc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885D1CD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3.149 (0.486–20.405)</w:t>
            </w:r>
          </w:p>
        </w:tc>
        <w:tc>
          <w:tcPr>
            <w:tcW w:w="2211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A23687E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0.229</w:t>
            </w:r>
          </w:p>
        </w:tc>
      </w:tr>
      <w:tr w14:paraId="4EDE0A8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97" w:hRule="exact"/>
        </w:trPr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770C404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Imaging (reference: normal)</w:t>
            </w:r>
          </w:p>
        </w:tc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D10845E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36391B2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220B76B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211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B37E600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4BE0368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97" w:hRule="exact"/>
        </w:trPr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44AC130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Gliotic focus</w:t>
            </w:r>
          </w:p>
        </w:tc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C2E2E53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0.979 (0.382–2.508)</w:t>
            </w:r>
          </w:p>
        </w:tc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7AC4D75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0.965</w:t>
            </w:r>
          </w:p>
        </w:tc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192B4E8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1.134 (0.438–2.935)</w:t>
            </w:r>
          </w:p>
        </w:tc>
        <w:tc>
          <w:tcPr>
            <w:tcW w:w="2211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EE4E32C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0.796</w:t>
            </w:r>
          </w:p>
        </w:tc>
      </w:tr>
      <w:tr w14:paraId="4914BD5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97" w:hRule="exact"/>
        </w:trPr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44EBDE9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Hippocampal atrophy</w:t>
            </w:r>
          </w:p>
        </w:tc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9F3D99C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0.511 (0.048–5.389)</w:t>
            </w:r>
          </w:p>
        </w:tc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44E845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0.577</w:t>
            </w:r>
          </w:p>
        </w:tc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6A907B3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0.399 (0.031–5.092)</w:t>
            </w:r>
          </w:p>
        </w:tc>
        <w:tc>
          <w:tcPr>
            <w:tcW w:w="2211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1827D99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0.479</w:t>
            </w:r>
          </w:p>
        </w:tc>
      </w:tr>
      <w:tr w14:paraId="0E6383C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97" w:hRule="exact"/>
        </w:trPr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2D3EFE6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Other abnormalities</w:t>
            </w:r>
          </w:p>
        </w:tc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9ED6BEF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0.778 (0.284–2.130)</w:t>
            </w:r>
          </w:p>
        </w:tc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94A2A73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0.624</w:t>
            </w:r>
          </w:p>
        </w:tc>
        <w:tc>
          <w:tcPr>
            <w:tcW w:w="221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2EF5D24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0.973 (0.328–2.889)</w:t>
            </w:r>
          </w:p>
        </w:tc>
        <w:tc>
          <w:tcPr>
            <w:tcW w:w="2211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4DE8E20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0.961</w:t>
            </w:r>
          </w:p>
        </w:tc>
      </w:tr>
    </w:tbl>
    <w:p w14:paraId="2D2A32F8">
      <w:pPr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 w:eastAsiaTheme="minorHAnsi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Segoe UI" w:cs="Times New Roman"/>
          <w:kern w:val="0"/>
          <w:sz w:val="24"/>
          <w:szCs w:val="24"/>
          <w:lang w:val="en-US" w:eastAsia="zh-CN" w:bidi="ar"/>
        </w:rPr>
        <w:t>Note: Subgroup analysis restricted to patients with generalized seizures (n=272), adjusting for the same covariates as the primary analysis (Table 4). ASMs, antiseizure medications; EEG, electroencephalography; NHS3, National Hospital Seizure Severity Scale; OR, odds ratio; CI, confidence interval; SIRI, systemic inflammatory response index; MPV, mean platelet volume.</w:t>
      </w:r>
    </w:p>
    <w:p w14:paraId="0DF4220A">
      <w:pPr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 w:eastAsiaTheme="minorHAnsi"/>
          <w:b w:val="0"/>
          <w:bCs w:val="0"/>
          <w:kern w:val="0"/>
          <w:sz w:val="24"/>
          <w:szCs w:val="24"/>
          <w:lang w:val="en-US" w:eastAsia="zh-CN" w:bidi="ar"/>
        </w:rPr>
      </w:pPr>
    </w:p>
    <w:p w14:paraId="7D798DC2">
      <w:pPr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eastAsia="Segoe UI" w:cs="Times New Roman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cs="Times New Roman" w:eastAsiaTheme="minorHAnsi"/>
          <w:b/>
          <w:bCs/>
          <w:kern w:val="0"/>
          <w:sz w:val="24"/>
          <w:szCs w:val="24"/>
          <w:lang w:val="en-US" w:eastAsia="zh-CN" w:bidi="ar"/>
        </w:rPr>
        <w:t>Supplementary</w:t>
      </w:r>
      <w:r>
        <w:rPr>
          <w:rFonts w:hint="default" w:ascii="Times New Roman" w:hAnsi="Times New Roman" w:cs="Times New Roman"/>
          <w:b/>
          <w:bCs/>
          <w:kern w:val="0"/>
          <w:sz w:val="24"/>
          <w:szCs w:val="24"/>
          <w:lang w:val="en-US" w:eastAsia="zh-CN" w:bidi="ar"/>
        </w:rPr>
        <w:t xml:space="preserve"> Table </w:t>
      </w:r>
      <w:r>
        <w:rPr>
          <w:rFonts w:hint="eastAsia" w:cs="Times New Roman"/>
          <w:b/>
          <w:bCs/>
          <w:kern w:val="0"/>
          <w:sz w:val="24"/>
          <w:szCs w:val="24"/>
          <w:lang w:val="en-US" w:eastAsia="zh-CN" w:bidi="ar"/>
        </w:rPr>
        <w:t>3</w:t>
      </w:r>
      <w:r>
        <w:rPr>
          <w:rFonts w:hint="default" w:ascii="Times New Roman" w:hAnsi="Times New Roman" w:eastAsia="Segoe UI" w:cs="Times New Roman"/>
          <w:b/>
          <w:bCs/>
          <w:kern w:val="0"/>
          <w:sz w:val="24"/>
          <w:szCs w:val="24"/>
          <w:lang w:val="en-US" w:eastAsia="zh-CN" w:bidi="ar"/>
        </w:rPr>
        <w:t xml:space="preserve">. </w:t>
      </w:r>
      <w:r>
        <w:rPr>
          <w:rFonts w:hint="default" w:ascii="Times New Roman" w:hAnsi="Times New Roman" w:eastAsia="Segoe UI" w:cs="Times New Roman"/>
          <w:kern w:val="0"/>
          <w:sz w:val="24"/>
          <w:szCs w:val="24"/>
          <w:lang w:val="en-US" w:eastAsia="zh-CN" w:bidi="ar"/>
        </w:rPr>
        <w:t>Sensitivity analysis: identifying performance (AUC) of SIRI, MPV, and their combination at different NHS3 cutoffs</w:t>
      </w:r>
    </w:p>
    <w:tbl>
      <w:tblPr>
        <w:tblStyle w:val="21"/>
        <w:tblW w:w="4999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296"/>
        <w:gridCol w:w="4718"/>
        <w:gridCol w:w="4183"/>
      </w:tblGrid>
      <w:tr w14:paraId="250E6B9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tblHeader/>
        </w:trPr>
        <w:tc>
          <w:tcPr>
            <w:tcW w:w="1627" w:type="pct"/>
            <w:tcBorders>
              <w:bottom w:val="single" w:color="auto" w:sz="6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61112B2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Marker</w:t>
            </w:r>
          </w:p>
        </w:tc>
        <w:tc>
          <w:tcPr>
            <w:tcW w:w="1787" w:type="pct"/>
            <w:tcBorders>
              <w:bottom w:val="single" w:color="auto" w:sz="6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9714411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NHS3 ≥8</w:t>
            </w:r>
          </w:p>
        </w:tc>
        <w:tc>
          <w:tcPr>
            <w:tcW w:w="1584" w:type="pct"/>
            <w:tcBorders>
              <w:bottom w:val="single" w:color="auto" w:sz="6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36097C6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NHS3 ≥10</w:t>
            </w:r>
          </w:p>
        </w:tc>
      </w:tr>
      <w:tr w14:paraId="5E95000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627" w:type="pct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8E1BD31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SIRI</w:t>
            </w:r>
          </w:p>
        </w:tc>
        <w:tc>
          <w:tcPr>
            <w:tcW w:w="1787" w:type="pct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FF44EB1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0.675 (0.620–0.730)</w:t>
            </w:r>
          </w:p>
        </w:tc>
        <w:tc>
          <w:tcPr>
            <w:tcW w:w="1584" w:type="pct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BCE14EF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0.714 (0.661–0.768)</w:t>
            </w:r>
          </w:p>
        </w:tc>
      </w:tr>
      <w:tr w14:paraId="6907C87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627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D848671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MPV (transformed)</w:t>
            </w:r>
          </w:p>
        </w:tc>
        <w:tc>
          <w:tcPr>
            <w:tcW w:w="1787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672BD49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0.666 (0.610–0.722)</w:t>
            </w:r>
          </w:p>
        </w:tc>
        <w:tc>
          <w:tcPr>
            <w:tcW w:w="1584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73426DA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0.688 (0.633–0.743)</w:t>
            </w:r>
          </w:p>
        </w:tc>
      </w:tr>
      <w:tr w14:paraId="17F8389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627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6F64B0B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SIRI + MPV</w:t>
            </w:r>
          </w:p>
        </w:tc>
        <w:tc>
          <w:tcPr>
            <w:tcW w:w="1787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D2F0F1D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0.710 (0.657–0.763)</w:t>
            </w:r>
          </w:p>
        </w:tc>
        <w:tc>
          <w:tcPr>
            <w:tcW w:w="1584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4B98B1F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4"/>
                <w:szCs w:val="24"/>
                <w:lang w:val="en-US" w:eastAsia="zh-CN" w:bidi="ar"/>
              </w:rPr>
              <w:t>0.742 (0.691–0.794)</w:t>
            </w:r>
          </w:p>
        </w:tc>
      </w:tr>
    </w:tbl>
    <w:p w14:paraId="56FE22BD">
      <w:pPr>
        <w:keepNext w:val="0"/>
        <w:keepLines w:val="0"/>
        <w:widowControl/>
        <w:suppressLineNumbers w:val="0"/>
        <w:spacing w:before="105" w:beforeAutospacing="0" w:after="105" w:afterAutospacing="0"/>
        <w:jc w:val="both"/>
        <w:rPr>
          <w:rFonts w:hint="default" w:ascii="Times New Roman" w:hAnsi="Times New Roman" w:eastAsia="Segoe UI" w:cs="Times New Roman"/>
          <w:b w:val="0"/>
          <w:bCs w:val="0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Segoe UI" w:cs="Times New Roman"/>
          <w:b/>
          <w:bCs/>
          <w:color w:val="auto"/>
          <w:kern w:val="0"/>
          <w:sz w:val="24"/>
          <w:szCs w:val="24"/>
          <w:lang w:val="en-US" w:eastAsia="zh-CN" w:bidi="ar"/>
        </w:rPr>
        <w:t xml:space="preserve">Note: </w:t>
      </w:r>
      <w:r>
        <w:rPr>
          <w:rFonts w:hint="default" w:ascii="Times New Roman" w:hAnsi="Times New Roman" w:eastAsia="Segoe UI" w:cs="Times New Roman"/>
          <w:b w:val="0"/>
          <w:bCs w:val="0"/>
          <w:color w:val="auto"/>
          <w:kern w:val="0"/>
          <w:sz w:val="24"/>
          <w:szCs w:val="24"/>
          <w:lang w:val="en-US" w:eastAsia="zh-CN" w:bidi="ar"/>
        </w:rPr>
        <w:t>Data are AUC (95% confidence interval). Because MPV was negatively correlated with higher NHS3 scores (raw AUC &lt;0.5), the AUC was calculated using the transformed variable –MPV. The transformed AUC is presented with its 95% CI.</w:t>
      </w:r>
      <w:r>
        <w:rPr>
          <w:rFonts w:hint="eastAsia" w:ascii="Times New Roman" w:hAnsi="Times New Roman" w:eastAsia="Segoe UI" w:cs="Times New Roman"/>
          <w:b w:val="0"/>
          <w:bCs w:val="0"/>
          <w:color w:val="auto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default" w:ascii="Times New Roman" w:hAnsi="Times New Roman" w:eastAsia="Segoe UI" w:cs="Times New Roman"/>
          <w:b w:val="0"/>
          <w:bCs w:val="0"/>
          <w:color w:val="auto"/>
          <w:kern w:val="0"/>
          <w:sz w:val="24"/>
          <w:szCs w:val="24"/>
          <w:lang w:val="en-US" w:eastAsia="zh-CN" w:bidi="ar"/>
        </w:rPr>
        <w:t>This transformation aligns the AUC direction with the other markers (all with AUCs &gt; 0.5).</w:t>
      </w:r>
    </w:p>
    <w:p w14:paraId="19541BFE">
      <w:pPr>
        <w:pStyle w:val="4"/>
        <w:keepNext w:val="0"/>
        <w:keepLines w:val="0"/>
        <w:widowControl/>
        <w:suppressLineNumbers w:val="0"/>
        <w:spacing w:before="105" w:beforeAutospacing="0" w:after="105" w:afterAutospacing="0"/>
        <w:jc w:val="left"/>
        <w:rPr>
          <w:rFonts w:hint="default" w:ascii="Times New Roman" w:hAnsi="Times New Roman" w:eastAsia="Segoe UI" w:cs="Times New Roman"/>
          <w:b w:val="0"/>
          <w:bCs w:val="0"/>
          <w:color w:val="auto"/>
          <w:kern w:val="0"/>
          <w:sz w:val="24"/>
          <w:szCs w:val="24"/>
          <w:lang w:val="en-US" w:eastAsia="zh-CN" w:bidi="ar"/>
        </w:rPr>
      </w:pPr>
    </w:p>
    <w:p w14:paraId="0CE3D6A9">
      <w:pPr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eastAsia="Segoe UI" w:cs="Times New Roman"/>
          <w:kern w:val="0"/>
          <w:sz w:val="24"/>
          <w:szCs w:val="24"/>
          <w:lang w:val="en-US" w:eastAsia="zh-CN" w:bidi="ar"/>
        </w:rPr>
      </w:pPr>
    </w:p>
    <w:p w14:paraId="27934F85">
      <w:pPr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 w:eastAsiaTheme="minorHAnsi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cs="Times New Roman" w:eastAsiaTheme="minorHAnsi"/>
          <w:b/>
          <w:bCs/>
          <w:kern w:val="0"/>
          <w:sz w:val="24"/>
          <w:szCs w:val="24"/>
          <w:lang w:val="en-US" w:eastAsia="zh-CN" w:bidi="ar"/>
        </w:rPr>
        <w:t xml:space="preserve">Supplementary Table </w:t>
      </w:r>
      <w:r>
        <w:rPr>
          <w:rFonts w:hint="eastAsia" w:cs="Times New Roman"/>
          <w:b/>
          <w:bCs/>
          <w:kern w:val="0"/>
          <w:sz w:val="24"/>
          <w:szCs w:val="24"/>
          <w:lang w:val="en-US" w:eastAsia="zh-CN" w:bidi="ar"/>
        </w:rPr>
        <w:t>4</w:t>
      </w:r>
      <w:r>
        <w:rPr>
          <w:rFonts w:hint="default" w:ascii="Times New Roman" w:hAnsi="Times New Roman" w:cs="Times New Roman" w:eastAsiaTheme="minorHAnsi"/>
          <w:b/>
          <w:bCs/>
          <w:kern w:val="0"/>
          <w:sz w:val="24"/>
          <w:szCs w:val="24"/>
          <w:lang w:val="en-US" w:eastAsia="zh-CN" w:bidi="ar"/>
        </w:rPr>
        <w:t>.</w:t>
      </w:r>
      <w:r>
        <w:rPr>
          <w:rFonts w:hint="default" w:ascii="Times New Roman" w:hAnsi="Times New Roman" w:cs="Times New Roman" w:eastAsiaTheme="minorHAnsi"/>
          <w:b w:val="0"/>
          <w:bCs w:val="0"/>
          <w:kern w:val="0"/>
          <w:sz w:val="24"/>
          <w:szCs w:val="24"/>
          <w:lang w:val="en-US" w:eastAsia="zh-CN" w:bidi="ar"/>
        </w:rPr>
        <w:t xml:space="preserve"> Sensitivity analysis: multivariable logistic regression for higher NHS3 scores at different NHS3 cutoffs (excluding generalized seizure type due to near-complete separation)</w:t>
      </w:r>
    </w:p>
    <w:tbl>
      <w:tblPr>
        <w:tblStyle w:val="21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666"/>
        <w:gridCol w:w="2109"/>
        <w:gridCol w:w="1879"/>
        <w:gridCol w:w="2440"/>
        <w:gridCol w:w="1019"/>
      </w:tblGrid>
      <w:tr w14:paraId="7DE53A7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cantSplit/>
          <w:trHeight w:val="397" w:hRule="exact"/>
        </w:trPr>
        <w:tc>
          <w:tcPr>
            <w:tcW w:w="3666" w:type="dxa"/>
            <w:tcBorders>
              <w:bottom w:val="single" w:color="auto" w:sz="6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BC7EF1A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/>
                <w:bCs/>
                <w:kern w:val="0"/>
                <w:sz w:val="24"/>
                <w:szCs w:val="24"/>
                <w:lang w:val="en-US" w:eastAsia="zh-CN" w:bidi="ar"/>
              </w:rPr>
              <w:t>Variable</w:t>
            </w:r>
          </w:p>
        </w:tc>
        <w:tc>
          <w:tcPr>
            <w:tcW w:w="2109" w:type="dxa"/>
            <w:tcBorders>
              <w:bottom w:val="single" w:color="auto" w:sz="6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DE37758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/>
                <w:bCs/>
                <w:kern w:val="0"/>
                <w:sz w:val="24"/>
                <w:szCs w:val="24"/>
                <w:lang w:val="en-US" w:eastAsia="zh-CN" w:bidi="ar"/>
              </w:rPr>
              <w:t>NHS3 ≥8</w:t>
            </w:r>
          </w:p>
        </w:tc>
        <w:tc>
          <w:tcPr>
            <w:tcW w:w="1879" w:type="dxa"/>
            <w:tcBorders>
              <w:bottom w:val="single" w:color="auto" w:sz="6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512D641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440" w:type="dxa"/>
            <w:tcBorders>
              <w:bottom w:val="single" w:color="auto" w:sz="6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29DF8D9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/>
                <w:bCs/>
                <w:kern w:val="0"/>
                <w:sz w:val="24"/>
                <w:szCs w:val="24"/>
                <w:lang w:val="en-US" w:eastAsia="zh-CN" w:bidi="ar"/>
              </w:rPr>
              <w:t>NHS3 ≥10</w:t>
            </w:r>
          </w:p>
        </w:tc>
        <w:tc>
          <w:tcPr>
            <w:tcW w:w="1019" w:type="dxa"/>
            <w:tcBorders>
              <w:bottom w:val="single" w:color="auto" w:sz="6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DD5A1C4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20E5EBB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cantSplit/>
          <w:trHeight w:val="397" w:hRule="exact"/>
        </w:trPr>
        <w:tc>
          <w:tcPr>
            <w:tcW w:w="0" w:type="auto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3EAB0B5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SIRI model</w:t>
            </w:r>
          </w:p>
        </w:tc>
        <w:tc>
          <w:tcPr>
            <w:tcW w:w="2109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E7A6DC6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OR (95% CI)</w:t>
            </w:r>
          </w:p>
        </w:tc>
        <w:tc>
          <w:tcPr>
            <w:tcW w:w="1879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BBDB48C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i/>
                <w:iCs/>
                <w:kern w:val="0"/>
                <w:sz w:val="24"/>
                <w:szCs w:val="24"/>
                <w:lang w:val="en-US" w:eastAsia="zh-CN" w:bidi="ar"/>
              </w:rPr>
              <w:t>P</w:t>
            </w:r>
          </w:p>
        </w:tc>
        <w:tc>
          <w:tcPr>
            <w:tcW w:w="0" w:type="auto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61B9E1E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OR (95% CI)</w:t>
            </w:r>
          </w:p>
        </w:tc>
        <w:tc>
          <w:tcPr>
            <w:tcW w:w="0" w:type="auto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DCB6F1F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bookmarkStart w:id="0" w:name="_GoBack"/>
            <w:r>
              <w:rPr>
                <w:rFonts w:hint="default" w:ascii="Times New Roman" w:hAnsi="Times New Roman" w:cs="Times New Roman" w:eastAsiaTheme="minorHAnsi"/>
                <w:b w:val="0"/>
                <w:bCs w:val="0"/>
                <w:i/>
                <w:iCs/>
                <w:kern w:val="0"/>
                <w:sz w:val="24"/>
                <w:szCs w:val="24"/>
                <w:lang w:val="en-US" w:eastAsia="zh-CN" w:bidi="ar"/>
              </w:rPr>
              <w:t>P</w:t>
            </w:r>
            <w:bookmarkEnd w:id="0"/>
          </w:p>
        </w:tc>
      </w:tr>
      <w:tr w14:paraId="7868132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97" w:hRule="exac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48B4938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SIRI (per unit)</w:t>
            </w:r>
          </w:p>
        </w:tc>
        <w:tc>
          <w:tcPr>
            <w:tcW w:w="2109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1C2BFA4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1.535 (1.064–2.214)</w:t>
            </w:r>
          </w:p>
        </w:tc>
        <w:tc>
          <w:tcPr>
            <w:tcW w:w="1879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5546FF0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0.022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63CD54A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1.851 (1.307–2.623)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5E277C6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0.001</w:t>
            </w:r>
          </w:p>
        </w:tc>
      </w:tr>
      <w:tr w14:paraId="0B2800F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97" w:hRule="exac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2042A05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Recent seizure ≤5 days</w:t>
            </w:r>
          </w:p>
        </w:tc>
        <w:tc>
          <w:tcPr>
            <w:tcW w:w="2109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A046CEB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3.958 (2.165–7.233)</w:t>
            </w:r>
          </w:p>
        </w:tc>
        <w:tc>
          <w:tcPr>
            <w:tcW w:w="1879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4063DB6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CB17859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3.271 (1.793–5.971)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3BAD5F9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&lt;0.001</w:t>
            </w:r>
          </w:p>
        </w:tc>
      </w:tr>
      <w:tr w14:paraId="5B5B113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97" w:hRule="exac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002A3A9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Frequent seizure</w:t>
            </w:r>
          </w:p>
        </w:tc>
        <w:tc>
          <w:tcPr>
            <w:tcW w:w="2109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6E08A03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4.057 (2.265–7.269)</w:t>
            </w:r>
          </w:p>
        </w:tc>
        <w:tc>
          <w:tcPr>
            <w:tcW w:w="1879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A717090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7528167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2.615 (1.517–4.509)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97B4ADC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0.001</w:t>
            </w:r>
          </w:p>
        </w:tc>
      </w:tr>
      <w:tr w14:paraId="556773A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97" w:hRule="exac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4EEAE19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Number of ASMs (per level)</w:t>
            </w:r>
          </w:p>
        </w:tc>
        <w:tc>
          <w:tcPr>
            <w:tcW w:w="2109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5D31B2E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0.542 (0.400–0.735)</w:t>
            </w:r>
          </w:p>
        </w:tc>
        <w:tc>
          <w:tcPr>
            <w:tcW w:w="1879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680F6A0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4492E8F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0.667 (0.501–0.887)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835239C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0.005</w:t>
            </w:r>
          </w:p>
        </w:tc>
      </w:tr>
      <w:tr w14:paraId="5C0E4B6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97" w:hRule="exac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D24B064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EEG: mild abnormality (vs normal)</w:t>
            </w:r>
          </w:p>
        </w:tc>
        <w:tc>
          <w:tcPr>
            <w:tcW w:w="2109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CEE58F1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0.322 (0.147–0.704)</w:t>
            </w:r>
          </w:p>
        </w:tc>
        <w:tc>
          <w:tcPr>
            <w:tcW w:w="1879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2A70936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0.004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153773A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0.572 (0.283–1.156)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70CF5E9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0.119</w:t>
            </w:r>
          </w:p>
        </w:tc>
      </w:tr>
      <w:tr w14:paraId="542498C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97" w:hRule="exac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32394E8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Diabetes</w:t>
            </w:r>
          </w:p>
        </w:tc>
        <w:tc>
          <w:tcPr>
            <w:tcW w:w="2109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B51C343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–</w:t>
            </w:r>
          </w:p>
        </w:tc>
        <w:tc>
          <w:tcPr>
            <w:tcW w:w="1879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DF1935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–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CC6D2A5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5.582 (1.058–29.45)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746AD98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0.043</w:t>
            </w:r>
          </w:p>
        </w:tc>
      </w:tr>
      <w:tr w14:paraId="31C91BE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97" w:hRule="exac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60AB27B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MPV model</w:t>
            </w:r>
          </w:p>
        </w:tc>
        <w:tc>
          <w:tcPr>
            <w:tcW w:w="2109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074D386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OR (95% CI)</w:t>
            </w:r>
          </w:p>
        </w:tc>
        <w:tc>
          <w:tcPr>
            <w:tcW w:w="1879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AA43A9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P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F5A632A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OR (95% CI)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280EDED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P</w:t>
            </w:r>
          </w:p>
        </w:tc>
      </w:tr>
      <w:tr w14:paraId="08556C6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97" w:hRule="exac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B9A17C4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MPV (per fL)</w:t>
            </w:r>
          </w:p>
        </w:tc>
        <w:tc>
          <w:tcPr>
            <w:tcW w:w="2109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3ECD0B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0.739 (0.599–0.912)</w:t>
            </w:r>
          </w:p>
        </w:tc>
        <w:tc>
          <w:tcPr>
            <w:tcW w:w="1879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343A819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0.005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9528789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0.674 (0.552–0.823)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CBD059C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&lt;0.001</w:t>
            </w:r>
          </w:p>
        </w:tc>
      </w:tr>
      <w:tr w14:paraId="6BBB9AB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97" w:hRule="exac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F996B92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Recent seizure ≤5 days</w:t>
            </w:r>
          </w:p>
        </w:tc>
        <w:tc>
          <w:tcPr>
            <w:tcW w:w="2109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D646CC7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4.402 (2.382–8.138)</w:t>
            </w:r>
          </w:p>
        </w:tc>
        <w:tc>
          <w:tcPr>
            <w:tcW w:w="1879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C3E88A2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F9A8F49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3.981 (2.143–7.394)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B5FBC35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&lt;0.001</w:t>
            </w:r>
          </w:p>
        </w:tc>
      </w:tr>
      <w:tr w14:paraId="45679D8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97" w:hRule="exac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223D377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Frequent seizure</w:t>
            </w:r>
          </w:p>
        </w:tc>
        <w:tc>
          <w:tcPr>
            <w:tcW w:w="2109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4D67372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3.806 (2.106–6.880)</w:t>
            </w:r>
          </w:p>
        </w:tc>
        <w:tc>
          <w:tcPr>
            <w:tcW w:w="1879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C4689CE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BD81FB0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2.348 (1.364–4.042)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B2526A6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0.002</w:t>
            </w:r>
          </w:p>
        </w:tc>
      </w:tr>
      <w:tr w14:paraId="314035A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97" w:hRule="exac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D39E1BB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Number of ASMs (per level)</w:t>
            </w:r>
          </w:p>
        </w:tc>
        <w:tc>
          <w:tcPr>
            <w:tcW w:w="2109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AFDFFEF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0.549 (0.404–0.746)</w:t>
            </w:r>
          </w:p>
        </w:tc>
        <w:tc>
          <w:tcPr>
            <w:tcW w:w="1879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7F28916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BC86FD2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0.663 (0.496–0.887)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0953F10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0.005</w:t>
            </w:r>
          </w:p>
        </w:tc>
      </w:tr>
      <w:tr w14:paraId="3386E50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97" w:hRule="exac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0B9A0FE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EEG: mild abnormality (vs normal)</w:t>
            </w:r>
          </w:p>
        </w:tc>
        <w:tc>
          <w:tcPr>
            <w:tcW w:w="2109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AFFE32E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0.332 (0.150–0.735)</w:t>
            </w:r>
          </w:p>
        </w:tc>
        <w:tc>
          <w:tcPr>
            <w:tcW w:w="1879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FED09B6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0.007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27BBAFD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0.655 (0.323–1.329)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70D1082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0.239</w:t>
            </w:r>
          </w:p>
        </w:tc>
      </w:tr>
      <w:tr w14:paraId="446B3DA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97" w:hRule="exac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A048B21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Diabetes</w:t>
            </w:r>
          </w:p>
        </w:tc>
        <w:tc>
          <w:tcPr>
            <w:tcW w:w="2109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12BA20D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–</w:t>
            </w:r>
          </w:p>
        </w:tc>
        <w:tc>
          <w:tcPr>
            <w:tcW w:w="1879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8ED355A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–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E1D4B8E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6.204 (1.185–32.47)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F2E15A2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HAnsi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0.031</w:t>
            </w:r>
          </w:p>
        </w:tc>
      </w:tr>
    </w:tbl>
    <w:p w14:paraId="17418180">
      <w:pPr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 w:eastAsiaTheme="minorHAnsi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cs="Times New Roman" w:eastAsiaTheme="minorHAnsi"/>
          <w:b w:val="0"/>
          <w:bCs w:val="0"/>
          <w:kern w:val="0"/>
          <w:sz w:val="24"/>
          <w:szCs w:val="24"/>
          <w:lang w:val="en-US" w:eastAsia="zh-CN" w:bidi="ar"/>
        </w:rPr>
        <w:t>Note: Generalized seizure type was excluded due to near</w:t>
      </w:r>
      <w:r>
        <w:rPr>
          <w:rFonts w:hint="default" w:ascii="Times New Roman" w:hAnsi="Times New Roman" w:cs="Times New Roman" w:eastAsiaTheme="minorHAnsi"/>
          <w:b w:val="0"/>
          <w:bCs w:val="0"/>
          <w:kern w:val="0"/>
          <w:sz w:val="24"/>
          <w:szCs w:val="24"/>
          <w:lang w:val="en-US" w:eastAsia="zh-CN" w:bidi="ar"/>
        </w:rPr>
        <w:noBreakHyphen/>
      </w:r>
      <w:r>
        <w:rPr>
          <w:rFonts w:hint="default" w:ascii="Times New Roman" w:hAnsi="Times New Roman" w:cs="Times New Roman" w:eastAsiaTheme="minorHAnsi"/>
          <w:b w:val="0"/>
          <w:bCs w:val="0"/>
          <w:kern w:val="0"/>
          <w:sz w:val="24"/>
          <w:szCs w:val="24"/>
          <w:lang w:val="en-US" w:eastAsia="zh-CN" w:bidi="ar"/>
        </w:rPr>
        <w:t>complete separation (see Methods). All models were adjusted for age, smoking, hypertension, diabetes, imaging (all categories), EEG (all categories), recent seizure (≤5 days), frequent seizure, and number of ASMs (continuous). Focal/generalized EEG discharges, imaging, age, smoking, diabetes</w:t>
      </w:r>
      <w:r>
        <w:rPr>
          <w:rFonts w:hint="eastAsia" w:ascii="Times New Roman" w:hAnsi="Times New Roman" w:cs="Times New Roman" w:eastAsiaTheme="minorHAnsi"/>
          <w:b w:val="0"/>
          <w:bCs w:val="0"/>
          <w:kern w:val="0"/>
          <w:sz w:val="24"/>
          <w:szCs w:val="24"/>
          <w:lang w:val="en-US" w:eastAsia="zh-CN" w:bidi="ar"/>
        </w:rPr>
        <w:t xml:space="preserve">, </w:t>
      </w:r>
      <w:r>
        <w:rPr>
          <w:rFonts w:hint="default" w:ascii="Times New Roman" w:hAnsi="Times New Roman" w:cs="Times New Roman" w:eastAsiaTheme="minorHAnsi"/>
          <w:b w:val="0"/>
          <w:bCs w:val="0"/>
          <w:kern w:val="0"/>
          <w:sz w:val="24"/>
          <w:szCs w:val="24"/>
          <w:lang w:val="en-US" w:eastAsia="zh-CN" w:bidi="ar"/>
        </w:rPr>
        <w:t xml:space="preserve">and hypertension were not significant (P &gt; 0.05) and are not shown. </w:t>
      </w:r>
    </w:p>
    <w:p w14:paraId="321BE710">
      <w:pPr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 w:eastAsiaTheme="minorHAnsi"/>
          <w:b w:val="0"/>
          <w:bCs w:val="0"/>
          <w:kern w:val="0"/>
          <w:sz w:val="24"/>
          <w:szCs w:val="24"/>
          <w:lang w:val="en-US" w:eastAsia="zh-CN" w:bidi="ar"/>
        </w:rPr>
      </w:pPr>
    </w:p>
    <w:p w14:paraId="5615ECF4">
      <w:pPr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 w:eastAsiaTheme="minorHAnsi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cs="Times New Roman" w:eastAsiaTheme="minorHAnsi"/>
          <w:b/>
          <w:bCs/>
          <w:kern w:val="0"/>
          <w:sz w:val="24"/>
          <w:szCs w:val="24"/>
          <w:lang w:val="en-US" w:eastAsia="zh-CN" w:bidi="ar"/>
        </w:rPr>
        <w:t>Supplementary Figure S1.</w:t>
      </w:r>
      <w:r>
        <w:rPr>
          <w:rFonts w:hint="eastAsia" w:ascii="Times New Roman" w:hAnsi="Times New Roman" w:cs="Times New Roman" w:eastAsiaTheme="minorHAnsi"/>
          <w:b w:val="0"/>
          <w:bCs w:val="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default" w:ascii="Times New Roman" w:hAnsi="Times New Roman" w:cs="Times New Roman" w:eastAsiaTheme="minorHAnsi"/>
          <w:b w:val="0"/>
          <w:bCs w:val="0"/>
          <w:kern w:val="0"/>
          <w:sz w:val="24"/>
          <w:szCs w:val="24"/>
          <w:lang w:val="en-US" w:eastAsia="zh-CN" w:bidi="ar"/>
        </w:rPr>
        <w:t>Receiver operating characteristic (ROC) curves of SIRI, MPV (transformed), and their combination (SIRI+MPV) for identifying higher NHS3 scores using alternative cutoffs of (A) NHS3 ≥ 8 and (B) NHS3 ≥ 10. Because MPV was negatively correlated with higher NHS3 scores, the curve labeled “MPV (transformed)” was plotted using the transformed variable –MPV to achieve an AUC &gt; 0.5. The predicted probability for the combined model was derived from a binary logistic regression model including SIRI and MPV. AUC values and optimal cutoffs are summarized in Supplementary Table S2.</w:t>
      </w:r>
    </w:p>
    <w:p w14:paraId="4AF7D7E7">
      <w:pPr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 w:eastAsiaTheme="minorHAnsi"/>
          <w:b w:val="0"/>
          <w:bCs w:val="0"/>
          <w:kern w:val="0"/>
          <w:sz w:val="24"/>
          <w:szCs w:val="24"/>
          <w:lang w:val="en-US" w:eastAsia="zh-CN" w:bidi="ar"/>
        </w:rPr>
      </w:pPr>
    </w:p>
    <w:p w14:paraId="2B3B4E1B">
      <w:pPr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 w:eastAsiaTheme="minorHAnsi"/>
          <w:b w:val="0"/>
          <w:bCs w:val="0"/>
          <w:kern w:val="0"/>
          <w:sz w:val="24"/>
          <w:szCs w:val="24"/>
          <w:lang w:val="en-US" w:eastAsia="zh-CN" w:bidi="ar"/>
        </w:rPr>
      </w:pPr>
    </w:p>
    <w:sectPr>
      <w:headerReference r:id="rId5" w:type="first"/>
      <w:footerReference r:id="rId6" w:type="default"/>
      <w:footerReference r:id="rId7" w:type="even"/>
      <w:pgSz w:w="15840" w:h="12240" w:orient="landscape"/>
      <w:pgMar w:top="1440" w:right="1440" w:bottom="1440" w:left="144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yriad Pro Light">
    <w:altName w:val="Segoe Print"/>
    <w:panose1 w:val="020B0603030403020204"/>
    <w:charset w:val="00"/>
    <w:family w:val="auto"/>
    <w:pitch w:val="default"/>
    <w:sig w:usb0="00000000" w:usb1="00000000" w:usb2="00000000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22FF27">
    <w:pPr>
      <w:rPr>
        <w:b/>
        <w:sz w:val="20"/>
        <w:szCs w:val="24"/>
      </w:rPr>
    </w:pPr>
    <w:r>
      <w:rPr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5E15E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3</w: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56" o:spid="_x0000_s1026" o:spt="202" type="#_x0000_t202" style="position:absolute;left:0pt;margin-left:601.2pt;margin-top:540pt;height:31.15pt;width:118.8pt;mso-position-horizontal-relative:page;mso-position-vertical-relative:page;z-index:251659264;mso-width-relative:page;mso-height-relative:page;" filled="f" stroked="f" coordsize="21600,21600" o:gfxdata="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MV0Qi0gAAAAQBAAAPAAAAAAAAAAEAIAAAACIAAABkcnMvZG93bnJldi54bWxQSwEC&#10;FAAUAAAACACHTuJARAcAODMCAAB1BAAADgAAAAAAAAABACAAAAAhAQAAZHJzL2Uyb0RvYy54bWxQ&#10;SwUGAAAAAAYABgBZAQAAxgUAAAAA&#10;">
              <v:fill on="f" focussize="0,0"/>
              <v:stroke on="f" weight="0.5pt"/>
              <v:imagedata o:title=""/>
              <o:lock v:ext="edit" aspectratio="f"/>
              <v:textbox style="mso-fit-shape-to-text:t;">
                <w:txbxContent>
                  <w:p w14:paraId="085E15EB">
                    <w:pPr>
                      <w:jc w:val="right"/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3</w: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14AB28">
    <w:pPr>
      <w:rPr>
        <w:color w:val="C00000"/>
        <w:szCs w:val="24"/>
      </w:rPr>
    </w:pPr>
    <w:r>
      <w:rPr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054D26">
                          <w:pPr>
                            <w:jc w:val="right"/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left:601.2pt;margin-top:540pt;height:31.15pt;width:118.8pt;mso-position-horizontal-relative:page;mso-position-vertical-relative:page;z-index:251660288;mso-width-relative:page;mso-height-relative:page;" filled="f" stroked="f" coordsize="21600,21600" o:gfxdata="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TFdEItIAAAAEAQAADwAAAAAAAAABACAAAAAiAAAAZHJzL2Rvd25yZXYueG1sUEsBAhQA&#10;FAAAAAgAh07iQFsR1fExAgAAcwQAAA4AAAAAAAAAAQAgAAAAI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style="mso-fit-shape-to-text:t;">
                <w:txbxContent>
                  <w:p w14:paraId="4D054D26">
                    <w:pPr>
                      <w:jc w:val="right"/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711A5B">
    <w:r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C0601A"/>
    <w:multiLevelType w:val="multilevel"/>
    <w:tmpl w:val="1EC0601A"/>
    <w:lvl w:ilvl="0" w:tentative="0">
      <w:start w:val="1"/>
      <w:numFmt w:val="decimal"/>
      <w:pStyle w:val="2"/>
      <w:lvlText w:val="%1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1" w:tentative="0">
      <w:start w:val="1"/>
      <w:numFmt w:val="decimal"/>
      <w:lvlText w:val="%1.%2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2" w:tentative="0">
      <w:start w:val="1"/>
      <w:numFmt w:val="decimal"/>
      <w:pStyle w:val="5"/>
      <w:lvlText w:val="%1.%2.%3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3" w:tentative="0">
      <w:start w:val="1"/>
      <w:numFmt w:val="decimal"/>
      <w:pStyle w:val="6"/>
      <w:lvlText w:val="%1.%2.%3.%4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4" w:tentative="0">
      <w:start w:val="1"/>
      <w:numFmt w:val="decimal"/>
      <w:pStyle w:val="7"/>
      <w:lvlText w:val="%1.%2.%3.%4.%5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5" w:tentative="0">
      <w:start w:val="1"/>
      <w:numFmt w:val="lowerRoman"/>
      <w:lvlText w:val="%6."/>
      <w:lvlJc w:val="right"/>
      <w:pPr>
        <w:tabs>
          <w:tab w:val="left" w:pos="567"/>
        </w:tabs>
        <w:ind w:left="567" w:hanging="567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8" w:tentative="0">
      <w:start w:val="1"/>
      <w:numFmt w:val="lowerRoman"/>
      <w:lvlText w:val="%9."/>
      <w:lvlJc w:val="right"/>
      <w:pPr>
        <w:tabs>
          <w:tab w:val="left" w:pos="567"/>
        </w:tabs>
        <w:ind w:left="567" w:hanging="567"/>
      </w:pPr>
      <w:rPr>
        <w:rFonts w:hint="default"/>
      </w:rPr>
    </w:lvl>
  </w:abstractNum>
  <w:abstractNum w:abstractNumId="1">
    <w:nsid w:val="225305B5"/>
    <w:multiLevelType w:val="multilevel"/>
    <w:tmpl w:val="225305B5"/>
    <w:lvl w:ilvl="0" w:tentative="0">
      <w:start w:val="1"/>
      <w:numFmt w:val="bullet"/>
      <w:pStyle w:val="3"/>
      <w:lvlText w:val=""/>
      <w:lvlJc w:val="left"/>
      <w:pPr>
        <w:ind w:left="14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attachedTemplate r:id="rId1"/>
  <w:documentProtection w:enforcement="0"/>
  <w:defaultTabStop w:val="720"/>
  <w:evenAndOddHeaders w:val="1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D24"/>
    <w:rsid w:val="0001436A"/>
    <w:rsid w:val="00034304"/>
    <w:rsid w:val="00035434"/>
    <w:rsid w:val="00052A14"/>
    <w:rsid w:val="00077D53"/>
    <w:rsid w:val="00105FD9"/>
    <w:rsid w:val="00117666"/>
    <w:rsid w:val="001549D3"/>
    <w:rsid w:val="00160065"/>
    <w:rsid w:val="00177D84"/>
    <w:rsid w:val="0019160C"/>
    <w:rsid w:val="00267D18"/>
    <w:rsid w:val="002868E2"/>
    <w:rsid w:val="002869C3"/>
    <w:rsid w:val="00287B2E"/>
    <w:rsid w:val="002936E4"/>
    <w:rsid w:val="002B4A57"/>
    <w:rsid w:val="002B5016"/>
    <w:rsid w:val="002C74CA"/>
    <w:rsid w:val="00337586"/>
    <w:rsid w:val="003544FB"/>
    <w:rsid w:val="003D2D47"/>
    <w:rsid w:val="003D2F2D"/>
    <w:rsid w:val="00401590"/>
    <w:rsid w:val="00447801"/>
    <w:rsid w:val="00452E9C"/>
    <w:rsid w:val="004735C8"/>
    <w:rsid w:val="004961FF"/>
    <w:rsid w:val="00517A89"/>
    <w:rsid w:val="005250F2"/>
    <w:rsid w:val="00556A6B"/>
    <w:rsid w:val="00593EEA"/>
    <w:rsid w:val="005A5EEE"/>
    <w:rsid w:val="006375C7"/>
    <w:rsid w:val="00654E8F"/>
    <w:rsid w:val="00660D05"/>
    <w:rsid w:val="006820B1"/>
    <w:rsid w:val="006B7D14"/>
    <w:rsid w:val="00701727"/>
    <w:rsid w:val="0070566C"/>
    <w:rsid w:val="00714C50"/>
    <w:rsid w:val="00725A7D"/>
    <w:rsid w:val="007501BE"/>
    <w:rsid w:val="00790BB3"/>
    <w:rsid w:val="007C206C"/>
    <w:rsid w:val="00803D24"/>
    <w:rsid w:val="00817DD6"/>
    <w:rsid w:val="00885156"/>
    <w:rsid w:val="009151AA"/>
    <w:rsid w:val="0093429D"/>
    <w:rsid w:val="00943573"/>
    <w:rsid w:val="00970F7D"/>
    <w:rsid w:val="00994A3D"/>
    <w:rsid w:val="009C2B12"/>
    <w:rsid w:val="009C70F3"/>
    <w:rsid w:val="00A174D9"/>
    <w:rsid w:val="00A569CD"/>
    <w:rsid w:val="00AB5EE2"/>
    <w:rsid w:val="00AB6715"/>
    <w:rsid w:val="00B1671E"/>
    <w:rsid w:val="00B25EB8"/>
    <w:rsid w:val="00B354E1"/>
    <w:rsid w:val="00B37F4D"/>
    <w:rsid w:val="00B93F2F"/>
    <w:rsid w:val="00C52A7B"/>
    <w:rsid w:val="00C56BAF"/>
    <w:rsid w:val="00C679AA"/>
    <w:rsid w:val="00C75972"/>
    <w:rsid w:val="00CC0A3A"/>
    <w:rsid w:val="00CD066B"/>
    <w:rsid w:val="00CE4FEE"/>
    <w:rsid w:val="00DB59C3"/>
    <w:rsid w:val="00DC259A"/>
    <w:rsid w:val="00DE23E8"/>
    <w:rsid w:val="00E52377"/>
    <w:rsid w:val="00E64E17"/>
    <w:rsid w:val="00E866C9"/>
    <w:rsid w:val="00EA3D3C"/>
    <w:rsid w:val="00F46900"/>
    <w:rsid w:val="00F61D89"/>
    <w:rsid w:val="01635C49"/>
    <w:rsid w:val="01AA1AC9"/>
    <w:rsid w:val="021A27AB"/>
    <w:rsid w:val="023F2212"/>
    <w:rsid w:val="028A0A56"/>
    <w:rsid w:val="02A227A1"/>
    <w:rsid w:val="03B92498"/>
    <w:rsid w:val="03E6672E"/>
    <w:rsid w:val="04200C1F"/>
    <w:rsid w:val="04371A7F"/>
    <w:rsid w:val="04DC4690"/>
    <w:rsid w:val="05687F3F"/>
    <w:rsid w:val="06532730"/>
    <w:rsid w:val="066E7569"/>
    <w:rsid w:val="0746124B"/>
    <w:rsid w:val="08360A4B"/>
    <w:rsid w:val="08E92ED7"/>
    <w:rsid w:val="093F51ED"/>
    <w:rsid w:val="09F117B2"/>
    <w:rsid w:val="0A0F2AF2"/>
    <w:rsid w:val="0A5922DF"/>
    <w:rsid w:val="0B6B22C9"/>
    <w:rsid w:val="0B9A495D"/>
    <w:rsid w:val="0BEF4CA9"/>
    <w:rsid w:val="0C943AA2"/>
    <w:rsid w:val="0CB910A4"/>
    <w:rsid w:val="0CE9189A"/>
    <w:rsid w:val="0D951880"/>
    <w:rsid w:val="0DBD4932"/>
    <w:rsid w:val="0DDF6F9F"/>
    <w:rsid w:val="0EA26766"/>
    <w:rsid w:val="0EAE0E4B"/>
    <w:rsid w:val="0EAF6DEF"/>
    <w:rsid w:val="0ECA7307"/>
    <w:rsid w:val="0F671838"/>
    <w:rsid w:val="10107A2E"/>
    <w:rsid w:val="10C61D50"/>
    <w:rsid w:val="111D7BC2"/>
    <w:rsid w:val="12644CE8"/>
    <w:rsid w:val="12E070F9"/>
    <w:rsid w:val="13117BFA"/>
    <w:rsid w:val="14812B5E"/>
    <w:rsid w:val="149C0C6E"/>
    <w:rsid w:val="14A64372"/>
    <w:rsid w:val="1530127A"/>
    <w:rsid w:val="15610299"/>
    <w:rsid w:val="15840891"/>
    <w:rsid w:val="15954AA9"/>
    <w:rsid w:val="166E0EC0"/>
    <w:rsid w:val="16F977D0"/>
    <w:rsid w:val="17306175"/>
    <w:rsid w:val="177954CF"/>
    <w:rsid w:val="18A137CE"/>
    <w:rsid w:val="18E45469"/>
    <w:rsid w:val="18F02060"/>
    <w:rsid w:val="19875553"/>
    <w:rsid w:val="19D76D7C"/>
    <w:rsid w:val="1A7171D0"/>
    <w:rsid w:val="1BAF1D5E"/>
    <w:rsid w:val="1BF754B3"/>
    <w:rsid w:val="1C2C7853"/>
    <w:rsid w:val="1C47468D"/>
    <w:rsid w:val="1C5A43C0"/>
    <w:rsid w:val="1C7F7983"/>
    <w:rsid w:val="1CE912A0"/>
    <w:rsid w:val="1D2247B2"/>
    <w:rsid w:val="1E6D7CAF"/>
    <w:rsid w:val="1EB1403F"/>
    <w:rsid w:val="1FFE6DFF"/>
    <w:rsid w:val="20D65FDF"/>
    <w:rsid w:val="21115269"/>
    <w:rsid w:val="211F1734"/>
    <w:rsid w:val="212D20A3"/>
    <w:rsid w:val="214E3DC8"/>
    <w:rsid w:val="22525B39"/>
    <w:rsid w:val="23607DE2"/>
    <w:rsid w:val="23BA1BE8"/>
    <w:rsid w:val="23F073B8"/>
    <w:rsid w:val="244E1DFB"/>
    <w:rsid w:val="25157477"/>
    <w:rsid w:val="25B206A1"/>
    <w:rsid w:val="26753BA5"/>
    <w:rsid w:val="27153985"/>
    <w:rsid w:val="274F2647"/>
    <w:rsid w:val="287C121A"/>
    <w:rsid w:val="295E63B3"/>
    <w:rsid w:val="2993550F"/>
    <w:rsid w:val="29CE1F49"/>
    <w:rsid w:val="29D87752"/>
    <w:rsid w:val="2A2C4EF9"/>
    <w:rsid w:val="2A9A6CD6"/>
    <w:rsid w:val="2A9C3DF6"/>
    <w:rsid w:val="2AE5754B"/>
    <w:rsid w:val="2B4B3921"/>
    <w:rsid w:val="2CB73169"/>
    <w:rsid w:val="2CFF6F0B"/>
    <w:rsid w:val="2D12214D"/>
    <w:rsid w:val="2DE57862"/>
    <w:rsid w:val="2E50117F"/>
    <w:rsid w:val="2E7A61C7"/>
    <w:rsid w:val="2FC811E9"/>
    <w:rsid w:val="308275EA"/>
    <w:rsid w:val="309D4424"/>
    <w:rsid w:val="310A0554"/>
    <w:rsid w:val="315D4643"/>
    <w:rsid w:val="323B5CA2"/>
    <w:rsid w:val="338D4C23"/>
    <w:rsid w:val="33A31D51"/>
    <w:rsid w:val="33D62126"/>
    <w:rsid w:val="34733E19"/>
    <w:rsid w:val="347D07F4"/>
    <w:rsid w:val="349873DC"/>
    <w:rsid w:val="35074973"/>
    <w:rsid w:val="35103416"/>
    <w:rsid w:val="357A669B"/>
    <w:rsid w:val="362D1DA6"/>
    <w:rsid w:val="36C721FA"/>
    <w:rsid w:val="36CF15F6"/>
    <w:rsid w:val="375021F0"/>
    <w:rsid w:val="38350283"/>
    <w:rsid w:val="38B64F6B"/>
    <w:rsid w:val="390215D5"/>
    <w:rsid w:val="39645CA6"/>
    <w:rsid w:val="399A59A4"/>
    <w:rsid w:val="39CE38A0"/>
    <w:rsid w:val="3A0765A1"/>
    <w:rsid w:val="3A127C30"/>
    <w:rsid w:val="3A2359FA"/>
    <w:rsid w:val="3A3C4CAD"/>
    <w:rsid w:val="3A4F7B0F"/>
    <w:rsid w:val="3A571AE7"/>
    <w:rsid w:val="3A757711"/>
    <w:rsid w:val="3BA6279B"/>
    <w:rsid w:val="3BB30F9F"/>
    <w:rsid w:val="3C8B3CCA"/>
    <w:rsid w:val="3D2E2FD3"/>
    <w:rsid w:val="3DA60DBB"/>
    <w:rsid w:val="3E135D25"/>
    <w:rsid w:val="3EE85404"/>
    <w:rsid w:val="3F050EE7"/>
    <w:rsid w:val="3F60143E"/>
    <w:rsid w:val="400D7DBD"/>
    <w:rsid w:val="401B10B8"/>
    <w:rsid w:val="40330901"/>
    <w:rsid w:val="409550DC"/>
    <w:rsid w:val="40EC042E"/>
    <w:rsid w:val="4182569C"/>
    <w:rsid w:val="419E1DAA"/>
    <w:rsid w:val="41B617E9"/>
    <w:rsid w:val="42190379"/>
    <w:rsid w:val="42454447"/>
    <w:rsid w:val="42664FBD"/>
    <w:rsid w:val="42AB6E74"/>
    <w:rsid w:val="42B86E9B"/>
    <w:rsid w:val="42E82551"/>
    <w:rsid w:val="432804C5"/>
    <w:rsid w:val="43617533"/>
    <w:rsid w:val="43A713E9"/>
    <w:rsid w:val="456F23DB"/>
    <w:rsid w:val="45EA1A61"/>
    <w:rsid w:val="46D5626E"/>
    <w:rsid w:val="475C073D"/>
    <w:rsid w:val="475F022D"/>
    <w:rsid w:val="479D56B7"/>
    <w:rsid w:val="47E32C0C"/>
    <w:rsid w:val="47EF7803"/>
    <w:rsid w:val="48313978"/>
    <w:rsid w:val="48EF6C02"/>
    <w:rsid w:val="497F0E33"/>
    <w:rsid w:val="499248EA"/>
    <w:rsid w:val="4A2512BA"/>
    <w:rsid w:val="4A43553A"/>
    <w:rsid w:val="4AA26FEC"/>
    <w:rsid w:val="4BF90C50"/>
    <w:rsid w:val="4CCA7EF7"/>
    <w:rsid w:val="4D341814"/>
    <w:rsid w:val="4D5D0D6B"/>
    <w:rsid w:val="4D6C0FAE"/>
    <w:rsid w:val="4DDA3DF1"/>
    <w:rsid w:val="4E0F7E77"/>
    <w:rsid w:val="4E4F6905"/>
    <w:rsid w:val="4EC66BA0"/>
    <w:rsid w:val="4F1F09CE"/>
    <w:rsid w:val="4F7D5691"/>
    <w:rsid w:val="4FD565E8"/>
    <w:rsid w:val="4FF64F62"/>
    <w:rsid w:val="5053013D"/>
    <w:rsid w:val="514240D8"/>
    <w:rsid w:val="522D1654"/>
    <w:rsid w:val="53B36CD7"/>
    <w:rsid w:val="53EE4E13"/>
    <w:rsid w:val="549B1E04"/>
    <w:rsid w:val="55950DC7"/>
    <w:rsid w:val="56116B96"/>
    <w:rsid w:val="56150435"/>
    <w:rsid w:val="56EA18C1"/>
    <w:rsid w:val="56EA300E"/>
    <w:rsid w:val="578D265C"/>
    <w:rsid w:val="58242BB1"/>
    <w:rsid w:val="58A75590"/>
    <w:rsid w:val="58D36385"/>
    <w:rsid w:val="593B28A8"/>
    <w:rsid w:val="59701244"/>
    <w:rsid w:val="5999137D"/>
    <w:rsid w:val="59DB073A"/>
    <w:rsid w:val="59E20F76"/>
    <w:rsid w:val="59F42A57"/>
    <w:rsid w:val="59FD5DAF"/>
    <w:rsid w:val="5A2E7D17"/>
    <w:rsid w:val="5AC57E22"/>
    <w:rsid w:val="5AE605F2"/>
    <w:rsid w:val="5B0867BA"/>
    <w:rsid w:val="5B0F5D9A"/>
    <w:rsid w:val="5B323837"/>
    <w:rsid w:val="5CA13E28"/>
    <w:rsid w:val="5CB52971"/>
    <w:rsid w:val="5D203D40"/>
    <w:rsid w:val="5D9E7743"/>
    <w:rsid w:val="5DBE7604"/>
    <w:rsid w:val="5DDC3F2E"/>
    <w:rsid w:val="5E1F5730"/>
    <w:rsid w:val="5ED510A9"/>
    <w:rsid w:val="5EDD53BF"/>
    <w:rsid w:val="5EF332DD"/>
    <w:rsid w:val="614222FA"/>
    <w:rsid w:val="62497970"/>
    <w:rsid w:val="63260125"/>
    <w:rsid w:val="63471E49"/>
    <w:rsid w:val="637A3FCD"/>
    <w:rsid w:val="64144421"/>
    <w:rsid w:val="64D21BE7"/>
    <w:rsid w:val="65197815"/>
    <w:rsid w:val="651E44BE"/>
    <w:rsid w:val="660859F7"/>
    <w:rsid w:val="667A42E4"/>
    <w:rsid w:val="668162AB"/>
    <w:rsid w:val="66A001EE"/>
    <w:rsid w:val="66BE0674"/>
    <w:rsid w:val="680C5410"/>
    <w:rsid w:val="688B27D8"/>
    <w:rsid w:val="69201173"/>
    <w:rsid w:val="698473A5"/>
    <w:rsid w:val="6A0445F0"/>
    <w:rsid w:val="6A241438"/>
    <w:rsid w:val="6A3C022E"/>
    <w:rsid w:val="6A7C0A54"/>
    <w:rsid w:val="6AF26B3F"/>
    <w:rsid w:val="6B3D425E"/>
    <w:rsid w:val="6B411343"/>
    <w:rsid w:val="6B937A21"/>
    <w:rsid w:val="6B9E69FD"/>
    <w:rsid w:val="6BD821D8"/>
    <w:rsid w:val="6C0A7EB8"/>
    <w:rsid w:val="6C2A35CA"/>
    <w:rsid w:val="6C613F7C"/>
    <w:rsid w:val="6D055FB4"/>
    <w:rsid w:val="6D142D9C"/>
    <w:rsid w:val="6D8F2D6B"/>
    <w:rsid w:val="6E891670"/>
    <w:rsid w:val="6EAA032A"/>
    <w:rsid w:val="6EB83BFB"/>
    <w:rsid w:val="6ED547AD"/>
    <w:rsid w:val="6EED5F9B"/>
    <w:rsid w:val="6EFA1CD9"/>
    <w:rsid w:val="705F6A24"/>
    <w:rsid w:val="706B361B"/>
    <w:rsid w:val="708E2E66"/>
    <w:rsid w:val="72063908"/>
    <w:rsid w:val="720C351F"/>
    <w:rsid w:val="720C498A"/>
    <w:rsid w:val="724F61E7"/>
    <w:rsid w:val="72751C33"/>
    <w:rsid w:val="73683E42"/>
    <w:rsid w:val="73685BF0"/>
    <w:rsid w:val="73AA445A"/>
    <w:rsid w:val="73AE23C8"/>
    <w:rsid w:val="74F31D84"/>
    <w:rsid w:val="75D27C98"/>
    <w:rsid w:val="764F753B"/>
    <w:rsid w:val="76AC673B"/>
    <w:rsid w:val="77316C41"/>
    <w:rsid w:val="77BF5FFA"/>
    <w:rsid w:val="77CE281F"/>
    <w:rsid w:val="77DC6BAC"/>
    <w:rsid w:val="77E048EF"/>
    <w:rsid w:val="78811502"/>
    <w:rsid w:val="790E0FE8"/>
    <w:rsid w:val="79334EF2"/>
    <w:rsid w:val="79A31CCB"/>
    <w:rsid w:val="7A6F798D"/>
    <w:rsid w:val="7AE75F94"/>
    <w:rsid w:val="7B95154C"/>
    <w:rsid w:val="7BA957A6"/>
    <w:rsid w:val="7BC938EC"/>
    <w:rsid w:val="7BDC09C2"/>
    <w:rsid w:val="7C1E1650"/>
    <w:rsid w:val="7D4934DF"/>
    <w:rsid w:val="7E130E4E"/>
    <w:rsid w:val="7E3C03A5"/>
    <w:rsid w:val="7E576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2" w:semiHidden="0" w:name="heading 1"/>
    <w:lsdException w:qFormat="1" w:unhideWhenUsed="0" w:uiPriority="2" w:semiHidden="0" w:name="heading 2"/>
    <w:lsdException w:qFormat="1" w:unhideWhenUsed="0" w:uiPriority="2" w:semiHidden="0" w:name="heading 3"/>
    <w:lsdException w:qFormat="1" w:unhideWhenUsed="0" w:uiPriority="2" w:semiHidden="0" w:name="heading 4"/>
    <w:lsdException w:qFormat="1" w:unhideWhenUsed="0" w:uiPriority="2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qFormat="1" w:uiPriority="99" w:name="annotation reference"/>
    <w:lsdException w:qFormat="1"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qFormat="1"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" w:semiHidden="0" w:name="List Paragraph"/>
    <w:lsdException w:qFormat="1" w:unhideWhenUsed="0" w:uiPriority="29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 w:line="240" w:lineRule="auto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paragraph" w:styleId="2">
    <w:name w:val="heading 1"/>
    <w:basedOn w:val="3"/>
    <w:next w:val="1"/>
    <w:link w:val="33"/>
    <w:qFormat/>
    <w:uiPriority w:val="2"/>
    <w:pPr>
      <w:numPr>
        <w:ilvl w:val="0"/>
        <w:numId w:val="1"/>
      </w:numPr>
      <w:spacing w:before="240"/>
      <w:contextualSpacing w:val="0"/>
      <w:outlineLvl w:val="0"/>
    </w:pPr>
    <w:rPr>
      <w:b/>
    </w:rPr>
  </w:style>
  <w:style w:type="paragraph" w:styleId="4">
    <w:name w:val="heading 2"/>
    <w:basedOn w:val="1"/>
    <w:link w:val="34"/>
    <w:qFormat/>
    <w:uiPriority w:val="2"/>
    <w:pPr>
      <w:tabs>
        <w:tab w:val="left" w:pos="567"/>
      </w:tabs>
      <w:spacing w:after="200"/>
      <w:outlineLvl w:val="1"/>
    </w:pPr>
  </w:style>
  <w:style w:type="paragraph" w:styleId="5">
    <w:name w:val="heading 3"/>
    <w:basedOn w:val="1"/>
    <w:next w:val="1"/>
    <w:link w:val="47"/>
    <w:qFormat/>
    <w:uiPriority w:val="2"/>
    <w:pPr>
      <w:keepNext/>
      <w:keepLines/>
      <w:numPr>
        <w:ilvl w:val="2"/>
        <w:numId w:val="1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6">
    <w:name w:val="heading 4"/>
    <w:basedOn w:val="5"/>
    <w:next w:val="1"/>
    <w:link w:val="48"/>
    <w:qFormat/>
    <w:uiPriority w:val="2"/>
    <w:pPr>
      <w:numPr>
        <w:ilvl w:val="3"/>
      </w:numPr>
      <w:outlineLvl w:val="3"/>
    </w:pPr>
    <w:rPr>
      <w:iCs/>
    </w:rPr>
  </w:style>
  <w:style w:type="paragraph" w:styleId="7">
    <w:name w:val="heading 5"/>
    <w:basedOn w:val="6"/>
    <w:next w:val="1"/>
    <w:link w:val="49"/>
    <w:qFormat/>
    <w:uiPriority w:val="2"/>
    <w:pPr>
      <w:numPr>
        <w:ilvl w:val="4"/>
      </w:numPr>
      <w:outlineLvl w:val="4"/>
    </w:pPr>
  </w:style>
  <w:style w:type="character" w:default="1" w:styleId="23">
    <w:name w:val="Default Paragraph Font"/>
    <w:semiHidden/>
    <w:unhideWhenUsed/>
    <w:qFormat/>
    <w:uiPriority w:val="1"/>
  </w:style>
  <w:style w:type="table" w:default="1" w:styleId="2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Paragraph"/>
    <w:basedOn w:val="1"/>
    <w:qFormat/>
    <w:uiPriority w:val="3"/>
    <w:pPr>
      <w:numPr>
        <w:ilvl w:val="0"/>
        <w:numId w:val="2"/>
      </w:numPr>
      <w:contextualSpacing/>
    </w:pPr>
    <w:rPr>
      <w:rFonts w:eastAsia="Cambria" w:cs="Times New Roman"/>
      <w:szCs w:val="24"/>
    </w:rPr>
  </w:style>
  <w:style w:type="paragraph" w:styleId="8">
    <w:name w:val="caption"/>
    <w:basedOn w:val="1"/>
    <w:next w:val="9"/>
    <w:unhideWhenUsed/>
    <w:qFormat/>
    <w:uiPriority w:val="35"/>
    <w:pPr>
      <w:keepNext/>
    </w:pPr>
    <w:rPr>
      <w:rFonts w:cs="Times New Roman"/>
      <w:b/>
      <w:bCs/>
      <w:szCs w:val="24"/>
    </w:rPr>
  </w:style>
  <w:style w:type="paragraph" w:styleId="9">
    <w:name w:val="No Spacing"/>
    <w:unhideWhenUsed/>
    <w:qFormat/>
    <w:uiPriority w:val="99"/>
    <w:pPr>
      <w:spacing w:after="0" w:line="240" w:lineRule="auto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paragraph" w:styleId="10">
    <w:name w:val="annotation text"/>
    <w:basedOn w:val="1"/>
    <w:link w:val="39"/>
    <w:semiHidden/>
    <w:unhideWhenUsed/>
    <w:qFormat/>
    <w:uiPriority w:val="99"/>
    <w:rPr>
      <w:sz w:val="20"/>
      <w:szCs w:val="20"/>
    </w:rPr>
  </w:style>
  <w:style w:type="paragraph" w:styleId="11">
    <w:name w:val="endnote text"/>
    <w:basedOn w:val="1"/>
    <w:link w:val="41"/>
    <w:semiHidden/>
    <w:unhideWhenUsed/>
    <w:qFormat/>
    <w:uiPriority w:val="99"/>
    <w:pPr>
      <w:spacing w:after="0"/>
    </w:pPr>
    <w:rPr>
      <w:sz w:val="20"/>
      <w:szCs w:val="20"/>
    </w:rPr>
  </w:style>
  <w:style w:type="paragraph" w:styleId="12">
    <w:name w:val="Balloon Text"/>
    <w:basedOn w:val="1"/>
    <w:link w:val="37"/>
    <w:semiHidden/>
    <w:unhideWhenUsed/>
    <w:qFormat/>
    <w:uiPriority w:val="99"/>
    <w:pPr>
      <w:spacing w:after="0"/>
    </w:pPr>
    <w:rPr>
      <w:rFonts w:ascii="Tahoma" w:hAnsi="Tahoma" w:cs="Tahoma"/>
      <w:sz w:val="16"/>
      <w:szCs w:val="16"/>
    </w:rPr>
  </w:style>
  <w:style w:type="paragraph" w:styleId="13">
    <w:name w:val="footer"/>
    <w:basedOn w:val="1"/>
    <w:link w:val="42"/>
    <w:unhideWhenUsed/>
    <w:qFormat/>
    <w:uiPriority w:val="99"/>
    <w:pPr>
      <w:tabs>
        <w:tab w:val="center" w:pos="4844"/>
        <w:tab w:val="right" w:pos="9689"/>
      </w:tabs>
      <w:spacing w:after="0"/>
    </w:pPr>
  </w:style>
  <w:style w:type="paragraph" w:styleId="14">
    <w:name w:val="header"/>
    <w:basedOn w:val="1"/>
    <w:link w:val="44"/>
    <w:unhideWhenUsed/>
    <w:qFormat/>
    <w:uiPriority w:val="99"/>
    <w:pPr>
      <w:tabs>
        <w:tab w:val="center" w:pos="4844"/>
        <w:tab w:val="right" w:pos="9689"/>
      </w:tabs>
    </w:pPr>
    <w:rPr>
      <w:b/>
    </w:rPr>
  </w:style>
  <w:style w:type="paragraph" w:styleId="15">
    <w:name w:val="Subtitle"/>
    <w:basedOn w:val="1"/>
    <w:next w:val="1"/>
    <w:link w:val="35"/>
    <w:unhideWhenUsed/>
    <w:qFormat/>
    <w:uiPriority w:val="99"/>
    <w:pPr>
      <w:spacing w:before="240"/>
    </w:pPr>
    <w:rPr>
      <w:rFonts w:cs="Times New Roman"/>
      <w:b/>
      <w:szCs w:val="24"/>
    </w:rPr>
  </w:style>
  <w:style w:type="paragraph" w:styleId="16">
    <w:name w:val="footnote text"/>
    <w:basedOn w:val="1"/>
    <w:link w:val="43"/>
    <w:semiHidden/>
    <w:unhideWhenUsed/>
    <w:qFormat/>
    <w:uiPriority w:val="99"/>
    <w:pPr>
      <w:spacing w:after="0"/>
    </w:pPr>
    <w:rPr>
      <w:sz w:val="20"/>
      <w:szCs w:val="20"/>
    </w:rPr>
  </w:style>
  <w:style w:type="paragraph" w:styleId="17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8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19">
    <w:name w:val="Title"/>
    <w:basedOn w:val="1"/>
    <w:next w:val="1"/>
    <w:link w:val="53"/>
    <w:qFormat/>
    <w:uiPriority w:val="0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paragraph" w:styleId="20">
    <w:name w:val="annotation subject"/>
    <w:basedOn w:val="10"/>
    <w:next w:val="10"/>
    <w:link w:val="40"/>
    <w:semiHidden/>
    <w:unhideWhenUsed/>
    <w:qFormat/>
    <w:uiPriority w:val="99"/>
    <w:rPr>
      <w:b/>
      <w:bCs/>
    </w:rPr>
  </w:style>
  <w:style w:type="table" w:styleId="22">
    <w:name w:val="Table Grid"/>
    <w:basedOn w:val="21"/>
    <w:qFormat/>
    <w:uiPriority w:val="59"/>
    <w:pPr>
      <w:spacing w:after="0" w:line="240" w:lineRule="auto"/>
    </w:pPr>
    <w:rPr>
      <w:rFonts w:asciiTheme="majorHAnsi" w:hAnsiTheme="majorHAns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4">
    <w:name w:val="Strong"/>
    <w:basedOn w:val="23"/>
    <w:qFormat/>
    <w:uiPriority w:val="22"/>
    <w:rPr>
      <w:rFonts w:ascii="Times New Roman" w:hAnsi="Times New Roman"/>
      <w:b/>
      <w:bCs/>
    </w:rPr>
  </w:style>
  <w:style w:type="character" w:styleId="25">
    <w:name w:val="endnote reference"/>
    <w:basedOn w:val="23"/>
    <w:semiHidden/>
    <w:unhideWhenUsed/>
    <w:qFormat/>
    <w:uiPriority w:val="99"/>
    <w:rPr>
      <w:vertAlign w:val="superscript"/>
    </w:rPr>
  </w:style>
  <w:style w:type="character" w:styleId="26">
    <w:name w:val="FollowedHyperlink"/>
    <w:basedOn w:val="23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27">
    <w:name w:val="Emphasis"/>
    <w:basedOn w:val="23"/>
    <w:qFormat/>
    <w:uiPriority w:val="20"/>
    <w:rPr>
      <w:rFonts w:ascii="Times New Roman" w:hAnsi="Times New Roman"/>
      <w:i/>
      <w:iCs/>
    </w:rPr>
  </w:style>
  <w:style w:type="character" w:styleId="28">
    <w:name w:val="line number"/>
    <w:basedOn w:val="23"/>
    <w:semiHidden/>
    <w:unhideWhenUsed/>
    <w:qFormat/>
    <w:uiPriority w:val="99"/>
  </w:style>
  <w:style w:type="character" w:styleId="29">
    <w:name w:val="Hyperlink"/>
    <w:basedOn w:val="23"/>
    <w:unhideWhenUsed/>
    <w:qFormat/>
    <w:uiPriority w:val="99"/>
    <w:rPr>
      <w:color w:val="0000FF"/>
      <w:u w:val="single"/>
    </w:rPr>
  </w:style>
  <w:style w:type="character" w:styleId="30">
    <w:name w:val="HTML Code"/>
    <w:basedOn w:val="23"/>
    <w:semiHidden/>
    <w:unhideWhenUsed/>
    <w:qFormat/>
    <w:uiPriority w:val="99"/>
    <w:rPr>
      <w:rFonts w:ascii="Courier New" w:hAnsi="Courier New"/>
      <w:sz w:val="20"/>
    </w:rPr>
  </w:style>
  <w:style w:type="character" w:styleId="31">
    <w:name w:val="annotation reference"/>
    <w:basedOn w:val="23"/>
    <w:semiHidden/>
    <w:unhideWhenUsed/>
    <w:qFormat/>
    <w:uiPriority w:val="99"/>
    <w:rPr>
      <w:sz w:val="16"/>
      <w:szCs w:val="16"/>
    </w:rPr>
  </w:style>
  <w:style w:type="character" w:styleId="32">
    <w:name w:val="footnote reference"/>
    <w:basedOn w:val="23"/>
    <w:semiHidden/>
    <w:unhideWhenUsed/>
    <w:qFormat/>
    <w:uiPriority w:val="99"/>
    <w:rPr>
      <w:vertAlign w:val="superscript"/>
    </w:rPr>
  </w:style>
  <w:style w:type="character" w:customStyle="1" w:styleId="33">
    <w:name w:val="Heading 1 Char"/>
    <w:basedOn w:val="23"/>
    <w:link w:val="2"/>
    <w:qFormat/>
    <w:uiPriority w:val="2"/>
    <w:rPr>
      <w:rFonts w:ascii="Times New Roman" w:hAnsi="Times New Roman" w:eastAsia="Cambria" w:cs="Times New Roman"/>
      <w:b/>
      <w:sz w:val="24"/>
      <w:szCs w:val="24"/>
    </w:rPr>
  </w:style>
  <w:style w:type="character" w:customStyle="1" w:styleId="34">
    <w:name w:val="Heading 2 Char"/>
    <w:basedOn w:val="23"/>
    <w:link w:val="4"/>
    <w:qFormat/>
    <w:uiPriority w:val="2"/>
    <w:rPr>
      <w:rFonts w:ascii="Times New Roman" w:hAnsi="Times New Roman" w:eastAsia="Cambria" w:cs="Times New Roman"/>
      <w:b/>
      <w:sz w:val="24"/>
      <w:szCs w:val="24"/>
    </w:rPr>
  </w:style>
  <w:style w:type="character" w:customStyle="1" w:styleId="35">
    <w:name w:val="Subtitle Char"/>
    <w:basedOn w:val="23"/>
    <w:link w:val="15"/>
    <w:qFormat/>
    <w:uiPriority w:val="99"/>
    <w:rPr>
      <w:rFonts w:ascii="Times New Roman" w:hAnsi="Times New Roman" w:cs="Times New Roman"/>
      <w:b/>
      <w:sz w:val="24"/>
      <w:szCs w:val="24"/>
    </w:rPr>
  </w:style>
  <w:style w:type="paragraph" w:customStyle="1" w:styleId="36">
    <w:name w:val="Author List"/>
    <w:basedOn w:val="15"/>
    <w:next w:val="1"/>
    <w:qFormat/>
    <w:uiPriority w:val="1"/>
  </w:style>
  <w:style w:type="character" w:customStyle="1" w:styleId="37">
    <w:name w:val="Balloon Text Char"/>
    <w:basedOn w:val="23"/>
    <w:link w:val="12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38">
    <w:name w:val="Book Title"/>
    <w:basedOn w:val="23"/>
    <w:qFormat/>
    <w:uiPriority w:val="33"/>
    <w:rPr>
      <w:rFonts w:ascii="Times New Roman" w:hAnsi="Times New Roman"/>
      <w:b/>
      <w:bCs/>
      <w:i/>
      <w:iCs/>
      <w:spacing w:val="5"/>
    </w:rPr>
  </w:style>
  <w:style w:type="character" w:customStyle="1" w:styleId="39">
    <w:name w:val="Comment Text Char"/>
    <w:basedOn w:val="23"/>
    <w:link w:val="10"/>
    <w:semiHidden/>
    <w:qFormat/>
    <w:uiPriority w:val="99"/>
    <w:rPr>
      <w:rFonts w:ascii="Times New Roman" w:hAnsi="Times New Roman"/>
      <w:sz w:val="20"/>
      <w:szCs w:val="20"/>
    </w:rPr>
  </w:style>
  <w:style w:type="character" w:customStyle="1" w:styleId="40">
    <w:name w:val="Comment Subject Char"/>
    <w:basedOn w:val="39"/>
    <w:link w:val="20"/>
    <w:semiHidden/>
    <w:qFormat/>
    <w:uiPriority w:val="99"/>
    <w:rPr>
      <w:rFonts w:ascii="Times New Roman" w:hAnsi="Times New Roman"/>
      <w:b/>
      <w:bCs/>
      <w:sz w:val="20"/>
      <w:szCs w:val="20"/>
    </w:rPr>
  </w:style>
  <w:style w:type="character" w:customStyle="1" w:styleId="41">
    <w:name w:val="Endnote Text Char"/>
    <w:basedOn w:val="23"/>
    <w:link w:val="11"/>
    <w:semiHidden/>
    <w:qFormat/>
    <w:uiPriority w:val="99"/>
    <w:rPr>
      <w:rFonts w:ascii="Times New Roman" w:hAnsi="Times New Roman"/>
      <w:sz w:val="20"/>
      <w:szCs w:val="20"/>
    </w:rPr>
  </w:style>
  <w:style w:type="character" w:customStyle="1" w:styleId="42">
    <w:name w:val="Footer Char"/>
    <w:basedOn w:val="23"/>
    <w:link w:val="13"/>
    <w:qFormat/>
    <w:uiPriority w:val="99"/>
    <w:rPr>
      <w:rFonts w:ascii="Times New Roman" w:hAnsi="Times New Roman"/>
      <w:sz w:val="24"/>
    </w:rPr>
  </w:style>
  <w:style w:type="character" w:customStyle="1" w:styleId="43">
    <w:name w:val="Footnote Text Char"/>
    <w:basedOn w:val="23"/>
    <w:link w:val="16"/>
    <w:semiHidden/>
    <w:qFormat/>
    <w:uiPriority w:val="99"/>
    <w:rPr>
      <w:rFonts w:ascii="Times New Roman" w:hAnsi="Times New Roman"/>
      <w:sz w:val="20"/>
      <w:szCs w:val="20"/>
    </w:rPr>
  </w:style>
  <w:style w:type="character" w:customStyle="1" w:styleId="44">
    <w:name w:val="Header Char"/>
    <w:basedOn w:val="23"/>
    <w:link w:val="14"/>
    <w:qFormat/>
    <w:uiPriority w:val="99"/>
    <w:rPr>
      <w:rFonts w:ascii="Times New Roman" w:hAnsi="Times New Roman"/>
      <w:b/>
      <w:sz w:val="24"/>
    </w:rPr>
  </w:style>
  <w:style w:type="character" w:customStyle="1" w:styleId="45">
    <w:name w:val="Intense Emphasis"/>
    <w:basedOn w:val="23"/>
    <w:unhideWhenUsed/>
    <w:qFormat/>
    <w:uiPriority w:val="21"/>
    <w:rPr>
      <w:rFonts w:ascii="Times New Roman" w:hAnsi="Times New Roman"/>
      <w:i/>
      <w:iCs/>
      <w:color w:val="auto"/>
    </w:rPr>
  </w:style>
  <w:style w:type="character" w:customStyle="1" w:styleId="46">
    <w:name w:val="Intense Reference"/>
    <w:basedOn w:val="23"/>
    <w:qFormat/>
    <w:uiPriority w:val="32"/>
    <w:rPr>
      <w:b/>
      <w:bCs/>
      <w:smallCaps/>
      <w:color w:val="auto"/>
      <w:spacing w:val="5"/>
    </w:rPr>
  </w:style>
  <w:style w:type="character" w:customStyle="1" w:styleId="47">
    <w:name w:val="Heading 3 Char"/>
    <w:basedOn w:val="23"/>
    <w:link w:val="5"/>
    <w:qFormat/>
    <w:uiPriority w:val="2"/>
    <w:rPr>
      <w:rFonts w:ascii="Times New Roman" w:hAnsi="Times New Roman" w:eastAsiaTheme="majorEastAsia" w:cstheme="majorBidi"/>
      <w:b/>
      <w:sz w:val="24"/>
      <w:szCs w:val="24"/>
    </w:rPr>
  </w:style>
  <w:style w:type="character" w:customStyle="1" w:styleId="48">
    <w:name w:val="Heading 4 Char"/>
    <w:basedOn w:val="23"/>
    <w:link w:val="6"/>
    <w:qFormat/>
    <w:uiPriority w:val="2"/>
    <w:rPr>
      <w:rFonts w:ascii="Times New Roman" w:hAnsi="Times New Roman" w:eastAsiaTheme="majorEastAsia" w:cstheme="majorBidi"/>
      <w:b/>
      <w:iCs/>
      <w:sz w:val="24"/>
      <w:szCs w:val="24"/>
    </w:rPr>
  </w:style>
  <w:style w:type="character" w:customStyle="1" w:styleId="49">
    <w:name w:val="Heading 5 Char"/>
    <w:basedOn w:val="23"/>
    <w:link w:val="7"/>
    <w:qFormat/>
    <w:uiPriority w:val="2"/>
    <w:rPr>
      <w:rFonts w:ascii="Times New Roman" w:hAnsi="Times New Roman" w:eastAsiaTheme="majorEastAsia" w:cstheme="majorBidi"/>
      <w:b/>
      <w:iCs/>
      <w:sz w:val="24"/>
      <w:szCs w:val="24"/>
    </w:rPr>
  </w:style>
  <w:style w:type="paragraph" w:styleId="50">
    <w:name w:val="Quote"/>
    <w:basedOn w:val="1"/>
    <w:next w:val="1"/>
    <w:link w:val="51"/>
    <w:qFormat/>
    <w:uiPriority w:val="29"/>
    <w:pPr>
      <w:spacing w:before="200" w:after="160"/>
      <w:ind w:left="864" w:right="864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1">
    <w:name w:val="Quote Char"/>
    <w:basedOn w:val="23"/>
    <w:link w:val="50"/>
    <w:qFormat/>
    <w:uiPriority w:val="29"/>
    <w:rPr>
      <w:rFonts w:ascii="Times New Roman" w:hAnsi="Times New Roman"/>
      <w:i/>
      <w:iCs/>
      <w:color w:val="404040" w:themeColor="text1" w:themeTint="BF"/>
      <w:sz w:val="24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2">
    <w:name w:val="Subtle Emphasis"/>
    <w:basedOn w:val="23"/>
    <w:qFormat/>
    <w:uiPriority w:val="19"/>
    <w:rPr>
      <w:rFonts w:ascii="Times New Roman" w:hAnsi="Times New Roman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3">
    <w:name w:val="Title Char"/>
    <w:basedOn w:val="23"/>
    <w:link w:val="19"/>
    <w:qFormat/>
    <w:uiPriority w:val="0"/>
    <w:rPr>
      <w:rFonts w:ascii="Times New Roman" w:hAnsi="Times New Roman" w:cs="Times New Roman"/>
      <w:b/>
      <w:sz w:val="32"/>
      <w:szCs w:val="32"/>
    </w:rPr>
  </w:style>
  <w:style w:type="paragraph" w:customStyle="1" w:styleId="54">
    <w:name w:val="Supplementary Material"/>
    <w:basedOn w:val="19"/>
    <w:next w:val="19"/>
    <w:qFormat/>
    <w:uiPriority w:val="0"/>
    <w:pPr>
      <w:spacing w:after="120"/>
    </w:pPr>
    <w:rPr>
      <w:i/>
    </w:rPr>
  </w:style>
  <w:style w:type="paragraph" w:customStyle="1" w:styleId="55">
    <w:name w:val="Revision"/>
    <w:hidden/>
    <w:semiHidden/>
    <w:qFormat/>
    <w:uiPriority w:val="99"/>
    <w:pPr>
      <w:spacing w:after="0" w:line="240" w:lineRule="auto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paragraph" w:customStyle="1" w:styleId="56">
    <w:name w:val="Table Paragraph"/>
    <w:basedOn w:val="1"/>
    <w:qFormat/>
    <w:uiPriority w:val="1"/>
    <w:pPr>
      <w:spacing w:before="51"/>
      <w:ind w:left="107"/>
    </w:pPr>
    <w:rPr>
      <w:rFonts w:ascii="Times New Roman" w:hAnsi="Times New Roman" w:eastAsia="Times New Roman" w:cs="Times New Roman"/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Pages>6</Pages>
  <Words>565</Words>
  <Characters>3590</Characters>
  <Lines>6</Lines>
  <Paragraphs>1</Paragraphs>
  <TotalTime>11</TotalTime>
  <ScaleCrop>false</ScaleCrop>
  <LinksUpToDate>false</LinksUpToDate>
  <CharactersWithSpaces>4007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2022-11-17T16:58:00Z</dcterms:created>
  <dc:creator>Frontiers</dc:creator>
  <cp:lastModifiedBy>Author</cp:lastModifiedBy>
  <cp:lastPrinted>2013-10-03T12:51:00Z</cp:lastPrinted>
  <dcterms:modified xsi:type="dcterms:W3CDTF">2026-08-03T11:29:21Z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  <property fmtid="{D5CDD505-2E9C-101B-9397-08002B2CF9AE}" pid="10" name="KSOTemplateDocerSaveRecord">
    <vt:lpwstr>eyJoZGlkIjoiNGI2ZTM1MDNiNWUxMjZkMWRlOTNhY2NhOWQ2ZWVmOTgiLCJ1c2VySWQiOiIxNTkzMzkwNzYyIn0=</vt:lpwstr>
  </property>
  <property fmtid="{D5CDD505-2E9C-101B-9397-08002B2CF9AE}" pid="11" name="KSOProductBuildVer">
    <vt:lpwstr>2052-12.1.0.19302</vt:lpwstr>
  </property>
  <property fmtid="{D5CDD505-2E9C-101B-9397-08002B2CF9AE}" pid="12" name="ICV">
    <vt:lpwstr>1CB77DE0E81449879B3AEC2FD90E6090_13</vt:lpwstr>
  </property>
</Properties>
</file>