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24994">
      <w:pPr>
        <w:jc w:val="center"/>
      </w:pPr>
      <w:r>
        <w:rPr>
          <w:b/>
          <w:sz w:val="24"/>
        </w:rPr>
        <w:t>STROBE Statement—Checklist of items that should be included in reports of cohort studies</w:t>
      </w:r>
    </w:p>
    <w:p w14:paraId="7716C47C">
      <w:pPr>
        <w:jc w:val="center"/>
      </w:pPr>
      <w:r>
        <w:rPr>
          <w:i/>
          <w:sz w:val="16"/>
        </w:rPr>
        <w:t>Completed for: Higher total cholesterol and low-density lipoprotein as prognostic indicators of slower progression and prolonged survival in Chinese ALS patients: A cohort study</w:t>
      </w:r>
    </w:p>
    <w:p w14:paraId="1C541D1C">
      <w:r>
        <w:rPr>
          <w:sz w:val="16"/>
        </w:rPr>
        <w:t>Note: Page/section locations refer to the revised clean manuscript and supplementary materials supplied for the final check. Items marked “reported” are supported by the cited manuscript sections/tables/figures; “not applicable” is used only where the item is not relevant to this retrospective cohort/prognostic analysis.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743"/>
        <w:gridCol w:w="3478"/>
        <w:gridCol w:w="1213"/>
        <w:gridCol w:w="2180"/>
        <w:gridCol w:w="5691"/>
      </w:tblGrid>
      <w:tr w14:paraId="7F836E2A">
        <w:trPr>
          <w:cantSplit/>
          <w:tblHeader/>
          <w:jc w:val="center"/>
        </w:trPr>
        <w:tc>
          <w:tcPr>
            <w:tcW w:w="1584" w:type="dxa"/>
            <w:shd w:val="clear" w:color="auto" w:fill="D9EAF7"/>
            <w:vAlign w:val="top"/>
          </w:tcPr>
          <w:p w14:paraId="2E1AB6CA">
            <w:pPr>
              <w:spacing w:after="0" w:line="240" w:lineRule="auto"/>
            </w:pPr>
            <w:r>
              <w:rPr>
                <w:b/>
                <w:sz w:val="15"/>
              </w:rPr>
              <w:t>Section</w:t>
            </w:r>
          </w:p>
        </w:tc>
        <w:tc>
          <w:tcPr>
            <w:tcW w:w="792" w:type="dxa"/>
            <w:shd w:val="clear" w:color="auto" w:fill="D9EAF7"/>
            <w:vAlign w:val="top"/>
          </w:tcPr>
          <w:p w14:paraId="465B04E0">
            <w:pPr>
              <w:spacing w:after="0" w:line="240" w:lineRule="auto"/>
            </w:pPr>
            <w:r>
              <w:rPr>
                <w:b/>
                <w:sz w:val="15"/>
              </w:rPr>
              <w:t>Item No.</w:t>
            </w:r>
          </w:p>
        </w:tc>
        <w:tc>
          <w:tcPr>
            <w:tcW w:w="3888" w:type="dxa"/>
            <w:shd w:val="clear" w:color="auto" w:fill="D9EAF7"/>
            <w:vAlign w:val="top"/>
          </w:tcPr>
          <w:p w14:paraId="7237BD64">
            <w:pPr>
              <w:spacing w:after="0" w:line="240" w:lineRule="auto"/>
            </w:pPr>
            <w:r>
              <w:rPr>
                <w:b/>
                <w:sz w:val="15"/>
              </w:rPr>
              <w:t>STROBE recommendation</w:t>
            </w:r>
          </w:p>
        </w:tc>
        <w:tc>
          <w:tcPr>
            <w:tcW w:w="1296" w:type="dxa"/>
            <w:shd w:val="clear" w:color="auto" w:fill="D9EAF7"/>
            <w:vAlign w:val="top"/>
          </w:tcPr>
          <w:p w14:paraId="742C1A79">
            <w:pPr>
              <w:spacing w:after="0" w:line="240" w:lineRule="auto"/>
            </w:pPr>
            <w:r>
              <w:rPr>
                <w:b/>
                <w:sz w:val="15"/>
              </w:rPr>
              <w:t>Status</w:t>
            </w:r>
          </w:p>
        </w:tc>
        <w:tc>
          <w:tcPr>
            <w:tcW w:w="2448" w:type="dxa"/>
            <w:shd w:val="clear" w:color="auto" w:fill="D9EAF7"/>
            <w:vAlign w:val="top"/>
          </w:tcPr>
          <w:p w14:paraId="429C6B05">
            <w:pPr>
              <w:spacing w:after="0" w:line="240" w:lineRule="auto"/>
            </w:pPr>
            <w:r>
              <w:rPr>
                <w:b/>
                <w:sz w:val="15"/>
              </w:rPr>
              <w:t>Location</w:t>
            </w:r>
          </w:p>
        </w:tc>
        <w:tc>
          <w:tcPr>
            <w:tcW w:w="6480" w:type="dxa"/>
            <w:shd w:val="clear" w:color="auto" w:fill="D9EAF7"/>
            <w:vAlign w:val="top"/>
          </w:tcPr>
          <w:p w14:paraId="263190A4">
            <w:pPr>
              <w:spacing w:after="0" w:line="240" w:lineRule="auto"/>
            </w:pPr>
            <w:r>
              <w:rPr>
                <w:b/>
                <w:sz w:val="15"/>
              </w:rPr>
              <w:t>Details for this manuscript</w:t>
            </w:r>
          </w:p>
        </w:tc>
      </w:tr>
      <w:tr w14:paraId="367F8004">
        <w:trPr>
          <w:cantSplit/>
          <w:jc w:val="center"/>
        </w:trPr>
        <w:tc>
          <w:tcPr>
            <w:tcW w:w="1584" w:type="dxa"/>
            <w:vAlign w:val="top"/>
          </w:tcPr>
          <w:p w14:paraId="5FC9E7F4">
            <w:pPr>
              <w:spacing w:after="0" w:line="240" w:lineRule="auto"/>
            </w:pPr>
            <w:bookmarkStart w:id="0" w:name="_GoBack" w:colFirst="5" w:colLast="5"/>
            <w:r>
              <w:rPr>
                <w:b w:val="0"/>
                <w:sz w:val="15"/>
              </w:rPr>
              <w:t>Title and abstract</w:t>
            </w:r>
          </w:p>
        </w:tc>
        <w:tc>
          <w:tcPr>
            <w:tcW w:w="792" w:type="dxa"/>
            <w:vAlign w:val="top"/>
          </w:tcPr>
          <w:p w14:paraId="24629F17">
            <w:pPr>
              <w:spacing w:after="0" w:line="240" w:lineRule="auto"/>
            </w:pPr>
            <w:r>
              <w:rPr>
                <w:b w:val="0"/>
                <w:sz w:val="15"/>
              </w:rPr>
              <w:t>1(a)</w:t>
            </w:r>
          </w:p>
        </w:tc>
        <w:tc>
          <w:tcPr>
            <w:tcW w:w="3888" w:type="dxa"/>
            <w:vAlign w:val="top"/>
          </w:tcPr>
          <w:p w14:paraId="23E108B5">
            <w:pPr>
              <w:spacing w:after="0" w:line="240" w:lineRule="auto"/>
            </w:pPr>
            <w:r>
              <w:rPr>
                <w:b w:val="0"/>
                <w:sz w:val="15"/>
              </w:rPr>
              <w:t>Indicate the study’s design with a commonly used term in the title or the abstract.</w:t>
            </w:r>
          </w:p>
        </w:tc>
        <w:tc>
          <w:tcPr>
            <w:tcW w:w="1296" w:type="dxa"/>
            <w:vAlign w:val="top"/>
          </w:tcPr>
          <w:p w14:paraId="2F346951">
            <w:pPr>
              <w:spacing w:after="0" w:line="240" w:lineRule="auto"/>
            </w:pPr>
            <w:r>
              <w:rPr>
                <w:b w:val="0"/>
                <w:sz w:val="15"/>
              </w:rPr>
              <w:t>Reported</w:t>
            </w:r>
          </w:p>
        </w:tc>
        <w:tc>
          <w:tcPr>
            <w:tcW w:w="2448" w:type="dxa"/>
            <w:vAlign w:val="top"/>
          </w:tcPr>
          <w:p w14:paraId="037CF15C">
            <w:pPr>
              <w:spacing w:after="0" w:line="240" w:lineRule="auto"/>
            </w:pPr>
            <w:r>
              <w:rPr>
                <w:b w:val="0"/>
                <w:sz w:val="15"/>
              </w:rPr>
              <w:t>Title and Abstract Methods</w:t>
            </w:r>
          </w:p>
        </w:tc>
        <w:tc>
          <w:tcPr>
            <w:tcW w:w="6480" w:type="dxa"/>
            <w:vAlign w:val="top"/>
          </w:tcPr>
          <w:p w14:paraId="57ED2B1D">
            <w:pPr>
              <w:spacing w:after="0" w:line="240" w:lineRule="auto"/>
            </w:pPr>
            <w:r>
              <w:rPr>
                <w:b w:val="0"/>
                <w:sz w:val="15"/>
              </w:rPr>
              <w:t>The title identifies the work as a cohort study; the Abstract Methods states that this was a retrospective cohort study conducted in ALS patients from Peking University Third Hospital during 2007–2016.</w:t>
            </w:r>
          </w:p>
        </w:tc>
      </w:tr>
      <w:tr w14:paraId="38ACDA9A">
        <w:trPr>
          <w:cantSplit/>
          <w:jc w:val="center"/>
        </w:trPr>
        <w:tc>
          <w:tcPr>
            <w:tcW w:w="1584" w:type="dxa"/>
            <w:vAlign w:val="top"/>
          </w:tcPr>
          <w:p w14:paraId="644EE339">
            <w:pPr>
              <w:spacing w:after="0" w:line="240" w:lineRule="auto"/>
            </w:pPr>
            <w:r>
              <w:rPr>
                <w:b w:val="0"/>
                <w:sz w:val="15"/>
              </w:rPr>
              <w:t>Title and abstract</w:t>
            </w:r>
          </w:p>
        </w:tc>
        <w:tc>
          <w:tcPr>
            <w:tcW w:w="792" w:type="dxa"/>
            <w:vAlign w:val="top"/>
          </w:tcPr>
          <w:p w14:paraId="4E8555CE">
            <w:pPr>
              <w:spacing w:after="0" w:line="240" w:lineRule="auto"/>
            </w:pPr>
            <w:r>
              <w:rPr>
                <w:b w:val="0"/>
                <w:sz w:val="15"/>
              </w:rPr>
              <w:t>1(b)</w:t>
            </w:r>
          </w:p>
        </w:tc>
        <w:tc>
          <w:tcPr>
            <w:tcW w:w="3888" w:type="dxa"/>
            <w:vAlign w:val="top"/>
          </w:tcPr>
          <w:p w14:paraId="25B5D1E9">
            <w:pPr>
              <w:spacing w:after="0" w:line="240" w:lineRule="auto"/>
            </w:pPr>
            <w:r>
              <w:rPr>
                <w:b w:val="0"/>
                <w:sz w:val="15"/>
              </w:rPr>
              <w:t>Provide in the abstract an informative and balanced summary of what was done and what was found.</w:t>
            </w:r>
          </w:p>
        </w:tc>
        <w:tc>
          <w:tcPr>
            <w:tcW w:w="1296" w:type="dxa"/>
            <w:vAlign w:val="top"/>
          </w:tcPr>
          <w:p w14:paraId="13979194">
            <w:pPr>
              <w:spacing w:after="0" w:line="240" w:lineRule="auto"/>
            </w:pPr>
            <w:r>
              <w:rPr>
                <w:b w:val="0"/>
                <w:sz w:val="15"/>
              </w:rPr>
              <w:t>Reported</w:t>
            </w:r>
          </w:p>
        </w:tc>
        <w:tc>
          <w:tcPr>
            <w:tcW w:w="2448" w:type="dxa"/>
            <w:vAlign w:val="top"/>
          </w:tcPr>
          <w:p w14:paraId="5ABDC972">
            <w:pPr>
              <w:spacing w:after="0" w:line="240" w:lineRule="auto"/>
            </w:pPr>
            <w:r>
              <w:rPr>
                <w:b w:val="0"/>
                <w:sz w:val="15"/>
              </w:rPr>
              <w:t>Abstract: Background, Methods, Results, Conclusion</w:t>
            </w:r>
          </w:p>
        </w:tc>
        <w:tc>
          <w:tcPr>
            <w:tcW w:w="6480" w:type="dxa"/>
            <w:vAlign w:val="top"/>
          </w:tcPr>
          <w:p w14:paraId="27486CF3">
            <w:pPr>
              <w:spacing w:after="0" w:line="240" w:lineRule="auto"/>
            </w:pPr>
            <w:r>
              <w:rPr>
                <w:b w:val="0"/>
                <w:sz w:val="15"/>
              </w:rPr>
              <w:t>The abstract summarizes rationale, design, cohort size, exposure lipid markers, primary outcomes, statistical methods, main results, mediation findings, and cautious conclusion using association-based wording.</w:t>
            </w:r>
          </w:p>
        </w:tc>
      </w:tr>
      <w:tr w14:paraId="3E531FAA">
        <w:trPr>
          <w:cantSplit/>
          <w:jc w:val="center"/>
        </w:trPr>
        <w:tc>
          <w:tcPr>
            <w:tcW w:w="1584" w:type="dxa"/>
            <w:vAlign w:val="top"/>
          </w:tcPr>
          <w:p w14:paraId="041AF515">
            <w:pPr>
              <w:spacing w:after="0" w:line="240" w:lineRule="auto"/>
            </w:pPr>
            <w:r>
              <w:rPr>
                <w:b w:val="0"/>
                <w:sz w:val="15"/>
              </w:rPr>
              <w:t>Introduction</w:t>
            </w:r>
          </w:p>
        </w:tc>
        <w:tc>
          <w:tcPr>
            <w:tcW w:w="792" w:type="dxa"/>
            <w:vAlign w:val="top"/>
          </w:tcPr>
          <w:p w14:paraId="23621E5E">
            <w:pPr>
              <w:spacing w:after="0" w:line="240" w:lineRule="auto"/>
            </w:pPr>
            <w:r>
              <w:rPr>
                <w:b w:val="0"/>
                <w:sz w:val="15"/>
              </w:rPr>
              <w:t>2</w:t>
            </w:r>
          </w:p>
        </w:tc>
        <w:tc>
          <w:tcPr>
            <w:tcW w:w="3888" w:type="dxa"/>
            <w:vAlign w:val="top"/>
          </w:tcPr>
          <w:p w14:paraId="2E365D41">
            <w:pPr>
              <w:spacing w:after="0" w:line="240" w:lineRule="auto"/>
            </w:pPr>
            <w:r>
              <w:rPr>
                <w:b w:val="0"/>
                <w:sz w:val="15"/>
              </w:rPr>
              <w:t>Explain the scientific background and rationale for the investigation being reported.</w:t>
            </w:r>
          </w:p>
        </w:tc>
        <w:tc>
          <w:tcPr>
            <w:tcW w:w="1296" w:type="dxa"/>
            <w:vAlign w:val="top"/>
          </w:tcPr>
          <w:p w14:paraId="31C4772E">
            <w:pPr>
              <w:spacing w:after="0" w:line="240" w:lineRule="auto"/>
            </w:pPr>
            <w:r>
              <w:rPr>
                <w:b w:val="0"/>
                <w:sz w:val="15"/>
              </w:rPr>
              <w:t>Reported</w:t>
            </w:r>
          </w:p>
        </w:tc>
        <w:tc>
          <w:tcPr>
            <w:tcW w:w="2448" w:type="dxa"/>
            <w:vAlign w:val="top"/>
          </w:tcPr>
          <w:p w14:paraId="5F33754F">
            <w:pPr>
              <w:spacing w:after="0" w:line="240" w:lineRule="auto"/>
            </w:pPr>
            <w:r>
              <w:rPr>
                <w:b w:val="0"/>
                <w:sz w:val="15"/>
              </w:rPr>
              <w:t>Introduction, paragraphs 1–3</w:t>
            </w:r>
          </w:p>
        </w:tc>
        <w:tc>
          <w:tcPr>
            <w:tcW w:w="6480" w:type="dxa"/>
            <w:vAlign w:val="top"/>
          </w:tcPr>
          <w:p w14:paraId="1C440700">
            <w:pPr>
              <w:spacing w:after="0" w:line="240" w:lineRule="auto"/>
            </w:pPr>
            <w:r>
              <w:rPr>
                <w:b w:val="0"/>
                <w:sz w:val="15"/>
              </w:rPr>
              <w:t>The Introduction explains ALS prognosis, altered energy/lipid metabolism, inconsistent prior evidence, and the need for additional data in Chinese ALS cohorts.</w:t>
            </w:r>
          </w:p>
        </w:tc>
      </w:tr>
      <w:tr w14:paraId="0BA8AFEE">
        <w:trPr>
          <w:cantSplit/>
          <w:jc w:val="center"/>
        </w:trPr>
        <w:tc>
          <w:tcPr>
            <w:tcW w:w="1584" w:type="dxa"/>
            <w:vAlign w:val="top"/>
          </w:tcPr>
          <w:p w14:paraId="297E1710">
            <w:pPr>
              <w:spacing w:after="0" w:line="240" w:lineRule="auto"/>
            </w:pPr>
            <w:r>
              <w:rPr>
                <w:b w:val="0"/>
                <w:sz w:val="15"/>
              </w:rPr>
              <w:t>Introduction</w:t>
            </w:r>
          </w:p>
        </w:tc>
        <w:tc>
          <w:tcPr>
            <w:tcW w:w="792" w:type="dxa"/>
            <w:vAlign w:val="top"/>
          </w:tcPr>
          <w:p w14:paraId="601EBDE0">
            <w:pPr>
              <w:spacing w:after="0" w:line="240" w:lineRule="auto"/>
            </w:pPr>
            <w:r>
              <w:rPr>
                <w:b w:val="0"/>
                <w:sz w:val="15"/>
              </w:rPr>
              <w:t>3</w:t>
            </w:r>
          </w:p>
        </w:tc>
        <w:tc>
          <w:tcPr>
            <w:tcW w:w="3888" w:type="dxa"/>
            <w:vAlign w:val="top"/>
          </w:tcPr>
          <w:p w14:paraId="6771D64E">
            <w:pPr>
              <w:spacing w:after="0" w:line="240" w:lineRule="auto"/>
            </w:pPr>
            <w:r>
              <w:rPr>
                <w:b w:val="0"/>
                <w:sz w:val="15"/>
              </w:rPr>
              <w:t>State specific objectives, including any prespecified hypotheses.</w:t>
            </w:r>
          </w:p>
        </w:tc>
        <w:tc>
          <w:tcPr>
            <w:tcW w:w="1296" w:type="dxa"/>
            <w:vAlign w:val="top"/>
          </w:tcPr>
          <w:p w14:paraId="1DE664BF">
            <w:pPr>
              <w:spacing w:after="0" w:line="240" w:lineRule="auto"/>
            </w:pPr>
            <w:r>
              <w:rPr>
                <w:b w:val="0"/>
                <w:sz w:val="15"/>
              </w:rPr>
              <w:t>Reported</w:t>
            </w:r>
          </w:p>
        </w:tc>
        <w:tc>
          <w:tcPr>
            <w:tcW w:w="2448" w:type="dxa"/>
            <w:vAlign w:val="top"/>
          </w:tcPr>
          <w:p w14:paraId="5D31423A">
            <w:pPr>
              <w:spacing w:after="0" w:line="240" w:lineRule="auto"/>
            </w:pPr>
            <w:r>
              <w:rPr>
                <w:b w:val="0"/>
                <w:sz w:val="15"/>
              </w:rPr>
              <w:t>Abstract Background and final paragraph of Introduction</w:t>
            </w:r>
          </w:p>
        </w:tc>
        <w:tc>
          <w:tcPr>
            <w:tcW w:w="6480" w:type="dxa"/>
            <w:vAlign w:val="top"/>
          </w:tcPr>
          <w:p w14:paraId="348AE94E">
            <w:pPr>
              <w:spacing w:after="0" w:line="240" w:lineRule="auto"/>
            </w:pPr>
            <w:r>
              <w:rPr>
                <w:b w:val="0"/>
                <w:sz w:val="15"/>
              </w:rPr>
              <w:t>The objective is to evaluate associations between blood lipid levels and ALS progression and survival in a Chinese patient cohort.</w:t>
            </w:r>
          </w:p>
        </w:tc>
      </w:tr>
      <w:tr w14:paraId="15293291">
        <w:trPr>
          <w:cantSplit/>
          <w:jc w:val="center"/>
        </w:trPr>
        <w:tc>
          <w:tcPr>
            <w:tcW w:w="1584" w:type="dxa"/>
            <w:vAlign w:val="top"/>
          </w:tcPr>
          <w:p w14:paraId="5C7FE630">
            <w:pPr>
              <w:spacing w:after="0" w:line="240" w:lineRule="auto"/>
            </w:pPr>
            <w:r>
              <w:rPr>
                <w:b w:val="0"/>
                <w:sz w:val="15"/>
              </w:rPr>
              <w:t>Methods</w:t>
            </w:r>
          </w:p>
        </w:tc>
        <w:tc>
          <w:tcPr>
            <w:tcW w:w="792" w:type="dxa"/>
            <w:vAlign w:val="top"/>
          </w:tcPr>
          <w:p w14:paraId="1647D52B">
            <w:pPr>
              <w:spacing w:after="0" w:line="240" w:lineRule="auto"/>
            </w:pPr>
            <w:r>
              <w:rPr>
                <w:b w:val="0"/>
                <w:sz w:val="15"/>
              </w:rPr>
              <w:t>4</w:t>
            </w:r>
          </w:p>
        </w:tc>
        <w:tc>
          <w:tcPr>
            <w:tcW w:w="3888" w:type="dxa"/>
            <w:vAlign w:val="top"/>
          </w:tcPr>
          <w:p w14:paraId="306B6322">
            <w:pPr>
              <w:spacing w:after="0" w:line="240" w:lineRule="auto"/>
            </w:pPr>
            <w:r>
              <w:rPr>
                <w:b w:val="0"/>
                <w:sz w:val="15"/>
              </w:rPr>
              <w:t>Present key elements of study design early in the paper.</w:t>
            </w:r>
          </w:p>
        </w:tc>
        <w:tc>
          <w:tcPr>
            <w:tcW w:w="1296" w:type="dxa"/>
            <w:vAlign w:val="top"/>
          </w:tcPr>
          <w:p w14:paraId="42987BFD">
            <w:pPr>
              <w:spacing w:after="0" w:line="240" w:lineRule="auto"/>
            </w:pPr>
            <w:r>
              <w:rPr>
                <w:b w:val="0"/>
                <w:sz w:val="15"/>
              </w:rPr>
              <w:t>Reported</w:t>
            </w:r>
          </w:p>
        </w:tc>
        <w:tc>
          <w:tcPr>
            <w:tcW w:w="2448" w:type="dxa"/>
            <w:vAlign w:val="top"/>
          </w:tcPr>
          <w:p w14:paraId="00DCD39A">
            <w:pPr>
              <w:spacing w:after="0" w:line="240" w:lineRule="auto"/>
            </w:pPr>
            <w:r>
              <w:rPr>
                <w:b w:val="0"/>
                <w:sz w:val="15"/>
              </w:rPr>
              <w:t>Methods 2.1 Study design and participants</w:t>
            </w:r>
          </w:p>
        </w:tc>
        <w:tc>
          <w:tcPr>
            <w:tcW w:w="6480" w:type="dxa"/>
            <w:vAlign w:val="top"/>
          </w:tcPr>
          <w:p w14:paraId="6EED3B6E">
            <w:pPr>
              <w:spacing w:after="0" w:line="240" w:lineRule="auto"/>
            </w:pPr>
            <w:r>
              <w:rPr>
                <w:b w:val="0"/>
                <w:sz w:val="15"/>
              </w:rPr>
              <w:t>The study is described as a retrospective cohort study using an approved ALS registry/resource-bank cohort.</w:t>
            </w:r>
          </w:p>
        </w:tc>
      </w:tr>
      <w:bookmarkEnd w:id="0"/>
      <w:tr w14:paraId="48AA0081">
        <w:trPr>
          <w:cantSplit/>
          <w:jc w:val="center"/>
        </w:trPr>
        <w:tc>
          <w:tcPr>
            <w:tcW w:w="1584" w:type="dxa"/>
            <w:vAlign w:val="top"/>
          </w:tcPr>
          <w:p w14:paraId="7A72BF6A">
            <w:pPr>
              <w:spacing w:after="0" w:line="240" w:lineRule="auto"/>
            </w:pPr>
            <w:r>
              <w:rPr>
                <w:b w:val="0"/>
                <w:sz w:val="15"/>
              </w:rPr>
              <w:t>Methods</w:t>
            </w:r>
          </w:p>
        </w:tc>
        <w:tc>
          <w:tcPr>
            <w:tcW w:w="792" w:type="dxa"/>
            <w:vAlign w:val="top"/>
          </w:tcPr>
          <w:p w14:paraId="5BADB98E">
            <w:pPr>
              <w:spacing w:after="0" w:line="240" w:lineRule="auto"/>
            </w:pPr>
            <w:r>
              <w:rPr>
                <w:b w:val="0"/>
                <w:sz w:val="15"/>
              </w:rPr>
              <w:t>5</w:t>
            </w:r>
          </w:p>
        </w:tc>
        <w:tc>
          <w:tcPr>
            <w:tcW w:w="3888" w:type="dxa"/>
            <w:vAlign w:val="top"/>
          </w:tcPr>
          <w:p w14:paraId="0E3AA9FD">
            <w:pPr>
              <w:spacing w:after="0" w:line="240" w:lineRule="auto"/>
            </w:pPr>
            <w:r>
              <w:rPr>
                <w:b w:val="0"/>
                <w:sz w:val="15"/>
              </w:rPr>
              <w:t>Describe the setting, locations, and relevant dates, including periods of recruitment, exposure, follow-up, and data collection.</w:t>
            </w:r>
          </w:p>
        </w:tc>
        <w:tc>
          <w:tcPr>
            <w:tcW w:w="1296" w:type="dxa"/>
            <w:vAlign w:val="top"/>
          </w:tcPr>
          <w:p w14:paraId="4BCA1FD4">
            <w:pPr>
              <w:spacing w:after="0" w:line="240" w:lineRule="auto"/>
            </w:pPr>
            <w:r>
              <w:rPr>
                <w:b w:val="0"/>
                <w:sz w:val="15"/>
              </w:rPr>
              <w:t>Reported</w:t>
            </w:r>
          </w:p>
        </w:tc>
        <w:tc>
          <w:tcPr>
            <w:tcW w:w="2448" w:type="dxa"/>
            <w:vAlign w:val="top"/>
          </w:tcPr>
          <w:p w14:paraId="019BF026">
            <w:pPr>
              <w:spacing w:after="0" w:line="240" w:lineRule="auto"/>
            </w:pPr>
            <w:r>
              <w:rPr>
                <w:b w:val="0"/>
                <w:sz w:val="15"/>
              </w:rPr>
              <w:t>Methods 2.1; Results 3.1</w:t>
            </w:r>
          </w:p>
        </w:tc>
        <w:tc>
          <w:tcPr>
            <w:tcW w:w="6480" w:type="dxa"/>
            <w:vAlign w:val="top"/>
          </w:tcPr>
          <w:p w14:paraId="7C1535FE">
            <w:pPr>
              <w:spacing w:after="0" w:line="240" w:lineRule="auto"/>
            </w:pPr>
            <w:r>
              <w:rPr>
                <w:b w:val="0"/>
                <w:sz w:val="15"/>
              </w:rPr>
              <w:t>The manuscript reports the setting at Peking University Third Hospital, inclusion period 2007–2016, baseline definition, three-month baseline window, lipid measurement timing, follow-up every three months, and the 60-month administrative censoring window.</w:t>
            </w:r>
          </w:p>
        </w:tc>
      </w:tr>
      <w:tr w14:paraId="087260FC">
        <w:trPr>
          <w:cantSplit/>
          <w:jc w:val="center"/>
        </w:trPr>
        <w:tc>
          <w:tcPr>
            <w:tcW w:w="1584" w:type="dxa"/>
            <w:vAlign w:val="top"/>
          </w:tcPr>
          <w:p w14:paraId="1A231849">
            <w:pPr>
              <w:spacing w:after="0" w:line="240" w:lineRule="auto"/>
            </w:pPr>
            <w:r>
              <w:rPr>
                <w:b w:val="0"/>
                <w:sz w:val="15"/>
              </w:rPr>
              <w:t>Methods</w:t>
            </w:r>
          </w:p>
        </w:tc>
        <w:tc>
          <w:tcPr>
            <w:tcW w:w="792" w:type="dxa"/>
            <w:vAlign w:val="top"/>
          </w:tcPr>
          <w:p w14:paraId="2D02A029">
            <w:pPr>
              <w:spacing w:after="0" w:line="240" w:lineRule="auto"/>
            </w:pPr>
            <w:r>
              <w:rPr>
                <w:b w:val="0"/>
                <w:sz w:val="15"/>
              </w:rPr>
              <w:t>6(a)</w:t>
            </w:r>
          </w:p>
        </w:tc>
        <w:tc>
          <w:tcPr>
            <w:tcW w:w="3888" w:type="dxa"/>
            <w:vAlign w:val="top"/>
          </w:tcPr>
          <w:p w14:paraId="123D5D4C">
            <w:pPr>
              <w:spacing w:after="0" w:line="240" w:lineRule="auto"/>
            </w:pPr>
            <w:r>
              <w:rPr>
                <w:b w:val="0"/>
                <w:sz w:val="15"/>
              </w:rPr>
              <w:t>Give the eligibility criteria, and the sources and methods of selection of participants. Describe methods of follow-up.</w:t>
            </w:r>
          </w:p>
        </w:tc>
        <w:tc>
          <w:tcPr>
            <w:tcW w:w="1296" w:type="dxa"/>
            <w:vAlign w:val="top"/>
          </w:tcPr>
          <w:p w14:paraId="7D412271">
            <w:pPr>
              <w:spacing w:after="0" w:line="240" w:lineRule="auto"/>
            </w:pPr>
            <w:r>
              <w:rPr>
                <w:b w:val="0"/>
                <w:sz w:val="15"/>
              </w:rPr>
              <w:t>Reported</w:t>
            </w:r>
          </w:p>
        </w:tc>
        <w:tc>
          <w:tcPr>
            <w:tcW w:w="2448" w:type="dxa"/>
            <w:vAlign w:val="top"/>
          </w:tcPr>
          <w:p w14:paraId="67E2B552">
            <w:pPr>
              <w:spacing w:after="0" w:line="240" w:lineRule="auto"/>
            </w:pPr>
            <w:r>
              <w:rPr>
                <w:b w:val="0"/>
                <w:sz w:val="15"/>
              </w:rPr>
              <w:t>Methods 2.1; Figure 1; Results 3.1</w:t>
            </w:r>
          </w:p>
        </w:tc>
        <w:tc>
          <w:tcPr>
            <w:tcW w:w="6480" w:type="dxa"/>
            <w:vAlign w:val="top"/>
          </w:tcPr>
          <w:p w14:paraId="035A6737">
            <w:pPr>
              <w:spacing w:after="0" w:line="240" w:lineRule="auto"/>
            </w:pPr>
            <w:r>
              <w:rPr>
                <w:b w:val="0"/>
                <w:sz w:val="15"/>
              </w:rPr>
              <w:t>Eligible participants were ALS patients diagnosed using revised El Escorial criteria in the registry/resource-bank cohort. The manuscript states how baseline lipid data were obtained and describes telephone follow-up every three months until death, tracheotomy, or loss to follow-up.</w:t>
            </w:r>
          </w:p>
        </w:tc>
      </w:tr>
      <w:tr w14:paraId="500D13A6">
        <w:trPr>
          <w:cantSplit/>
          <w:jc w:val="center"/>
        </w:trPr>
        <w:tc>
          <w:tcPr>
            <w:tcW w:w="1584" w:type="dxa"/>
            <w:vAlign w:val="top"/>
          </w:tcPr>
          <w:p w14:paraId="7F6CDD6B">
            <w:pPr>
              <w:spacing w:after="0" w:line="240" w:lineRule="auto"/>
            </w:pPr>
            <w:r>
              <w:rPr>
                <w:b w:val="0"/>
                <w:sz w:val="15"/>
              </w:rPr>
              <w:t>Methods</w:t>
            </w:r>
          </w:p>
        </w:tc>
        <w:tc>
          <w:tcPr>
            <w:tcW w:w="792" w:type="dxa"/>
            <w:vAlign w:val="top"/>
          </w:tcPr>
          <w:p w14:paraId="67D02D6E">
            <w:pPr>
              <w:spacing w:after="0" w:line="240" w:lineRule="auto"/>
            </w:pPr>
            <w:r>
              <w:rPr>
                <w:b w:val="0"/>
                <w:sz w:val="15"/>
              </w:rPr>
              <w:t>6(b)</w:t>
            </w:r>
          </w:p>
        </w:tc>
        <w:tc>
          <w:tcPr>
            <w:tcW w:w="3888" w:type="dxa"/>
            <w:vAlign w:val="top"/>
          </w:tcPr>
          <w:p w14:paraId="3052C9F1">
            <w:pPr>
              <w:spacing w:after="0" w:line="240" w:lineRule="auto"/>
            </w:pPr>
            <w:r>
              <w:rPr>
                <w:b w:val="0"/>
                <w:sz w:val="15"/>
              </w:rPr>
              <w:t>For matched studies, give matching criteria and number of exposed and unexposed.</w:t>
            </w:r>
          </w:p>
        </w:tc>
        <w:tc>
          <w:tcPr>
            <w:tcW w:w="1296" w:type="dxa"/>
            <w:vAlign w:val="top"/>
          </w:tcPr>
          <w:p w14:paraId="6755622C">
            <w:pPr>
              <w:spacing w:after="0" w:line="240" w:lineRule="auto"/>
            </w:pPr>
            <w:r>
              <w:rPr>
                <w:b w:val="0"/>
                <w:sz w:val="15"/>
              </w:rPr>
              <w:t>Reported</w:t>
            </w:r>
          </w:p>
        </w:tc>
        <w:tc>
          <w:tcPr>
            <w:tcW w:w="2448" w:type="dxa"/>
            <w:vAlign w:val="top"/>
          </w:tcPr>
          <w:p w14:paraId="2D2EE0D3">
            <w:pPr>
              <w:spacing w:after="0" w:line="240" w:lineRule="auto"/>
            </w:pPr>
            <w:r>
              <w:rPr>
                <w:b w:val="0"/>
                <w:sz w:val="15"/>
              </w:rPr>
              <w:t>Methods 2.3; Supplementary Methods 1.1; Table 1; Table S8</w:t>
            </w:r>
          </w:p>
        </w:tc>
        <w:tc>
          <w:tcPr>
            <w:tcW w:w="6480" w:type="dxa"/>
            <w:vAlign w:val="top"/>
          </w:tcPr>
          <w:p w14:paraId="6AD2A240">
            <w:pPr>
              <w:spacing w:after="0" w:line="240" w:lineRule="auto"/>
            </w:pPr>
            <w:r>
              <w:rPr>
                <w:b w:val="0"/>
                <w:sz w:val="15"/>
              </w:rPr>
              <w:t>Propensity score matching was performed within multiply imputed datasets to balance patients with and without lipid data. The matching model, 1:5 ratio, caliper, exclusion rule, and post-matching comparisons are reported in the manuscript and supplementary materials.</w:t>
            </w:r>
          </w:p>
        </w:tc>
      </w:tr>
      <w:tr w14:paraId="0CDDF725">
        <w:trPr>
          <w:cantSplit/>
          <w:jc w:val="center"/>
        </w:trPr>
        <w:tc>
          <w:tcPr>
            <w:tcW w:w="1584" w:type="dxa"/>
            <w:vAlign w:val="top"/>
          </w:tcPr>
          <w:p w14:paraId="4A47CDF5">
            <w:pPr>
              <w:spacing w:after="0" w:line="240" w:lineRule="auto"/>
            </w:pPr>
            <w:r>
              <w:rPr>
                <w:b w:val="0"/>
                <w:sz w:val="15"/>
              </w:rPr>
              <w:t>Methods</w:t>
            </w:r>
          </w:p>
        </w:tc>
        <w:tc>
          <w:tcPr>
            <w:tcW w:w="792" w:type="dxa"/>
            <w:vAlign w:val="top"/>
          </w:tcPr>
          <w:p w14:paraId="1E2CB938">
            <w:pPr>
              <w:spacing w:after="0" w:line="240" w:lineRule="auto"/>
            </w:pPr>
            <w:r>
              <w:rPr>
                <w:b w:val="0"/>
                <w:sz w:val="15"/>
              </w:rPr>
              <w:t>7</w:t>
            </w:r>
          </w:p>
        </w:tc>
        <w:tc>
          <w:tcPr>
            <w:tcW w:w="3888" w:type="dxa"/>
            <w:vAlign w:val="top"/>
          </w:tcPr>
          <w:p w14:paraId="77790506">
            <w:pPr>
              <w:spacing w:after="0" w:line="240" w:lineRule="auto"/>
            </w:pPr>
            <w:r>
              <w:rPr>
                <w:b w:val="0"/>
                <w:sz w:val="15"/>
              </w:rPr>
              <w:t>Clearly define all outcomes, exposures, predictors, potential confounders, and effect modifiers. Give diagnostic criteria, if applicable.</w:t>
            </w:r>
          </w:p>
        </w:tc>
        <w:tc>
          <w:tcPr>
            <w:tcW w:w="1296" w:type="dxa"/>
            <w:vAlign w:val="top"/>
          </w:tcPr>
          <w:p w14:paraId="1DA885CF">
            <w:pPr>
              <w:spacing w:after="0" w:line="240" w:lineRule="auto"/>
            </w:pPr>
            <w:r>
              <w:rPr>
                <w:b w:val="0"/>
                <w:sz w:val="15"/>
              </w:rPr>
              <w:t>Reported</w:t>
            </w:r>
          </w:p>
        </w:tc>
        <w:tc>
          <w:tcPr>
            <w:tcW w:w="2448" w:type="dxa"/>
            <w:vAlign w:val="top"/>
          </w:tcPr>
          <w:p w14:paraId="540B70C9">
            <w:pPr>
              <w:spacing w:after="0" w:line="240" w:lineRule="auto"/>
            </w:pPr>
            <w:r>
              <w:rPr>
                <w:b w:val="0"/>
                <w:sz w:val="15"/>
              </w:rPr>
              <w:t>Methods 2.1–2.3; Supplementary Methods 1.2–1.7; Table S1</w:t>
            </w:r>
          </w:p>
        </w:tc>
        <w:tc>
          <w:tcPr>
            <w:tcW w:w="6480" w:type="dxa"/>
            <w:vAlign w:val="top"/>
          </w:tcPr>
          <w:p w14:paraId="18D57033">
            <w:pPr>
              <w:spacing w:after="0" w:line="240" w:lineRule="auto"/>
            </w:pPr>
            <w:r>
              <w:rPr>
                <w:b w:val="0"/>
                <w:sz w:val="15"/>
              </w:rPr>
              <w:t>Lipid markers, ALS diagnostic criteria, survival outcome, functional progression rate, baseline ALSFRS-R slope, covariates, sex-stratified analyses, BMI mediation analysis, and coding of variables are defined.</w:t>
            </w:r>
          </w:p>
        </w:tc>
      </w:tr>
      <w:tr w14:paraId="35BEF341">
        <w:trPr>
          <w:cantSplit/>
          <w:jc w:val="center"/>
        </w:trPr>
        <w:tc>
          <w:tcPr>
            <w:tcW w:w="1584" w:type="dxa"/>
            <w:vAlign w:val="top"/>
          </w:tcPr>
          <w:p w14:paraId="46479E4B">
            <w:pPr>
              <w:spacing w:after="0" w:line="240" w:lineRule="auto"/>
            </w:pPr>
            <w:r>
              <w:rPr>
                <w:b w:val="0"/>
                <w:sz w:val="15"/>
              </w:rPr>
              <w:t>Methods</w:t>
            </w:r>
          </w:p>
        </w:tc>
        <w:tc>
          <w:tcPr>
            <w:tcW w:w="792" w:type="dxa"/>
            <w:vAlign w:val="top"/>
          </w:tcPr>
          <w:p w14:paraId="43F03D63">
            <w:pPr>
              <w:spacing w:after="0" w:line="240" w:lineRule="auto"/>
            </w:pPr>
            <w:r>
              <w:rPr>
                <w:b w:val="0"/>
                <w:sz w:val="15"/>
              </w:rPr>
              <w:t>8</w:t>
            </w:r>
          </w:p>
        </w:tc>
        <w:tc>
          <w:tcPr>
            <w:tcW w:w="3888" w:type="dxa"/>
            <w:vAlign w:val="top"/>
          </w:tcPr>
          <w:p w14:paraId="665BA3B3">
            <w:pPr>
              <w:spacing w:after="0" w:line="240" w:lineRule="auto"/>
            </w:pPr>
            <w:r>
              <w:rPr>
                <w:b w:val="0"/>
                <w:sz w:val="15"/>
              </w:rPr>
              <w:t>For each variable of interest, give sources of data and details of methods of assessment/measurement. Describe comparability of assessment methods if there is more than one group.</w:t>
            </w:r>
          </w:p>
        </w:tc>
        <w:tc>
          <w:tcPr>
            <w:tcW w:w="1296" w:type="dxa"/>
            <w:vAlign w:val="top"/>
          </w:tcPr>
          <w:p w14:paraId="59462466">
            <w:pPr>
              <w:spacing w:after="0" w:line="240" w:lineRule="auto"/>
            </w:pPr>
            <w:r>
              <w:rPr>
                <w:b w:val="0"/>
                <w:sz w:val="15"/>
              </w:rPr>
              <w:t>Reported</w:t>
            </w:r>
          </w:p>
        </w:tc>
        <w:tc>
          <w:tcPr>
            <w:tcW w:w="2448" w:type="dxa"/>
            <w:vAlign w:val="top"/>
          </w:tcPr>
          <w:p w14:paraId="62984A12">
            <w:pPr>
              <w:spacing w:after="0" w:line="240" w:lineRule="auto"/>
            </w:pPr>
            <w:r>
              <w:rPr>
                <w:b w:val="0"/>
                <w:sz w:val="15"/>
              </w:rPr>
              <w:t>Methods 2.1–2.2; Supplementary Methods 1.1–1.2; Table S1</w:t>
            </w:r>
          </w:p>
        </w:tc>
        <w:tc>
          <w:tcPr>
            <w:tcW w:w="6480" w:type="dxa"/>
            <w:vAlign w:val="top"/>
          </w:tcPr>
          <w:p w14:paraId="4325DBC7">
            <w:pPr>
              <w:spacing w:after="0" w:line="240" w:lineRule="auto"/>
            </w:pPr>
            <w:r>
              <w:rPr>
                <w:b w:val="0"/>
                <w:sz w:val="15"/>
              </w:rPr>
              <w:t>The manuscript describes registry/resource-bank data, laboratory lipid analyses using standardized procedures, structured questionnaires for clinical/lifestyle data, ALSFRS-R follow-up, and derived outcome calculations.</w:t>
            </w:r>
          </w:p>
        </w:tc>
      </w:tr>
      <w:tr w14:paraId="11C3CF8D">
        <w:trPr>
          <w:cantSplit/>
          <w:jc w:val="center"/>
        </w:trPr>
        <w:tc>
          <w:tcPr>
            <w:tcW w:w="1584" w:type="dxa"/>
            <w:vAlign w:val="top"/>
          </w:tcPr>
          <w:p w14:paraId="79359501">
            <w:pPr>
              <w:spacing w:after="0" w:line="240" w:lineRule="auto"/>
            </w:pPr>
            <w:r>
              <w:rPr>
                <w:b w:val="0"/>
                <w:sz w:val="15"/>
              </w:rPr>
              <w:t>Methods</w:t>
            </w:r>
          </w:p>
        </w:tc>
        <w:tc>
          <w:tcPr>
            <w:tcW w:w="792" w:type="dxa"/>
            <w:vAlign w:val="top"/>
          </w:tcPr>
          <w:p w14:paraId="71C324F2">
            <w:pPr>
              <w:spacing w:after="0" w:line="240" w:lineRule="auto"/>
            </w:pPr>
            <w:r>
              <w:rPr>
                <w:b w:val="0"/>
                <w:sz w:val="15"/>
              </w:rPr>
              <w:t>9</w:t>
            </w:r>
          </w:p>
        </w:tc>
        <w:tc>
          <w:tcPr>
            <w:tcW w:w="3888" w:type="dxa"/>
            <w:vAlign w:val="top"/>
          </w:tcPr>
          <w:p w14:paraId="537E15D9">
            <w:pPr>
              <w:spacing w:after="0" w:line="240" w:lineRule="auto"/>
            </w:pPr>
            <w:r>
              <w:rPr>
                <w:b w:val="0"/>
                <w:sz w:val="15"/>
              </w:rPr>
              <w:t>Describe any efforts to address potential sources of bias.</w:t>
            </w:r>
          </w:p>
        </w:tc>
        <w:tc>
          <w:tcPr>
            <w:tcW w:w="1296" w:type="dxa"/>
            <w:vAlign w:val="top"/>
          </w:tcPr>
          <w:p w14:paraId="12FC8621">
            <w:pPr>
              <w:spacing w:after="0" w:line="240" w:lineRule="auto"/>
            </w:pPr>
            <w:r>
              <w:rPr>
                <w:b w:val="0"/>
                <w:sz w:val="15"/>
              </w:rPr>
              <w:t>Reported</w:t>
            </w:r>
          </w:p>
        </w:tc>
        <w:tc>
          <w:tcPr>
            <w:tcW w:w="2448" w:type="dxa"/>
            <w:vAlign w:val="top"/>
          </w:tcPr>
          <w:p w14:paraId="2178B2DF">
            <w:pPr>
              <w:spacing w:after="0" w:line="240" w:lineRule="auto"/>
            </w:pPr>
            <w:r>
              <w:rPr>
                <w:b w:val="0"/>
                <w:sz w:val="15"/>
              </w:rPr>
              <w:t>Methods 2.1 and 2.3; Results 3.1; Discussion 4.6–4.7; Supplementary Methods 1.1 and 1.8.1</w:t>
            </w:r>
          </w:p>
        </w:tc>
        <w:tc>
          <w:tcPr>
            <w:tcW w:w="6480" w:type="dxa"/>
            <w:vAlign w:val="top"/>
          </w:tcPr>
          <w:p w14:paraId="5ADAD13F">
            <w:pPr>
              <w:spacing w:after="0" w:line="240" w:lineRule="auto"/>
            </w:pPr>
            <w:r>
              <w:rPr>
                <w:b w:val="0"/>
                <w:sz w:val="15"/>
              </w:rPr>
              <w:t>Selection bias was addressed using PSM within multiply imputed datasets. Attrition bias was assessed by comparing lost-to-follow-up and ascertainable-outcome patients at 60 and 36 months. Residual selection bias, informative censoring, reverse causality, and unmeasured confounding are explicitly discussed.</w:t>
            </w:r>
          </w:p>
        </w:tc>
      </w:tr>
      <w:tr w14:paraId="3678A74C">
        <w:trPr>
          <w:cantSplit/>
          <w:jc w:val="center"/>
        </w:trPr>
        <w:tc>
          <w:tcPr>
            <w:tcW w:w="1584" w:type="dxa"/>
            <w:vAlign w:val="top"/>
          </w:tcPr>
          <w:p w14:paraId="5B64E49E">
            <w:pPr>
              <w:spacing w:after="0" w:line="240" w:lineRule="auto"/>
            </w:pPr>
            <w:r>
              <w:rPr>
                <w:b w:val="0"/>
                <w:sz w:val="15"/>
              </w:rPr>
              <w:t>Methods</w:t>
            </w:r>
          </w:p>
        </w:tc>
        <w:tc>
          <w:tcPr>
            <w:tcW w:w="792" w:type="dxa"/>
            <w:vAlign w:val="top"/>
          </w:tcPr>
          <w:p w14:paraId="3A8AE0F8">
            <w:pPr>
              <w:spacing w:after="0" w:line="240" w:lineRule="auto"/>
            </w:pPr>
            <w:r>
              <w:rPr>
                <w:b w:val="0"/>
                <w:sz w:val="15"/>
              </w:rPr>
              <w:t>10</w:t>
            </w:r>
          </w:p>
        </w:tc>
        <w:tc>
          <w:tcPr>
            <w:tcW w:w="3888" w:type="dxa"/>
            <w:vAlign w:val="top"/>
          </w:tcPr>
          <w:p w14:paraId="4042F69F">
            <w:pPr>
              <w:spacing w:after="0" w:line="240" w:lineRule="auto"/>
            </w:pPr>
            <w:r>
              <w:rPr>
                <w:b w:val="0"/>
                <w:sz w:val="15"/>
              </w:rPr>
              <w:t>Explain how the study size was arrived at.</w:t>
            </w:r>
          </w:p>
        </w:tc>
        <w:tc>
          <w:tcPr>
            <w:tcW w:w="1296" w:type="dxa"/>
            <w:vAlign w:val="top"/>
          </w:tcPr>
          <w:p w14:paraId="6428AC14">
            <w:pPr>
              <w:spacing w:after="0" w:line="240" w:lineRule="auto"/>
            </w:pPr>
            <w:r>
              <w:rPr>
                <w:b w:val="0"/>
                <w:sz w:val="15"/>
              </w:rPr>
              <w:t>Reported</w:t>
            </w:r>
          </w:p>
        </w:tc>
        <w:tc>
          <w:tcPr>
            <w:tcW w:w="2448" w:type="dxa"/>
            <w:vAlign w:val="top"/>
          </w:tcPr>
          <w:p w14:paraId="32BF2182">
            <w:pPr>
              <w:spacing w:after="0" w:line="240" w:lineRule="auto"/>
            </w:pPr>
            <w:r>
              <w:rPr>
                <w:b w:val="0"/>
                <w:sz w:val="15"/>
              </w:rPr>
              <w:t>Methods 2.1; Results 3.1; Figure 1</w:t>
            </w:r>
          </w:p>
        </w:tc>
        <w:tc>
          <w:tcPr>
            <w:tcW w:w="6480" w:type="dxa"/>
            <w:vAlign w:val="top"/>
          </w:tcPr>
          <w:p w14:paraId="1D99926D">
            <w:pPr>
              <w:spacing w:after="0" w:line="240" w:lineRule="auto"/>
            </w:pPr>
            <w:r>
              <w:rPr>
                <w:b w:val="0"/>
                <w:sz w:val="15"/>
              </w:rPr>
              <w:t>The study used all eligible ALS patients in the registry during 2007–2016. The manuscript reports 1,562 eligible patients, 281 with baseline lipid measurements, and 221 included in the final analyses. No a priori sample-size calculation was used, consistent with the retrospective cohort design.</w:t>
            </w:r>
          </w:p>
        </w:tc>
      </w:tr>
      <w:tr w14:paraId="7F759299">
        <w:trPr>
          <w:cantSplit/>
          <w:jc w:val="center"/>
        </w:trPr>
        <w:tc>
          <w:tcPr>
            <w:tcW w:w="1584" w:type="dxa"/>
            <w:vAlign w:val="top"/>
          </w:tcPr>
          <w:p w14:paraId="7665DD3D">
            <w:pPr>
              <w:spacing w:after="0" w:line="240" w:lineRule="auto"/>
            </w:pPr>
            <w:r>
              <w:rPr>
                <w:b w:val="0"/>
                <w:sz w:val="15"/>
              </w:rPr>
              <w:t>Methods</w:t>
            </w:r>
          </w:p>
        </w:tc>
        <w:tc>
          <w:tcPr>
            <w:tcW w:w="792" w:type="dxa"/>
            <w:vAlign w:val="top"/>
          </w:tcPr>
          <w:p w14:paraId="06CBA1C6">
            <w:pPr>
              <w:spacing w:after="0" w:line="240" w:lineRule="auto"/>
            </w:pPr>
            <w:r>
              <w:rPr>
                <w:b w:val="0"/>
                <w:sz w:val="15"/>
              </w:rPr>
              <w:t>11</w:t>
            </w:r>
          </w:p>
        </w:tc>
        <w:tc>
          <w:tcPr>
            <w:tcW w:w="3888" w:type="dxa"/>
            <w:vAlign w:val="top"/>
          </w:tcPr>
          <w:p w14:paraId="332E9ED8">
            <w:pPr>
              <w:spacing w:after="0" w:line="240" w:lineRule="auto"/>
            </w:pPr>
            <w:r>
              <w:rPr>
                <w:b w:val="0"/>
                <w:sz w:val="15"/>
              </w:rPr>
              <w:t>Explain how quantitative variables were handled in the analyses. If applicable, describe which groupings were chosen and why.</w:t>
            </w:r>
          </w:p>
        </w:tc>
        <w:tc>
          <w:tcPr>
            <w:tcW w:w="1296" w:type="dxa"/>
            <w:vAlign w:val="top"/>
          </w:tcPr>
          <w:p w14:paraId="68731ECD">
            <w:pPr>
              <w:spacing w:after="0" w:line="240" w:lineRule="auto"/>
            </w:pPr>
            <w:r>
              <w:rPr>
                <w:b w:val="0"/>
                <w:sz w:val="15"/>
              </w:rPr>
              <w:t>Reported</w:t>
            </w:r>
          </w:p>
        </w:tc>
        <w:tc>
          <w:tcPr>
            <w:tcW w:w="2448" w:type="dxa"/>
            <w:vAlign w:val="top"/>
          </w:tcPr>
          <w:p w14:paraId="1798C5A2">
            <w:pPr>
              <w:spacing w:after="0" w:line="240" w:lineRule="auto"/>
            </w:pPr>
            <w:r>
              <w:rPr>
                <w:b w:val="0"/>
                <w:sz w:val="15"/>
              </w:rPr>
              <w:t>Methods 2.2–2.3; Supplementary Methods 1.2–1.7</w:t>
            </w:r>
          </w:p>
        </w:tc>
        <w:tc>
          <w:tcPr>
            <w:tcW w:w="6480" w:type="dxa"/>
            <w:vAlign w:val="top"/>
          </w:tcPr>
          <w:p w14:paraId="02423BED">
            <w:pPr>
              <w:spacing w:after="0" w:line="240" w:lineRule="auto"/>
            </w:pPr>
            <w:r>
              <w:rPr>
                <w:b w:val="0"/>
                <w:sz w:val="15"/>
              </w:rPr>
              <w:t>Continuous lipid markers were analysed in regression/Cox models; PR and ΔFRS-R formulas are provided. For Kaplan–Meier analyses, lipid markers were categorized using distribution-based cutoffs including quartiles, tertiles, and median.</w:t>
            </w:r>
          </w:p>
        </w:tc>
      </w:tr>
      <w:tr w14:paraId="3955EB31">
        <w:trPr>
          <w:cantSplit/>
          <w:jc w:val="center"/>
        </w:trPr>
        <w:tc>
          <w:tcPr>
            <w:tcW w:w="1584" w:type="dxa"/>
            <w:vAlign w:val="top"/>
          </w:tcPr>
          <w:p w14:paraId="3172B5D7">
            <w:pPr>
              <w:spacing w:after="0" w:line="240" w:lineRule="auto"/>
            </w:pPr>
            <w:r>
              <w:rPr>
                <w:b w:val="0"/>
                <w:sz w:val="15"/>
              </w:rPr>
              <w:t>Methods</w:t>
            </w:r>
          </w:p>
        </w:tc>
        <w:tc>
          <w:tcPr>
            <w:tcW w:w="792" w:type="dxa"/>
            <w:vAlign w:val="top"/>
          </w:tcPr>
          <w:p w14:paraId="76C2AB56">
            <w:pPr>
              <w:spacing w:after="0" w:line="240" w:lineRule="auto"/>
            </w:pPr>
            <w:r>
              <w:rPr>
                <w:b w:val="0"/>
                <w:sz w:val="15"/>
              </w:rPr>
              <w:t>12(a)</w:t>
            </w:r>
          </w:p>
        </w:tc>
        <w:tc>
          <w:tcPr>
            <w:tcW w:w="3888" w:type="dxa"/>
            <w:vAlign w:val="top"/>
          </w:tcPr>
          <w:p w14:paraId="1A8DE01D">
            <w:pPr>
              <w:spacing w:after="0" w:line="240" w:lineRule="auto"/>
            </w:pPr>
            <w:r>
              <w:rPr>
                <w:b w:val="0"/>
                <w:sz w:val="15"/>
              </w:rPr>
              <w:t>Describe all statistical methods, including those used to control for confounding.</w:t>
            </w:r>
          </w:p>
        </w:tc>
        <w:tc>
          <w:tcPr>
            <w:tcW w:w="1296" w:type="dxa"/>
            <w:vAlign w:val="top"/>
          </w:tcPr>
          <w:p w14:paraId="5DC0B51C">
            <w:pPr>
              <w:spacing w:after="0" w:line="240" w:lineRule="auto"/>
            </w:pPr>
            <w:r>
              <w:rPr>
                <w:b w:val="0"/>
                <w:sz w:val="15"/>
              </w:rPr>
              <w:t>Reported</w:t>
            </w:r>
          </w:p>
        </w:tc>
        <w:tc>
          <w:tcPr>
            <w:tcW w:w="2448" w:type="dxa"/>
            <w:vAlign w:val="top"/>
          </w:tcPr>
          <w:p w14:paraId="47D12012">
            <w:pPr>
              <w:spacing w:after="0" w:line="240" w:lineRule="auto"/>
            </w:pPr>
            <w:r>
              <w:rPr>
                <w:b w:val="0"/>
                <w:sz w:val="15"/>
              </w:rPr>
              <w:t>Methods 2.3; Supplementary Methods 1.1–1.9</w:t>
            </w:r>
          </w:p>
        </w:tc>
        <w:tc>
          <w:tcPr>
            <w:tcW w:w="6480" w:type="dxa"/>
            <w:vAlign w:val="top"/>
          </w:tcPr>
          <w:p w14:paraId="4653877E">
            <w:pPr>
              <w:spacing w:after="0" w:line="240" w:lineRule="auto"/>
            </w:pPr>
            <w:r>
              <w:rPr>
                <w:b w:val="0"/>
                <w:sz w:val="15"/>
              </w:rPr>
              <w:t>The manuscript reports MICE, PSM, linear regression, Kaplan–Meier/log-rank analyses, Cox models, mediation analyses, Rubin’s rules, FDR correction, and adjustment covariate sets.</w:t>
            </w:r>
          </w:p>
        </w:tc>
      </w:tr>
      <w:tr w14:paraId="7EA4A57E">
        <w:trPr>
          <w:cantSplit/>
          <w:jc w:val="center"/>
        </w:trPr>
        <w:tc>
          <w:tcPr>
            <w:tcW w:w="1584" w:type="dxa"/>
            <w:vAlign w:val="top"/>
          </w:tcPr>
          <w:p w14:paraId="5D7B87D7">
            <w:pPr>
              <w:spacing w:after="0" w:line="240" w:lineRule="auto"/>
            </w:pPr>
            <w:r>
              <w:rPr>
                <w:b w:val="0"/>
                <w:sz w:val="15"/>
              </w:rPr>
              <w:t>Methods</w:t>
            </w:r>
          </w:p>
        </w:tc>
        <w:tc>
          <w:tcPr>
            <w:tcW w:w="792" w:type="dxa"/>
            <w:vAlign w:val="top"/>
          </w:tcPr>
          <w:p w14:paraId="3A5E75B8">
            <w:pPr>
              <w:spacing w:after="0" w:line="240" w:lineRule="auto"/>
            </w:pPr>
            <w:r>
              <w:rPr>
                <w:b w:val="0"/>
                <w:sz w:val="15"/>
              </w:rPr>
              <w:t>12(b)</w:t>
            </w:r>
          </w:p>
        </w:tc>
        <w:tc>
          <w:tcPr>
            <w:tcW w:w="3888" w:type="dxa"/>
            <w:vAlign w:val="top"/>
          </w:tcPr>
          <w:p w14:paraId="17A94462">
            <w:pPr>
              <w:spacing w:after="0" w:line="240" w:lineRule="auto"/>
            </w:pPr>
            <w:r>
              <w:rPr>
                <w:b w:val="0"/>
                <w:sz w:val="15"/>
              </w:rPr>
              <w:t>Describe any methods used to examine subgroups and interactions.</w:t>
            </w:r>
          </w:p>
        </w:tc>
        <w:tc>
          <w:tcPr>
            <w:tcW w:w="1296" w:type="dxa"/>
            <w:vAlign w:val="top"/>
          </w:tcPr>
          <w:p w14:paraId="01422183">
            <w:pPr>
              <w:spacing w:after="0" w:line="240" w:lineRule="auto"/>
            </w:pPr>
            <w:r>
              <w:rPr>
                <w:b w:val="0"/>
                <w:sz w:val="15"/>
              </w:rPr>
              <w:t>Reported</w:t>
            </w:r>
          </w:p>
        </w:tc>
        <w:tc>
          <w:tcPr>
            <w:tcW w:w="2448" w:type="dxa"/>
            <w:vAlign w:val="top"/>
          </w:tcPr>
          <w:p w14:paraId="7EC22FF4">
            <w:pPr>
              <w:spacing w:after="0" w:line="240" w:lineRule="auto"/>
            </w:pPr>
            <w:r>
              <w:rPr>
                <w:b w:val="0"/>
                <w:sz w:val="15"/>
              </w:rPr>
              <w:t>Methods 2.3; Results 3.4; Supplementary Methods 1.5–1.7; Tables S4–S7 and S9</w:t>
            </w:r>
          </w:p>
        </w:tc>
        <w:tc>
          <w:tcPr>
            <w:tcW w:w="6480" w:type="dxa"/>
            <w:vAlign w:val="top"/>
          </w:tcPr>
          <w:p w14:paraId="64F1F922">
            <w:pPr>
              <w:spacing w:after="0" w:line="240" w:lineRule="auto"/>
            </w:pPr>
            <w:r>
              <w:rPr>
                <w:b w:val="0"/>
                <w:sz w:val="15"/>
              </w:rPr>
              <w:t>Sex-stratified subgroup analyses were conducted for Kaplan–Meier, Cox, and mediation analyses. The manuscript interprets subgroup findings cautiously because of limited events.</w:t>
            </w:r>
          </w:p>
        </w:tc>
      </w:tr>
      <w:tr w14:paraId="6241F572">
        <w:trPr>
          <w:cantSplit/>
          <w:jc w:val="center"/>
        </w:trPr>
        <w:tc>
          <w:tcPr>
            <w:tcW w:w="1584" w:type="dxa"/>
            <w:vAlign w:val="top"/>
          </w:tcPr>
          <w:p w14:paraId="1BAF6894">
            <w:pPr>
              <w:spacing w:after="0" w:line="240" w:lineRule="auto"/>
            </w:pPr>
            <w:r>
              <w:rPr>
                <w:b w:val="0"/>
                <w:sz w:val="15"/>
              </w:rPr>
              <w:t>Methods</w:t>
            </w:r>
          </w:p>
        </w:tc>
        <w:tc>
          <w:tcPr>
            <w:tcW w:w="792" w:type="dxa"/>
            <w:vAlign w:val="top"/>
          </w:tcPr>
          <w:p w14:paraId="47BB8362">
            <w:pPr>
              <w:spacing w:after="0" w:line="240" w:lineRule="auto"/>
            </w:pPr>
            <w:r>
              <w:rPr>
                <w:b w:val="0"/>
                <w:sz w:val="15"/>
              </w:rPr>
              <w:t>12(c)</w:t>
            </w:r>
          </w:p>
        </w:tc>
        <w:tc>
          <w:tcPr>
            <w:tcW w:w="3888" w:type="dxa"/>
            <w:vAlign w:val="top"/>
          </w:tcPr>
          <w:p w14:paraId="3715B4B2">
            <w:pPr>
              <w:spacing w:after="0" w:line="240" w:lineRule="auto"/>
            </w:pPr>
            <w:r>
              <w:rPr>
                <w:b w:val="0"/>
                <w:sz w:val="15"/>
              </w:rPr>
              <w:t>Explain how missing data were addressed.</w:t>
            </w:r>
          </w:p>
        </w:tc>
        <w:tc>
          <w:tcPr>
            <w:tcW w:w="1296" w:type="dxa"/>
            <w:vAlign w:val="top"/>
          </w:tcPr>
          <w:p w14:paraId="0017B9AE">
            <w:pPr>
              <w:spacing w:after="0" w:line="240" w:lineRule="auto"/>
            </w:pPr>
            <w:r>
              <w:rPr>
                <w:b w:val="0"/>
                <w:sz w:val="15"/>
              </w:rPr>
              <w:t>Reported</w:t>
            </w:r>
          </w:p>
        </w:tc>
        <w:tc>
          <w:tcPr>
            <w:tcW w:w="2448" w:type="dxa"/>
            <w:vAlign w:val="top"/>
          </w:tcPr>
          <w:p w14:paraId="725AFCF5">
            <w:pPr>
              <w:spacing w:after="0" w:line="240" w:lineRule="auto"/>
            </w:pPr>
            <w:r>
              <w:rPr>
                <w:b w:val="0"/>
                <w:sz w:val="15"/>
              </w:rPr>
              <w:t>Methods 2.3; Supplementary Methods 1.1 and 1.8.2; Table S6</w:t>
            </w:r>
          </w:p>
        </w:tc>
        <w:tc>
          <w:tcPr>
            <w:tcW w:w="6480" w:type="dxa"/>
            <w:vAlign w:val="top"/>
          </w:tcPr>
          <w:p w14:paraId="7C0F99B1">
            <w:pPr>
              <w:spacing w:after="0" w:line="240" w:lineRule="auto"/>
            </w:pPr>
            <w:r>
              <w:rPr>
                <w:b w:val="0"/>
                <w:sz w:val="15"/>
              </w:rPr>
              <w:t>Missing data were handled using multiple imputation by chained equations with 50 imputed datasets. Sensitivity analyses using observed lipid records without lipid imputation are described.</w:t>
            </w:r>
          </w:p>
        </w:tc>
      </w:tr>
      <w:tr w14:paraId="45863DFA">
        <w:trPr>
          <w:cantSplit/>
          <w:jc w:val="center"/>
        </w:trPr>
        <w:tc>
          <w:tcPr>
            <w:tcW w:w="1584" w:type="dxa"/>
            <w:vAlign w:val="top"/>
          </w:tcPr>
          <w:p w14:paraId="1BF0D01D">
            <w:pPr>
              <w:spacing w:after="0" w:line="240" w:lineRule="auto"/>
            </w:pPr>
            <w:r>
              <w:rPr>
                <w:b w:val="0"/>
                <w:sz w:val="15"/>
              </w:rPr>
              <w:t>Methods</w:t>
            </w:r>
          </w:p>
        </w:tc>
        <w:tc>
          <w:tcPr>
            <w:tcW w:w="792" w:type="dxa"/>
            <w:vAlign w:val="top"/>
          </w:tcPr>
          <w:p w14:paraId="63B17D87">
            <w:pPr>
              <w:spacing w:after="0" w:line="240" w:lineRule="auto"/>
            </w:pPr>
            <w:r>
              <w:rPr>
                <w:b w:val="0"/>
                <w:sz w:val="15"/>
              </w:rPr>
              <w:t>12(d)</w:t>
            </w:r>
          </w:p>
        </w:tc>
        <w:tc>
          <w:tcPr>
            <w:tcW w:w="3888" w:type="dxa"/>
            <w:vAlign w:val="top"/>
          </w:tcPr>
          <w:p w14:paraId="70DC626C">
            <w:pPr>
              <w:spacing w:after="0" w:line="240" w:lineRule="auto"/>
            </w:pPr>
            <w:r>
              <w:rPr>
                <w:b w:val="0"/>
                <w:sz w:val="15"/>
              </w:rPr>
              <w:t>If applicable, explain how loss to follow-up was addressed.</w:t>
            </w:r>
          </w:p>
        </w:tc>
        <w:tc>
          <w:tcPr>
            <w:tcW w:w="1296" w:type="dxa"/>
            <w:vAlign w:val="top"/>
          </w:tcPr>
          <w:p w14:paraId="4938E287">
            <w:pPr>
              <w:spacing w:after="0" w:line="240" w:lineRule="auto"/>
            </w:pPr>
            <w:r>
              <w:rPr>
                <w:b w:val="0"/>
                <w:sz w:val="15"/>
              </w:rPr>
              <w:t>Reported</w:t>
            </w:r>
          </w:p>
        </w:tc>
        <w:tc>
          <w:tcPr>
            <w:tcW w:w="2448" w:type="dxa"/>
            <w:vAlign w:val="top"/>
          </w:tcPr>
          <w:p w14:paraId="33C02EBD">
            <w:pPr>
              <w:spacing w:after="0" w:line="240" w:lineRule="auto"/>
            </w:pPr>
            <w:r>
              <w:rPr>
                <w:b w:val="0"/>
                <w:sz w:val="15"/>
              </w:rPr>
              <w:t>Methods 2.1; Results 3.1; Supplementary Methods 1.8.1; Table S10; Discussion 4.7</w:t>
            </w:r>
          </w:p>
        </w:tc>
        <w:tc>
          <w:tcPr>
            <w:tcW w:w="6480" w:type="dxa"/>
            <w:vAlign w:val="top"/>
          </w:tcPr>
          <w:p w14:paraId="707DC8B8">
            <w:pPr>
              <w:spacing w:after="0" w:line="240" w:lineRule="auto"/>
            </w:pPr>
            <w:r>
              <w:rPr>
                <w:b w:val="0"/>
                <w:sz w:val="15"/>
              </w:rPr>
              <w:t>Loss to follow-up was defined in Methods. A post hoc baseline comparison between lost-to-follow-up and ascertainable-outcome patients was performed under 60-month and 36-month censoring windows and discussed as a potential source of informative censoring.</w:t>
            </w:r>
          </w:p>
        </w:tc>
      </w:tr>
      <w:tr w14:paraId="6A9433CE">
        <w:trPr>
          <w:cantSplit/>
          <w:jc w:val="center"/>
        </w:trPr>
        <w:tc>
          <w:tcPr>
            <w:tcW w:w="1584" w:type="dxa"/>
            <w:vAlign w:val="top"/>
          </w:tcPr>
          <w:p w14:paraId="349B3BC4">
            <w:pPr>
              <w:spacing w:after="0" w:line="240" w:lineRule="auto"/>
            </w:pPr>
            <w:r>
              <w:rPr>
                <w:b w:val="0"/>
                <w:sz w:val="15"/>
              </w:rPr>
              <w:t>Methods</w:t>
            </w:r>
          </w:p>
        </w:tc>
        <w:tc>
          <w:tcPr>
            <w:tcW w:w="792" w:type="dxa"/>
            <w:vAlign w:val="top"/>
          </w:tcPr>
          <w:p w14:paraId="41B66B6C">
            <w:pPr>
              <w:spacing w:after="0" w:line="240" w:lineRule="auto"/>
            </w:pPr>
            <w:r>
              <w:rPr>
                <w:b w:val="0"/>
                <w:sz w:val="15"/>
              </w:rPr>
              <w:t>12(e)</w:t>
            </w:r>
          </w:p>
        </w:tc>
        <w:tc>
          <w:tcPr>
            <w:tcW w:w="3888" w:type="dxa"/>
            <w:vAlign w:val="top"/>
          </w:tcPr>
          <w:p w14:paraId="62B8A42B">
            <w:pPr>
              <w:spacing w:after="0" w:line="240" w:lineRule="auto"/>
            </w:pPr>
            <w:r>
              <w:rPr>
                <w:b w:val="0"/>
                <w:sz w:val="15"/>
              </w:rPr>
              <w:t>Describe any sensitivity analyses.</w:t>
            </w:r>
          </w:p>
        </w:tc>
        <w:tc>
          <w:tcPr>
            <w:tcW w:w="1296" w:type="dxa"/>
            <w:vAlign w:val="top"/>
          </w:tcPr>
          <w:p w14:paraId="0F879500">
            <w:pPr>
              <w:spacing w:after="0" w:line="240" w:lineRule="auto"/>
            </w:pPr>
            <w:r>
              <w:rPr>
                <w:b w:val="0"/>
                <w:sz w:val="15"/>
              </w:rPr>
              <w:t>Reported</w:t>
            </w:r>
          </w:p>
        </w:tc>
        <w:tc>
          <w:tcPr>
            <w:tcW w:w="2448" w:type="dxa"/>
            <w:vAlign w:val="top"/>
          </w:tcPr>
          <w:p w14:paraId="5BB8B233">
            <w:pPr>
              <w:spacing w:after="0" w:line="240" w:lineRule="auto"/>
            </w:pPr>
            <w:r>
              <w:rPr>
                <w:b w:val="0"/>
                <w:sz w:val="15"/>
              </w:rPr>
              <w:t>Methods 2.3; Results 3.1 and 3.4; Supplementary Methods 1.8; Tables S6 and S10</w:t>
            </w:r>
          </w:p>
        </w:tc>
        <w:tc>
          <w:tcPr>
            <w:tcW w:w="6480" w:type="dxa"/>
            <w:vAlign w:val="top"/>
          </w:tcPr>
          <w:p w14:paraId="0B1A1D07">
            <w:pPr>
              <w:spacing w:after="0" w:line="240" w:lineRule="auto"/>
            </w:pPr>
            <w:r>
              <w:rPr>
                <w:b w:val="0"/>
                <w:sz w:val="15"/>
              </w:rPr>
              <w:t>Sensitivity analyses included original observed lipid records without imputing missing lipid values, original survival times, and a 36-month loss-to-follow-up comparison.</w:t>
            </w:r>
          </w:p>
        </w:tc>
      </w:tr>
      <w:tr w14:paraId="7B103254">
        <w:trPr>
          <w:cantSplit/>
          <w:jc w:val="center"/>
        </w:trPr>
        <w:tc>
          <w:tcPr>
            <w:tcW w:w="1584" w:type="dxa"/>
            <w:vAlign w:val="top"/>
          </w:tcPr>
          <w:p w14:paraId="7052A250">
            <w:pPr>
              <w:spacing w:after="0" w:line="240" w:lineRule="auto"/>
            </w:pPr>
            <w:r>
              <w:rPr>
                <w:b w:val="0"/>
                <w:sz w:val="15"/>
              </w:rPr>
              <w:t>Results</w:t>
            </w:r>
          </w:p>
        </w:tc>
        <w:tc>
          <w:tcPr>
            <w:tcW w:w="792" w:type="dxa"/>
            <w:vAlign w:val="top"/>
          </w:tcPr>
          <w:p w14:paraId="59AE2AFA">
            <w:pPr>
              <w:spacing w:after="0" w:line="240" w:lineRule="auto"/>
            </w:pPr>
            <w:r>
              <w:rPr>
                <w:b w:val="0"/>
                <w:sz w:val="15"/>
              </w:rPr>
              <w:t>13(a)</w:t>
            </w:r>
          </w:p>
        </w:tc>
        <w:tc>
          <w:tcPr>
            <w:tcW w:w="3888" w:type="dxa"/>
            <w:vAlign w:val="top"/>
          </w:tcPr>
          <w:p w14:paraId="176D1A00">
            <w:pPr>
              <w:spacing w:after="0" w:line="240" w:lineRule="auto"/>
            </w:pPr>
            <w:r>
              <w:rPr>
                <w:b w:val="0"/>
                <w:sz w:val="15"/>
              </w:rPr>
              <w:t>Report numbers of individuals at each stage of study.</w:t>
            </w:r>
          </w:p>
        </w:tc>
        <w:tc>
          <w:tcPr>
            <w:tcW w:w="1296" w:type="dxa"/>
            <w:vAlign w:val="top"/>
          </w:tcPr>
          <w:p w14:paraId="0F0745A9">
            <w:pPr>
              <w:spacing w:after="0" w:line="240" w:lineRule="auto"/>
            </w:pPr>
            <w:r>
              <w:rPr>
                <w:b w:val="0"/>
                <w:sz w:val="15"/>
              </w:rPr>
              <w:t>Reported</w:t>
            </w:r>
          </w:p>
        </w:tc>
        <w:tc>
          <w:tcPr>
            <w:tcW w:w="2448" w:type="dxa"/>
            <w:vAlign w:val="top"/>
          </w:tcPr>
          <w:p w14:paraId="4B14172A">
            <w:pPr>
              <w:spacing w:after="0" w:line="240" w:lineRule="auto"/>
            </w:pPr>
            <w:r>
              <w:rPr>
                <w:b w:val="0"/>
                <w:sz w:val="15"/>
              </w:rPr>
              <w:t>Results 3.1; Figure 1; Table 1</w:t>
            </w:r>
          </w:p>
        </w:tc>
        <w:tc>
          <w:tcPr>
            <w:tcW w:w="6480" w:type="dxa"/>
            <w:vAlign w:val="top"/>
          </w:tcPr>
          <w:p w14:paraId="61841B6C">
            <w:pPr>
              <w:spacing w:after="0" w:line="240" w:lineRule="auto"/>
            </w:pPr>
            <w:r>
              <w:rPr>
                <w:b w:val="0"/>
                <w:sz w:val="15"/>
              </w:rPr>
              <w:t>The manuscript reports 1,562 eligible ALS patients, 281 with baseline lipid measurements, 221 ultimately included in analyses, 65 endpoint events, 12 alive at 60 months, and 144 lost to follow-up.</w:t>
            </w:r>
          </w:p>
        </w:tc>
      </w:tr>
      <w:tr w14:paraId="4C915B09">
        <w:trPr>
          <w:cantSplit/>
          <w:jc w:val="center"/>
        </w:trPr>
        <w:tc>
          <w:tcPr>
            <w:tcW w:w="1584" w:type="dxa"/>
            <w:vAlign w:val="top"/>
          </w:tcPr>
          <w:p w14:paraId="41F07BAA">
            <w:pPr>
              <w:spacing w:after="0" w:line="240" w:lineRule="auto"/>
            </w:pPr>
            <w:r>
              <w:rPr>
                <w:b w:val="0"/>
                <w:sz w:val="15"/>
              </w:rPr>
              <w:t>Results</w:t>
            </w:r>
          </w:p>
        </w:tc>
        <w:tc>
          <w:tcPr>
            <w:tcW w:w="792" w:type="dxa"/>
            <w:vAlign w:val="top"/>
          </w:tcPr>
          <w:p w14:paraId="3D43AA00">
            <w:pPr>
              <w:spacing w:after="0" w:line="240" w:lineRule="auto"/>
            </w:pPr>
            <w:r>
              <w:rPr>
                <w:b w:val="0"/>
                <w:sz w:val="15"/>
              </w:rPr>
              <w:t>13(b)</w:t>
            </w:r>
          </w:p>
        </w:tc>
        <w:tc>
          <w:tcPr>
            <w:tcW w:w="3888" w:type="dxa"/>
            <w:vAlign w:val="top"/>
          </w:tcPr>
          <w:p w14:paraId="0363206D">
            <w:pPr>
              <w:spacing w:after="0" w:line="240" w:lineRule="auto"/>
            </w:pPr>
            <w:r>
              <w:rPr>
                <w:b w:val="0"/>
                <w:sz w:val="15"/>
              </w:rPr>
              <w:t>Give reasons for non-participation at each stage.</w:t>
            </w:r>
          </w:p>
        </w:tc>
        <w:tc>
          <w:tcPr>
            <w:tcW w:w="1296" w:type="dxa"/>
            <w:vAlign w:val="top"/>
          </w:tcPr>
          <w:p w14:paraId="64A1420E">
            <w:pPr>
              <w:spacing w:after="0" w:line="240" w:lineRule="auto"/>
            </w:pPr>
            <w:r>
              <w:rPr>
                <w:b w:val="0"/>
                <w:sz w:val="15"/>
              </w:rPr>
              <w:t>Reported where available</w:t>
            </w:r>
          </w:p>
        </w:tc>
        <w:tc>
          <w:tcPr>
            <w:tcW w:w="2448" w:type="dxa"/>
            <w:vAlign w:val="top"/>
          </w:tcPr>
          <w:p w14:paraId="4778538F">
            <w:pPr>
              <w:spacing w:after="0" w:line="240" w:lineRule="auto"/>
            </w:pPr>
            <w:r>
              <w:rPr>
                <w:b w:val="0"/>
                <w:sz w:val="15"/>
              </w:rPr>
              <w:t>Methods 2.1; Results 3.1; Figure 1</w:t>
            </w:r>
          </w:p>
        </w:tc>
        <w:tc>
          <w:tcPr>
            <w:tcW w:w="6480" w:type="dxa"/>
            <w:vAlign w:val="top"/>
          </w:tcPr>
          <w:p w14:paraId="585DE76C">
            <w:pPr>
              <w:spacing w:after="0" w:line="240" w:lineRule="auto"/>
            </w:pPr>
            <w:r>
              <w:rPr>
                <w:b w:val="0"/>
                <w:sz w:val="15"/>
              </w:rPr>
              <w:t>The manuscript explains that lipid testing was not mandatory and was performed when clinically indicated or available as routine metabolic assessment. Loss to follow-up is defined as failure to establish contact or refusal after more than three occasions.</w:t>
            </w:r>
          </w:p>
        </w:tc>
      </w:tr>
      <w:tr w14:paraId="72F413E7">
        <w:trPr>
          <w:cantSplit/>
          <w:jc w:val="center"/>
        </w:trPr>
        <w:tc>
          <w:tcPr>
            <w:tcW w:w="1584" w:type="dxa"/>
            <w:vAlign w:val="top"/>
          </w:tcPr>
          <w:p w14:paraId="1334404C">
            <w:pPr>
              <w:spacing w:after="0" w:line="240" w:lineRule="auto"/>
            </w:pPr>
            <w:r>
              <w:rPr>
                <w:b w:val="0"/>
                <w:sz w:val="15"/>
              </w:rPr>
              <w:t>Results</w:t>
            </w:r>
          </w:p>
        </w:tc>
        <w:tc>
          <w:tcPr>
            <w:tcW w:w="792" w:type="dxa"/>
            <w:vAlign w:val="top"/>
          </w:tcPr>
          <w:p w14:paraId="42ACA078">
            <w:pPr>
              <w:spacing w:after="0" w:line="240" w:lineRule="auto"/>
            </w:pPr>
            <w:r>
              <w:rPr>
                <w:b w:val="0"/>
                <w:sz w:val="15"/>
              </w:rPr>
              <w:t>13(c)</w:t>
            </w:r>
          </w:p>
        </w:tc>
        <w:tc>
          <w:tcPr>
            <w:tcW w:w="3888" w:type="dxa"/>
            <w:vAlign w:val="top"/>
          </w:tcPr>
          <w:p w14:paraId="4D03A460">
            <w:pPr>
              <w:spacing w:after="0" w:line="240" w:lineRule="auto"/>
            </w:pPr>
            <w:r>
              <w:rPr>
                <w:b w:val="0"/>
                <w:sz w:val="15"/>
              </w:rPr>
              <w:t>Consider use of a flow diagram.</w:t>
            </w:r>
          </w:p>
        </w:tc>
        <w:tc>
          <w:tcPr>
            <w:tcW w:w="1296" w:type="dxa"/>
            <w:vAlign w:val="top"/>
          </w:tcPr>
          <w:p w14:paraId="2A1D2572">
            <w:pPr>
              <w:spacing w:after="0" w:line="240" w:lineRule="auto"/>
            </w:pPr>
            <w:r>
              <w:rPr>
                <w:b w:val="0"/>
                <w:sz w:val="15"/>
              </w:rPr>
              <w:t>Reported</w:t>
            </w:r>
          </w:p>
        </w:tc>
        <w:tc>
          <w:tcPr>
            <w:tcW w:w="2448" w:type="dxa"/>
            <w:vAlign w:val="top"/>
          </w:tcPr>
          <w:p w14:paraId="5412BA23">
            <w:pPr>
              <w:spacing w:after="0" w:line="240" w:lineRule="auto"/>
            </w:pPr>
            <w:r>
              <w:rPr>
                <w:b w:val="0"/>
                <w:sz w:val="15"/>
              </w:rPr>
              <w:t>Figure 1</w:t>
            </w:r>
          </w:p>
        </w:tc>
        <w:tc>
          <w:tcPr>
            <w:tcW w:w="6480" w:type="dxa"/>
            <w:vAlign w:val="top"/>
          </w:tcPr>
          <w:p w14:paraId="7A7A0934">
            <w:pPr>
              <w:spacing w:after="0" w:line="240" w:lineRule="auto"/>
            </w:pPr>
            <w:r>
              <w:rPr>
                <w:b w:val="0"/>
                <w:sz w:val="15"/>
              </w:rPr>
              <w:t>The manuscript includes a patient inclusion and data analysis flow diagram.</w:t>
            </w:r>
          </w:p>
        </w:tc>
      </w:tr>
      <w:tr w14:paraId="43C00C26">
        <w:trPr>
          <w:cantSplit/>
          <w:jc w:val="center"/>
        </w:trPr>
        <w:tc>
          <w:tcPr>
            <w:tcW w:w="1584" w:type="dxa"/>
            <w:vAlign w:val="top"/>
          </w:tcPr>
          <w:p w14:paraId="335A7932">
            <w:pPr>
              <w:spacing w:after="0" w:line="240" w:lineRule="auto"/>
            </w:pPr>
            <w:r>
              <w:rPr>
                <w:b w:val="0"/>
                <w:sz w:val="15"/>
              </w:rPr>
              <w:t>Results</w:t>
            </w:r>
          </w:p>
        </w:tc>
        <w:tc>
          <w:tcPr>
            <w:tcW w:w="792" w:type="dxa"/>
            <w:vAlign w:val="top"/>
          </w:tcPr>
          <w:p w14:paraId="67D02326">
            <w:pPr>
              <w:spacing w:after="0" w:line="240" w:lineRule="auto"/>
            </w:pPr>
            <w:r>
              <w:rPr>
                <w:b w:val="0"/>
                <w:sz w:val="15"/>
              </w:rPr>
              <w:t>14(a)</w:t>
            </w:r>
          </w:p>
        </w:tc>
        <w:tc>
          <w:tcPr>
            <w:tcW w:w="3888" w:type="dxa"/>
            <w:vAlign w:val="top"/>
          </w:tcPr>
          <w:p w14:paraId="53923E1B">
            <w:pPr>
              <w:spacing w:after="0" w:line="240" w:lineRule="auto"/>
            </w:pPr>
            <w:r>
              <w:rPr>
                <w:b w:val="0"/>
                <w:sz w:val="15"/>
              </w:rPr>
              <w:t>Give characteristics of study participants and information on exposures and potential confounders.</w:t>
            </w:r>
          </w:p>
        </w:tc>
        <w:tc>
          <w:tcPr>
            <w:tcW w:w="1296" w:type="dxa"/>
            <w:vAlign w:val="top"/>
          </w:tcPr>
          <w:p w14:paraId="2906494F">
            <w:pPr>
              <w:spacing w:after="0" w:line="240" w:lineRule="auto"/>
            </w:pPr>
            <w:r>
              <w:rPr>
                <w:b w:val="0"/>
                <w:sz w:val="15"/>
              </w:rPr>
              <w:t>Reported</w:t>
            </w:r>
          </w:p>
        </w:tc>
        <w:tc>
          <w:tcPr>
            <w:tcW w:w="2448" w:type="dxa"/>
            <w:vAlign w:val="top"/>
          </w:tcPr>
          <w:p w14:paraId="5A7B579A">
            <w:pPr>
              <w:spacing w:after="0" w:line="240" w:lineRule="auto"/>
            </w:pPr>
            <w:r>
              <w:rPr>
                <w:b w:val="0"/>
                <w:sz w:val="15"/>
              </w:rPr>
              <w:t>Results 3.1; Table 1; Tables S1, S8, S10</w:t>
            </w:r>
          </w:p>
        </w:tc>
        <w:tc>
          <w:tcPr>
            <w:tcW w:w="6480" w:type="dxa"/>
            <w:vAlign w:val="top"/>
          </w:tcPr>
          <w:p w14:paraId="46DDDF31">
            <w:pPr>
              <w:spacing w:after="0" w:line="240" w:lineRule="auto"/>
            </w:pPr>
            <w:r>
              <w:rPr>
                <w:b w:val="0"/>
                <w:sz w:val="15"/>
              </w:rPr>
              <w:t>Baseline demographic and clinical characteristics, lipid-testing status comparisons, covariates, and potential confounders are reported.</w:t>
            </w:r>
          </w:p>
        </w:tc>
      </w:tr>
      <w:tr w14:paraId="013BECEC">
        <w:trPr>
          <w:cantSplit/>
          <w:jc w:val="center"/>
        </w:trPr>
        <w:tc>
          <w:tcPr>
            <w:tcW w:w="1584" w:type="dxa"/>
            <w:vAlign w:val="top"/>
          </w:tcPr>
          <w:p w14:paraId="02F87133">
            <w:pPr>
              <w:spacing w:after="0" w:line="240" w:lineRule="auto"/>
            </w:pPr>
            <w:r>
              <w:rPr>
                <w:b w:val="0"/>
                <w:sz w:val="15"/>
              </w:rPr>
              <w:t>Results</w:t>
            </w:r>
          </w:p>
        </w:tc>
        <w:tc>
          <w:tcPr>
            <w:tcW w:w="792" w:type="dxa"/>
            <w:vAlign w:val="top"/>
          </w:tcPr>
          <w:p w14:paraId="64D3FF08">
            <w:pPr>
              <w:spacing w:after="0" w:line="240" w:lineRule="auto"/>
            </w:pPr>
            <w:r>
              <w:rPr>
                <w:b w:val="0"/>
                <w:sz w:val="15"/>
              </w:rPr>
              <w:t>14(b)</w:t>
            </w:r>
          </w:p>
        </w:tc>
        <w:tc>
          <w:tcPr>
            <w:tcW w:w="3888" w:type="dxa"/>
            <w:vAlign w:val="top"/>
          </w:tcPr>
          <w:p w14:paraId="0EE3C5F1">
            <w:pPr>
              <w:spacing w:after="0" w:line="240" w:lineRule="auto"/>
            </w:pPr>
            <w:r>
              <w:rPr>
                <w:b w:val="0"/>
                <w:sz w:val="15"/>
              </w:rPr>
              <w:t>Indicate number of participants with missing data for each variable of interest.</w:t>
            </w:r>
          </w:p>
        </w:tc>
        <w:tc>
          <w:tcPr>
            <w:tcW w:w="1296" w:type="dxa"/>
            <w:vAlign w:val="top"/>
          </w:tcPr>
          <w:p w14:paraId="2206A1FD">
            <w:pPr>
              <w:spacing w:after="0" w:line="240" w:lineRule="auto"/>
            </w:pPr>
            <w:r>
              <w:rPr>
                <w:b w:val="0"/>
                <w:sz w:val="15"/>
              </w:rPr>
              <w:t>Reported</w:t>
            </w:r>
          </w:p>
        </w:tc>
        <w:tc>
          <w:tcPr>
            <w:tcW w:w="2448" w:type="dxa"/>
            <w:vAlign w:val="top"/>
          </w:tcPr>
          <w:p w14:paraId="4321F8E6">
            <w:pPr>
              <w:spacing w:after="0" w:line="240" w:lineRule="auto"/>
            </w:pPr>
            <w:r>
              <w:rPr>
                <w:b w:val="0"/>
                <w:sz w:val="15"/>
              </w:rPr>
              <w:t>Supplementary Table S1; Supplementary Methods 1.1</w:t>
            </w:r>
          </w:p>
        </w:tc>
        <w:tc>
          <w:tcPr>
            <w:tcW w:w="6480" w:type="dxa"/>
            <w:vAlign w:val="top"/>
          </w:tcPr>
          <w:p w14:paraId="333857F6">
            <w:pPr>
              <w:spacing w:after="0" w:line="240" w:lineRule="auto"/>
            </w:pPr>
            <w:r>
              <w:rPr>
                <w:b w:val="0"/>
                <w:sz w:val="15"/>
              </w:rPr>
              <w:t>Variables included in the study and their missingness/coding are reported in Table S1, with missing data handled using MICE.</w:t>
            </w:r>
          </w:p>
        </w:tc>
      </w:tr>
      <w:tr w14:paraId="4AAE76F9">
        <w:trPr>
          <w:cantSplit/>
          <w:jc w:val="center"/>
        </w:trPr>
        <w:tc>
          <w:tcPr>
            <w:tcW w:w="1584" w:type="dxa"/>
            <w:vAlign w:val="top"/>
          </w:tcPr>
          <w:p w14:paraId="1A47324C">
            <w:pPr>
              <w:spacing w:after="0" w:line="240" w:lineRule="auto"/>
            </w:pPr>
            <w:r>
              <w:rPr>
                <w:b w:val="0"/>
                <w:sz w:val="15"/>
              </w:rPr>
              <w:t>Results</w:t>
            </w:r>
          </w:p>
        </w:tc>
        <w:tc>
          <w:tcPr>
            <w:tcW w:w="792" w:type="dxa"/>
            <w:vAlign w:val="top"/>
          </w:tcPr>
          <w:p w14:paraId="1BFFE12C">
            <w:pPr>
              <w:spacing w:after="0" w:line="240" w:lineRule="auto"/>
            </w:pPr>
            <w:r>
              <w:rPr>
                <w:b w:val="0"/>
                <w:sz w:val="15"/>
              </w:rPr>
              <w:t>14(c)</w:t>
            </w:r>
          </w:p>
        </w:tc>
        <w:tc>
          <w:tcPr>
            <w:tcW w:w="3888" w:type="dxa"/>
            <w:vAlign w:val="top"/>
          </w:tcPr>
          <w:p w14:paraId="7D26CD64">
            <w:pPr>
              <w:spacing w:after="0" w:line="240" w:lineRule="auto"/>
            </w:pPr>
            <w:r>
              <w:rPr>
                <w:b w:val="0"/>
                <w:sz w:val="15"/>
              </w:rPr>
              <w:t>Summarise follow-up time.</w:t>
            </w:r>
          </w:p>
        </w:tc>
        <w:tc>
          <w:tcPr>
            <w:tcW w:w="1296" w:type="dxa"/>
            <w:vAlign w:val="top"/>
          </w:tcPr>
          <w:p w14:paraId="014C4FF4">
            <w:pPr>
              <w:spacing w:after="0" w:line="240" w:lineRule="auto"/>
            </w:pPr>
            <w:r>
              <w:rPr>
                <w:b w:val="0"/>
                <w:sz w:val="15"/>
              </w:rPr>
              <w:t>Reported</w:t>
            </w:r>
          </w:p>
        </w:tc>
        <w:tc>
          <w:tcPr>
            <w:tcW w:w="2448" w:type="dxa"/>
            <w:vAlign w:val="top"/>
          </w:tcPr>
          <w:p w14:paraId="350D7360">
            <w:pPr>
              <w:spacing w:after="0" w:line="240" w:lineRule="auto"/>
            </w:pPr>
            <w:r>
              <w:rPr>
                <w:b w:val="0"/>
                <w:sz w:val="15"/>
              </w:rPr>
              <w:t>Results 3.1</w:t>
            </w:r>
          </w:p>
        </w:tc>
        <w:tc>
          <w:tcPr>
            <w:tcW w:w="6480" w:type="dxa"/>
            <w:vAlign w:val="top"/>
          </w:tcPr>
          <w:p w14:paraId="66751344">
            <w:pPr>
              <w:spacing w:after="0" w:line="240" w:lineRule="auto"/>
            </w:pPr>
            <w:r>
              <w:rPr>
                <w:b w:val="0"/>
                <w:sz w:val="15"/>
              </w:rPr>
              <w:t>Median follow-up was 21 months and mean follow-up was 25.8 months.</w:t>
            </w:r>
          </w:p>
        </w:tc>
      </w:tr>
      <w:tr w14:paraId="6C6B5F67">
        <w:trPr>
          <w:cantSplit/>
          <w:jc w:val="center"/>
        </w:trPr>
        <w:tc>
          <w:tcPr>
            <w:tcW w:w="1584" w:type="dxa"/>
            <w:vAlign w:val="top"/>
          </w:tcPr>
          <w:p w14:paraId="1DD28B42">
            <w:pPr>
              <w:spacing w:after="0" w:line="240" w:lineRule="auto"/>
            </w:pPr>
            <w:r>
              <w:rPr>
                <w:b w:val="0"/>
                <w:sz w:val="15"/>
              </w:rPr>
              <w:t>Results</w:t>
            </w:r>
          </w:p>
        </w:tc>
        <w:tc>
          <w:tcPr>
            <w:tcW w:w="792" w:type="dxa"/>
            <w:vAlign w:val="top"/>
          </w:tcPr>
          <w:p w14:paraId="0B73D785">
            <w:pPr>
              <w:spacing w:after="0" w:line="240" w:lineRule="auto"/>
            </w:pPr>
            <w:r>
              <w:rPr>
                <w:b w:val="0"/>
                <w:sz w:val="15"/>
              </w:rPr>
              <w:t>15</w:t>
            </w:r>
          </w:p>
        </w:tc>
        <w:tc>
          <w:tcPr>
            <w:tcW w:w="3888" w:type="dxa"/>
            <w:vAlign w:val="top"/>
          </w:tcPr>
          <w:p w14:paraId="51C130BC">
            <w:pPr>
              <w:spacing w:after="0" w:line="240" w:lineRule="auto"/>
            </w:pPr>
            <w:r>
              <w:rPr>
                <w:b w:val="0"/>
                <w:sz w:val="15"/>
              </w:rPr>
              <w:t>Report numbers of outcome events or summary measures over time.</w:t>
            </w:r>
          </w:p>
        </w:tc>
        <w:tc>
          <w:tcPr>
            <w:tcW w:w="1296" w:type="dxa"/>
            <w:vAlign w:val="top"/>
          </w:tcPr>
          <w:p w14:paraId="4D25C669">
            <w:pPr>
              <w:spacing w:after="0" w:line="240" w:lineRule="auto"/>
            </w:pPr>
            <w:r>
              <w:rPr>
                <w:b w:val="0"/>
                <w:sz w:val="15"/>
              </w:rPr>
              <w:t>Reported</w:t>
            </w:r>
          </w:p>
        </w:tc>
        <w:tc>
          <w:tcPr>
            <w:tcW w:w="2448" w:type="dxa"/>
            <w:vAlign w:val="top"/>
          </w:tcPr>
          <w:p w14:paraId="7FCBE768">
            <w:pPr>
              <w:spacing w:after="0" w:line="240" w:lineRule="auto"/>
            </w:pPr>
            <w:r>
              <w:rPr>
                <w:b w:val="0"/>
                <w:sz w:val="15"/>
              </w:rPr>
              <w:t>Results 3.1 and 3.4; Tables S4–S5</w:t>
            </w:r>
          </w:p>
        </w:tc>
        <w:tc>
          <w:tcPr>
            <w:tcW w:w="6480" w:type="dxa"/>
            <w:vAlign w:val="top"/>
          </w:tcPr>
          <w:p w14:paraId="60185133">
            <w:pPr>
              <w:spacing w:after="0" w:line="240" w:lineRule="auto"/>
            </w:pPr>
            <w:r>
              <w:rPr>
                <w:b w:val="0"/>
                <w:sz w:val="15"/>
              </w:rPr>
              <w:t>The manuscript reports 65 death/tracheotomy events, 12 alive at 60 months, and survival analyses including Kaplan–Meier/log-rank results and Cox HRs.</w:t>
            </w:r>
          </w:p>
        </w:tc>
      </w:tr>
      <w:tr w14:paraId="612A6190">
        <w:trPr>
          <w:cantSplit/>
          <w:jc w:val="center"/>
        </w:trPr>
        <w:tc>
          <w:tcPr>
            <w:tcW w:w="1584" w:type="dxa"/>
            <w:vAlign w:val="top"/>
          </w:tcPr>
          <w:p w14:paraId="71117841">
            <w:pPr>
              <w:spacing w:after="0" w:line="240" w:lineRule="auto"/>
            </w:pPr>
            <w:r>
              <w:rPr>
                <w:b w:val="0"/>
                <w:sz w:val="15"/>
              </w:rPr>
              <w:t>Results</w:t>
            </w:r>
          </w:p>
        </w:tc>
        <w:tc>
          <w:tcPr>
            <w:tcW w:w="792" w:type="dxa"/>
            <w:vAlign w:val="top"/>
          </w:tcPr>
          <w:p w14:paraId="54D15486">
            <w:pPr>
              <w:spacing w:after="0" w:line="240" w:lineRule="auto"/>
            </w:pPr>
            <w:r>
              <w:rPr>
                <w:b w:val="0"/>
                <w:sz w:val="15"/>
              </w:rPr>
              <w:t>16(a)</w:t>
            </w:r>
          </w:p>
        </w:tc>
        <w:tc>
          <w:tcPr>
            <w:tcW w:w="3888" w:type="dxa"/>
            <w:vAlign w:val="top"/>
          </w:tcPr>
          <w:p w14:paraId="3AD20C1F">
            <w:pPr>
              <w:spacing w:after="0" w:line="240" w:lineRule="auto"/>
            </w:pPr>
            <w:r>
              <w:rPr>
                <w:b w:val="0"/>
                <w:sz w:val="15"/>
              </w:rPr>
              <w:t>Give unadjusted and confounder-adjusted estimates and precision. Make clear which confounders were adjusted for and why.</w:t>
            </w:r>
          </w:p>
        </w:tc>
        <w:tc>
          <w:tcPr>
            <w:tcW w:w="1296" w:type="dxa"/>
            <w:vAlign w:val="top"/>
          </w:tcPr>
          <w:p w14:paraId="32B5A932">
            <w:pPr>
              <w:spacing w:after="0" w:line="240" w:lineRule="auto"/>
            </w:pPr>
            <w:r>
              <w:rPr>
                <w:b w:val="0"/>
                <w:sz w:val="15"/>
              </w:rPr>
              <w:t>Reported</w:t>
            </w:r>
          </w:p>
        </w:tc>
        <w:tc>
          <w:tcPr>
            <w:tcW w:w="2448" w:type="dxa"/>
            <w:vAlign w:val="top"/>
          </w:tcPr>
          <w:p w14:paraId="65E1B17D">
            <w:pPr>
              <w:spacing w:after="0" w:line="240" w:lineRule="auto"/>
            </w:pPr>
            <w:r>
              <w:rPr>
                <w:b w:val="0"/>
                <w:sz w:val="15"/>
              </w:rPr>
              <w:t>Results 3.2–3.4; Tables S2–S7; Supplementary Methods 1.3–1.7</w:t>
            </w:r>
          </w:p>
        </w:tc>
        <w:tc>
          <w:tcPr>
            <w:tcW w:w="6480" w:type="dxa"/>
            <w:vAlign w:val="top"/>
          </w:tcPr>
          <w:p w14:paraId="133E5CB1">
            <w:pPr>
              <w:spacing w:after="0" w:line="240" w:lineRule="auto"/>
            </w:pPr>
            <w:r>
              <w:rPr>
                <w:b w:val="0"/>
                <w:sz w:val="15"/>
              </w:rPr>
              <w:t>Regression coefficients, HRs, 95% CIs, nominal P values, and FDR-adjusted P values are reported across univariable and adjusted models, with covariate sets specified.</w:t>
            </w:r>
          </w:p>
        </w:tc>
      </w:tr>
      <w:tr w14:paraId="21F4BB99">
        <w:trPr>
          <w:cantSplit/>
          <w:jc w:val="center"/>
        </w:trPr>
        <w:tc>
          <w:tcPr>
            <w:tcW w:w="1584" w:type="dxa"/>
            <w:vAlign w:val="top"/>
          </w:tcPr>
          <w:p w14:paraId="2706453C">
            <w:pPr>
              <w:spacing w:after="0" w:line="240" w:lineRule="auto"/>
            </w:pPr>
            <w:r>
              <w:rPr>
                <w:b w:val="0"/>
                <w:sz w:val="15"/>
              </w:rPr>
              <w:t>Results</w:t>
            </w:r>
          </w:p>
        </w:tc>
        <w:tc>
          <w:tcPr>
            <w:tcW w:w="792" w:type="dxa"/>
            <w:vAlign w:val="top"/>
          </w:tcPr>
          <w:p w14:paraId="1427179E">
            <w:pPr>
              <w:spacing w:after="0" w:line="240" w:lineRule="auto"/>
            </w:pPr>
            <w:r>
              <w:rPr>
                <w:b w:val="0"/>
                <w:sz w:val="15"/>
              </w:rPr>
              <w:t>16(b)</w:t>
            </w:r>
          </w:p>
        </w:tc>
        <w:tc>
          <w:tcPr>
            <w:tcW w:w="3888" w:type="dxa"/>
            <w:vAlign w:val="top"/>
          </w:tcPr>
          <w:p w14:paraId="1B2EBD17">
            <w:pPr>
              <w:spacing w:after="0" w:line="240" w:lineRule="auto"/>
            </w:pPr>
            <w:r>
              <w:rPr>
                <w:b w:val="0"/>
                <w:sz w:val="15"/>
              </w:rPr>
              <w:t>Report category boundaries when continuous variables were categorized.</w:t>
            </w:r>
          </w:p>
        </w:tc>
        <w:tc>
          <w:tcPr>
            <w:tcW w:w="1296" w:type="dxa"/>
            <w:vAlign w:val="top"/>
          </w:tcPr>
          <w:p w14:paraId="7320A6D8">
            <w:pPr>
              <w:spacing w:after="0" w:line="240" w:lineRule="auto"/>
            </w:pPr>
            <w:r>
              <w:rPr>
                <w:b w:val="0"/>
                <w:sz w:val="15"/>
              </w:rPr>
              <w:t>Reported</w:t>
            </w:r>
          </w:p>
        </w:tc>
        <w:tc>
          <w:tcPr>
            <w:tcW w:w="2448" w:type="dxa"/>
            <w:vAlign w:val="top"/>
          </w:tcPr>
          <w:p w14:paraId="3FCC59CB">
            <w:pPr>
              <w:spacing w:after="0" w:line="240" w:lineRule="auto"/>
            </w:pPr>
            <w:r>
              <w:rPr>
                <w:b w:val="0"/>
                <w:sz w:val="15"/>
              </w:rPr>
              <w:t>Supplementary Methods 1.2; Table S4; Figures 4–5</w:t>
            </w:r>
          </w:p>
        </w:tc>
        <w:tc>
          <w:tcPr>
            <w:tcW w:w="6480" w:type="dxa"/>
            <w:vAlign w:val="top"/>
          </w:tcPr>
          <w:p w14:paraId="5A72A899">
            <w:pPr>
              <w:spacing w:after="0" w:line="240" w:lineRule="auto"/>
            </w:pPr>
            <w:r>
              <w:rPr>
                <w:b w:val="0"/>
                <w:sz w:val="15"/>
              </w:rPr>
              <w:t>Distribution-based lipid cutoffs used for Kaplan–Meier analyses are described, and survival analyses by categorized lipid groups are reported.</w:t>
            </w:r>
          </w:p>
        </w:tc>
      </w:tr>
      <w:tr w14:paraId="3840DA6E">
        <w:trPr>
          <w:cantSplit/>
          <w:jc w:val="center"/>
        </w:trPr>
        <w:tc>
          <w:tcPr>
            <w:tcW w:w="1584" w:type="dxa"/>
            <w:vAlign w:val="top"/>
          </w:tcPr>
          <w:p w14:paraId="73F2CFE1">
            <w:pPr>
              <w:spacing w:after="0" w:line="240" w:lineRule="auto"/>
            </w:pPr>
            <w:r>
              <w:rPr>
                <w:b w:val="0"/>
                <w:sz w:val="15"/>
              </w:rPr>
              <w:t>Results</w:t>
            </w:r>
          </w:p>
        </w:tc>
        <w:tc>
          <w:tcPr>
            <w:tcW w:w="792" w:type="dxa"/>
            <w:vAlign w:val="top"/>
          </w:tcPr>
          <w:p w14:paraId="13995B43">
            <w:pPr>
              <w:spacing w:after="0" w:line="240" w:lineRule="auto"/>
            </w:pPr>
            <w:r>
              <w:rPr>
                <w:b w:val="0"/>
                <w:sz w:val="15"/>
              </w:rPr>
              <w:t>16(c)</w:t>
            </w:r>
          </w:p>
        </w:tc>
        <w:tc>
          <w:tcPr>
            <w:tcW w:w="3888" w:type="dxa"/>
            <w:vAlign w:val="top"/>
          </w:tcPr>
          <w:p w14:paraId="7E58E392">
            <w:pPr>
              <w:spacing w:after="0" w:line="240" w:lineRule="auto"/>
            </w:pPr>
            <w:r>
              <w:rPr>
                <w:b w:val="0"/>
                <w:sz w:val="15"/>
              </w:rPr>
              <w:t>If relevant, consider translating estimates of relative risk into absolute risk for a meaningful time period.</w:t>
            </w:r>
          </w:p>
        </w:tc>
        <w:tc>
          <w:tcPr>
            <w:tcW w:w="1296" w:type="dxa"/>
            <w:vAlign w:val="top"/>
          </w:tcPr>
          <w:p w14:paraId="0C8D7A21">
            <w:pPr>
              <w:spacing w:after="0" w:line="240" w:lineRule="auto"/>
            </w:pPr>
            <w:r>
              <w:rPr>
                <w:b w:val="0"/>
                <w:sz w:val="15"/>
              </w:rPr>
              <w:t>Not applicable / partially addressed</w:t>
            </w:r>
          </w:p>
        </w:tc>
        <w:tc>
          <w:tcPr>
            <w:tcW w:w="2448" w:type="dxa"/>
            <w:vAlign w:val="top"/>
          </w:tcPr>
          <w:p w14:paraId="5C81BFA8">
            <w:pPr>
              <w:spacing w:after="0" w:line="240" w:lineRule="auto"/>
            </w:pPr>
            <w:r>
              <w:rPr>
                <w:b w:val="0"/>
                <w:sz w:val="15"/>
              </w:rPr>
              <w:t>Results 3.4; Tables S4–S5</w:t>
            </w:r>
          </w:p>
        </w:tc>
        <w:tc>
          <w:tcPr>
            <w:tcW w:w="6480" w:type="dxa"/>
            <w:vAlign w:val="top"/>
          </w:tcPr>
          <w:p w14:paraId="4EB50154">
            <w:pPr>
              <w:spacing w:after="0" w:line="240" w:lineRule="auto"/>
            </w:pPr>
            <w:r>
              <w:rPr>
                <w:b w:val="0"/>
                <w:sz w:val="15"/>
              </w:rPr>
              <w:t>The primary survival analyses present HRs and survival-time summaries. Absolute risks were not a central estimand in this exploratory prognostic study.</w:t>
            </w:r>
          </w:p>
        </w:tc>
      </w:tr>
      <w:tr w14:paraId="74624D27">
        <w:trPr>
          <w:cantSplit/>
          <w:jc w:val="center"/>
        </w:trPr>
        <w:tc>
          <w:tcPr>
            <w:tcW w:w="1584" w:type="dxa"/>
            <w:vAlign w:val="top"/>
          </w:tcPr>
          <w:p w14:paraId="1C2D0472">
            <w:pPr>
              <w:spacing w:after="0" w:line="240" w:lineRule="auto"/>
            </w:pPr>
            <w:r>
              <w:rPr>
                <w:b w:val="0"/>
                <w:sz w:val="15"/>
              </w:rPr>
              <w:t>Results</w:t>
            </w:r>
          </w:p>
        </w:tc>
        <w:tc>
          <w:tcPr>
            <w:tcW w:w="792" w:type="dxa"/>
            <w:vAlign w:val="top"/>
          </w:tcPr>
          <w:p w14:paraId="6F1C5B9A">
            <w:pPr>
              <w:spacing w:after="0" w:line="240" w:lineRule="auto"/>
            </w:pPr>
            <w:r>
              <w:rPr>
                <w:b w:val="0"/>
                <w:sz w:val="15"/>
              </w:rPr>
              <w:t>17</w:t>
            </w:r>
          </w:p>
        </w:tc>
        <w:tc>
          <w:tcPr>
            <w:tcW w:w="3888" w:type="dxa"/>
            <w:vAlign w:val="top"/>
          </w:tcPr>
          <w:p w14:paraId="657A372D">
            <w:pPr>
              <w:spacing w:after="0" w:line="240" w:lineRule="auto"/>
            </w:pPr>
            <w:r>
              <w:rPr>
                <w:b w:val="0"/>
                <w:sz w:val="15"/>
              </w:rPr>
              <w:t>Report other analyses done—eg analyses of subgroups and interactions, and sensitivity analyses.</w:t>
            </w:r>
          </w:p>
        </w:tc>
        <w:tc>
          <w:tcPr>
            <w:tcW w:w="1296" w:type="dxa"/>
            <w:vAlign w:val="top"/>
          </w:tcPr>
          <w:p w14:paraId="5739A924">
            <w:pPr>
              <w:spacing w:after="0" w:line="240" w:lineRule="auto"/>
            </w:pPr>
            <w:r>
              <w:rPr>
                <w:b w:val="0"/>
                <w:sz w:val="15"/>
              </w:rPr>
              <w:t>Reported</w:t>
            </w:r>
          </w:p>
        </w:tc>
        <w:tc>
          <w:tcPr>
            <w:tcW w:w="2448" w:type="dxa"/>
            <w:vAlign w:val="top"/>
          </w:tcPr>
          <w:p w14:paraId="09020580">
            <w:pPr>
              <w:spacing w:after="0" w:line="240" w:lineRule="auto"/>
            </w:pPr>
            <w:r>
              <w:rPr>
                <w:b w:val="0"/>
                <w:sz w:val="15"/>
              </w:rPr>
              <w:t>Results 3.1, 3.4, 3.5; Tables S6–S10</w:t>
            </w:r>
          </w:p>
        </w:tc>
        <w:tc>
          <w:tcPr>
            <w:tcW w:w="6480" w:type="dxa"/>
            <w:vAlign w:val="top"/>
          </w:tcPr>
          <w:p w14:paraId="2AD8E32C">
            <w:pPr>
              <w:spacing w:after="0" w:line="240" w:lineRule="auto"/>
            </w:pPr>
            <w:r>
              <w:rPr>
                <w:b w:val="0"/>
                <w:sz w:val="15"/>
              </w:rPr>
              <w:t>The manuscript reports sex-stratified analyses, mediation analyses, original-survival-time sensitivity analysis, observed-lipid-record sensitivity analysis, and loss-to-follow-up bias comparisons.</w:t>
            </w:r>
          </w:p>
        </w:tc>
      </w:tr>
      <w:tr w14:paraId="2EE0F30F">
        <w:trPr>
          <w:cantSplit/>
          <w:jc w:val="center"/>
        </w:trPr>
        <w:tc>
          <w:tcPr>
            <w:tcW w:w="1584" w:type="dxa"/>
            <w:vAlign w:val="top"/>
          </w:tcPr>
          <w:p w14:paraId="021E72AB">
            <w:pPr>
              <w:spacing w:after="0" w:line="240" w:lineRule="auto"/>
            </w:pPr>
            <w:r>
              <w:rPr>
                <w:b w:val="0"/>
                <w:sz w:val="15"/>
              </w:rPr>
              <w:t>Discussion</w:t>
            </w:r>
          </w:p>
        </w:tc>
        <w:tc>
          <w:tcPr>
            <w:tcW w:w="792" w:type="dxa"/>
            <w:vAlign w:val="top"/>
          </w:tcPr>
          <w:p w14:paraId="7E10D4E8">
            <w:pPr>
              <w:spacing w:after="0" w:line="240" w:lineRule="auto"/>
            </w:pPr>
            <w:r>
              <w:rPr>
                <w:b w:val="0"/>
                <w:sz w:val="15"/>
              </w:rPr>
              <w:t>18</w:t>
            </w:r>
          </w:p>
        </w:tc>
        <w:tc>
          <w:tcPr>
            <w:tcW w:w="3888" w:type="dxa"/>
            <w:vAlign w:val="top"/>
          </w:tcPr>
          <w:p w14:paraId="065B59D1">
            <w:pPr>
              <w:spacing w:after="0" w:line="240" w:lineRule="auto"/>
            </w:pPr>
            <w:r>
              <w:rPr>
                <w:b w:val="0"/>
                <w:sz w:val="15"/>
              </w:rPr>
              <w:t>Summarise key results with reference to study objectives.</w:t>
            </w:r>
          </w:p>
        </w:tc>
        <w:tc>
          <w:tcPr>
            <w:tcW w:w="1296" w:type="dxa"/>
            <w:vAlign w:val="top"/>
          </w:tcPr>
          <w:p w14:paraId="7E66D449">
            <w:pPr>
              <w:spacing w:after="0" w:line="240" w:lineRule="auto"/>
            </w:pPr>
            <w:r>
              <w:rPr>
                <w:b w:val="0"/>
                <w:sz w:val="15"/>
              </w:rPr>
              <w:t>Reported</w:t>
            </w:r>
          </w:p>
        </w:tc>
        <w:tc>
          <w:tcPr>
            <w:tcW w:w="2448" w:type="dxa"/>
            <w:vAlign w:val="top"/>
          </w:tcPr>
          <w:p w14:paraId="7455B82C">
            <w:pPr>
              <w:spacing w:after="0" w:line="240" w:lineRule="auto"/>
            </w:pPr>
            <w:r>
              <w:rPr>
                <w:b w:val="0"/>
                <w:sz w:val="15"/>
              </w:rPr>
              <w:t>Discussion 4.1–4.5 and Conclusion</w:t>
            </w:r>
          </w:p>
        </w:tc>
        <w:tc>
          <w:tcPr>
            <w:tcW w:w="6480" w:type="dxa"/>
            <w:vAlign w:val="top"/>
          </w:tcPr>
          <w:p w14:paraId="390A2A2E">
            <w:pPr>
              <w:spacing w:after="0" w:line="240" w:lineRule="auto"/>
            </w:pPr>
            <w:r>
              <w:rPr>
                <w:b w:val="0"/>
                <w:sz w:val="15"/>
              </w:rPr>
              <w:t>The Discussion summarizes associations of lipid markers with clinical features, functional progression, survival, BMI mediation, and sex-specific findings.</w:t>
            </w:r>
          </w:p>
        </w:tc>
      </w:tr>
      <w:tr w14:paraId="0FC49D93">
        <w:trPr>
          <w:cantSplit/>
          <w:jc w:val="center"/>
        </w:trPr>
        <w:tc>
          <w:tcPr>
            <w:tcW w:w="1584" w:type="dxa"/>
            <w:vAlign w:val="top"/>
          </w:tcPr>
          <w:p w14:paraId="4AAA6768">
            <w:pPr>
              <w:spacing w:after="0" w:line="240" w:lineRule="auto"/>
            </w:pPr>
            <w:r>
              <w:rPr>
                <w:b w:val="0"/>
                <w:sz w:val="15"/>
              </w:rPr>
              <w:t>Discussion</w:t>
            </w:r>
          </w:p>
        </w:tc>
        <w:tc>
          <w:tcPr>
            <w:tcW w:w="792" w:type="dxa"/>
            <w:vAlign w:val="top"/>
          </w:tcPr>
          <w:p w14:paraId="5A7BCB1B">
            <w:pPr>
              <w:spacing w:after="0" w:line="240" w:lineRule="auto"/>
            </w:pPr>
            <w:r>
              <w:rPr>
                <w:b w:val="0"/>
                <w:sz w:val="15"/>
              </w:rPr>
              <w:t>19</w:t>
            </w:r>
          </w:p>
        </w:tc>
        <w:tc>
          <w:tcPr>
            <w:tcW w:w="3888" w:type="dxa"/>
            <w:vAlign w:val="top"/>
          </w:tcPr>
          <w:p w14:paraId="249674BF">
            <w:pPr>
              <w:spacing w:after="0" w:line="240" w:lineRule="auto"/>
            </w:pPr>
            <w:r>
              <w:rPr>
                <w:b w:val="0"/>
                <w:sz w:val="15"/>
              </w:rPr>
              <w:t>Discuss limitations, taking into account sources of potential bias or imprecision. Discuss both direction and magnitude of potential bias.</w:t>
            </w:r>
          </w:p>
        </w:tc>
        <w:tc>
          <w:tcPr>
            <w:tcW w:w="1296" w:type="dxa"/>
            <w:vAlign w:val="top"/>
          </w:tcPr>
          <w:p w14:paraId="7D4CA58F">
            <w:pPr>
              <w:spacing w:after="0" w:line="240" w:lineRule="auto"/>
            </w:pPr>
            <w:r>
              <w:rPr>
                <w:b w:val="0"/>
                <w:sz w:val="15"/>
              </w:rPr>
              <w:t>Reported</w:t>
            </w:r>
          </w:p>
        </w:tc>
        <w:tc>
          <w:tcPr>
            <w:tcW w:w="2448" w:type="dxa"/>
            <w:vAlign w:val="top"/>
          </w:tcPr>
          <w:p w14:paraId="1FF7A162">
            <w:pPr>
              <w:spacing w:after="0" w:line="240" w:lineRule="auto"/>
            </w:pPr>
            <w:r>
              <w:rPr>
                <w:b w:val="0"/>
                <w:sz w:val="15"/>
              </w:rPr>
              <w:t>Discussion 4.6–4.7; Supplementary Discussion 2.4–2.5</w:t>
            </w:r>
          </w:p>
        </w:tc>
        <w:tc>
          <w:tcPr>
            <w:tcW w:w="6480" w:type="dxa"/>
            <w:vAlign w:val="top"/>
          </w:tcPr>
          <w:p w14:paraId="35C5E2BD">
            <w:pPr>
              <w:spacing w:after="0" w:line="240" w:lineRule="auto"/>
            </w:pPr>
            <w:r>
              <w:rPr>
                <w:b w:val="0"/>
                <w:sz w:val="15"/>
              </w:rPr>
              <w:t>The manuscript discusses selection bias, reverse causality, residual confounding, unmeasured lipid-lowering medication/nutritional/ventilatory/genetic factors, loss to follow-up, limited event numbers, multiple testing, and peripheral vs central lipid interpretation.</w:t>
            </w:r>
          </w:p>
        </w:tc>
      </w:tr>
      <w:tr w14:paraId="5DFDBCD3">
        <w:trPr>
          <w:cantSplit/>
          <w:jc w:val="center"/>
        </w:trPr>
        <w:tc>
          <w:tcPr>
            <w:tcW w:w="1584" w:type="dxa"/>
            <w:vAlign w:val="top"/>
          </w:tcPr>
          <w:p w14:paraId="256B7379">
            <w:pPr>
              <w:spacing w:after="0" w:line="240" w:lineRule="auto"/>
            </w:pPr>
            <w:r>
              <w:rPr>
                <w:b w:val="0"/>
                <w:sz w:val="15"/>
              </w:rPr>
              <w:t>Discussion</w:t>
            </w:r>
          </w:p>
        </w:tc>
        <w:tc>
          <w:tcPr>
            <w:tcW w:w="792" w:type="dxa"/>
            <w:vAlign w:val="top"/>
          </w:tcPr>
          <w:p w14:paraId="24894260">
            <w:pPr>
              <w:spacing w:after="0" w:line="240" w:lineRule="auto"/>
            </w:pPr>
            <w:r>
              <w:rPr>
                <w:b w:val="0"/>
                <w:sz w:val="15"/>
              </w:rPr>
              <w:t>20</w:t>
            </w:r>
          </w:p>
        </w:tc>
        <w:tc>
          <w:tcPr>
            <w:tcW w:w="3888" w:type="dxa"/>
            <w:vAlign w:val="top"/>
          </w:tcPr>
          <w:p w14:paraId="4CA407A1">
            <w:pPr>
              <w:spacing w:after="0" w:line="240" w:lineRule="auto"/>
            </w:pPr>
            <w:r>
              <w:rPr>
                <w:b w:val="0"/>
                <w:sz w:val="15"/>
              </w:rPr>
              <w:t>Give a cautious overall interpretation of results considering objectives, limitations, multiplicity of analyses, similar studies, and other relevant evidence.</w:t>
            </w:r>
          </w:p>
        </w:tc>
        <w:tc>
          <w:tcPr>
            <w:tcW w:w="1296" w:type="dxa"/>
            <w:vAlign w:val="top"/>
          </w:tcPr>
          <w:p w14:paraId="7CDA7477">
            <w:pPr>
              <w:spacing w:after="0" w:line="240" w:lineRule="auto"/>
            </w:pPr>
            <w:r>
              <w:rPr>
                <w:b w:val="0"/>
                <w:sz w:val="15"/>
              </w:rPr>
              <w:t>Reported</w:t>
            </w:r>
          </w:p>
        </w:tc>
        <w:tc>
          <w:tcPr>
            <w:tcW w:w="2448" w:type="dxa"/>
            <w:vAlign w:val="top"/>
          </w:tcPr>
          <w:p w14:paraId="4909B35B">
            <w:pPr>
              <w:spacing w:after="0" w:line="240" w:lineRule="auto"/>
            </w:pPr>
            <w:r>
              <w:rPr>
                <w:b w:val="0"/>
                <w:sz w:val="15"/>
              </w:rPr>
              <w:t>Discussion 4.1–4.7 and Conclusion; Supplementary Discussion 2.1–2.5</w:t>
            </w:r>
          </w:p>
        </w:tc>
        <w:tc>
          <w:tcPr>
            <w:tcW w:w="6480" w:type="dxa"/>
            <w:vAlign w:val="top"/>
          </w:tcPr>
          <w:p w14:paraId="5974AC09">
            <w:pPr>
              <w:spacing w:after="0" w:line="240" w:lineRule="auto"/>
            </w:pPr>
            <w:r>
              <w:rPr>
                <w:b w:val="0"/>
                <w:sz w:val="15"/>
              </w:rPr>
              <w:t>The manuscript consistently frames the findings as exploratory prognostic associations rather than causal or protective effects, and considers prior studies, Mendelian randomization evidence, heterogeneity, FDR, and model complexity.</w:t>
            </w:r>
          </w:p>
        </w:tc>
      </w:tr>
      <w:tr w14:paraId="79267A00">
        <w:trPr>
          <w:cantSplit/>
          <w:jc w:val="center"/>
        </w:trPr>
        <w:tc>
          <w:tcPr>
            <w:tcW w:w="1584" w:type="dxa"/>
            <w:vAlign w:val="top"/>
          </w:tcPr>
          <w:p w14:paraId="37E5A7A5">
            <w:pPr>
              <w:spacing w:after="0" w:line="240" w:lineRule="auto"/>
            </w:pPr>
            <w:r>
              <w:rPr>
                <w:b w:val="0"/>
                <w:sz w:val="15"/>
              </w:rPr>
              <w:t>Discussion</w:t>
            </w:r>
          </w:p>
        </w:tc>
        <w:tc>
          <w:tcPr>
            <w:tcW w:w="792" w:type="dxa"/>
            <w:vAlign w:val="top"/>
          </w:tcPr>
          <w:p w14:paraId="1220808C">
            <w:pPr>
              <w:spacing w:after="0" w:line="240" w:lineRule="auto"/>
            </w:pPr>
            <w:r>
              <w:rPr>
                <w:b w:val="0"/>
                <w:sz w:val="15"/>
              </w:rPr>
              <w:t>21</w:t>
            </w:r>
          </w:p>
        </w:tc>
        <w:tc>
          <w:tcPr>
            <w:tcW w:w="3888" w:type="dxa"/>
            <w:vAlign w:val="top"/>
          </w:tcPr>
          <w:p w14:paraId="1BE1FE73">
            <w:pPr>
              <w:spacing w:after="0" w:line="240" w:lineRule="auto"/>
            </w:pPr>
            <w:r>
              <w:rPr>
                <w:b w:val="0"/>
                <w:sz w:val="15"/>
              </w:rPr>
              <w:t>Discuss the generalisability/external validity of the study results.</w:t>
            </w:r>
          </w:p>
        </w:tc>
        <w:tc>
          <w:tcPr>
            <w:tcW w:w="1296" w:type="dxa"/>
            <w:vAlign w:val="top"/>
          </w:tcPr>
          <w:p w14:paraId="2B3FBBAB">
            <w:pPr>
              <w:spacing w:after="0" w:line="240" w:lineRule="auto"/>
            </w:pPr>
            <w:r>
              <w:rPr>
                <w:b w:val="0"/>
                <w:sz w:val="15"/>
              </w:rPr>
              <w:t>Reported</w:t>
            </w:r>
          </w:p>
        </w:tc>
        <w:tc>
          <w:tcPr>
            <w:tcW w:w="2448" w:type="dxa"/>
            <w:vAlign w:val="top"/>
          </w:tcPr>
          <w:p w14:paraId="234DB96D">
            <w:pPr>
              <w:spacing w:after="0" w:line="240" w:lineRule="auto"/>
            </w:pPr>
            <w:r>
              <w:rPr>
                <w:b w:val="0"/>
                <w:sz w:val="15"/>
              </w:rPr>
              <w:t>Introduction; Discussion 4.6–4.7; Supplementary Discussion 2.3</w:t>
            </w:r>
          </w:p>
        </w:tc>
        <w:tc>
          <w:tcPr>
            <w:tcW w:w="6480" w:type="dxa"/>
            <w:vAlign w:val="top"/>
          </w:tcPr>
          <w:p w14:paraId="0DB3824B">
            <w:pPr>
              <w:spacing w:after="0" w:line="240" w:lineRule="auto"/>
            </w:pPr>
            <w:r>
              <w:rPr>
                <w:b w:val="0"/>
                <w:sz w:val="15"/>
              </w:rPr>
              <w:t>The manuscript discusses the North China ALS cohort context, limited prior Chinese data, possible differences across populations, and residual limitations to generalizability.</w:t>
            </w:r>
          </w:p>
        </w:tc>
      </w:tr>
      <w:tr w14:paraId="46608E61">
        <w:trPr>
          <w:cantSplit/>
          <w:jc w:val="center"/>
        </w:trPr>
        <w:tc>
          <w:tcPr>
            <w:tcW w:w="1584" w:type="dxa"/>
            <w:vAlign w:val="top"/>
          </w:tcPr>
          <w:p w14:paraId="235FCAA9">
            <w:pPr>
              <w:spacing w:after="0" w:line="240" w:lineRule="auto"/>
            </w:pPr>
            <w:r>
              <w:rPr>
                <w:b w:val="0"/>
                <w:sz w:val="15"/>
              </w:rPr>
              <w:t>Other information</w:t>
            </w:r>
          </w:p>
        </w:tc>
        <w:tc>
          <w:tcPr>
            <w:tcW w:w="792" w:type="dxa"/>
            <w:vAlign w:val="top"/>
          </w:tcPr>
          <w:p w14:paraId="6802AFA6">
            <w:pPr>
              <w:spacing w:after="0" w:line="240" w:lineRule="auto"/>
            </w:pPr>
            <w:r>
              <w:rPr>
                <w:b w:val="0"/>
                <w:sz w:val="15"/>
              </w:rPr>
              <w:t>22</w:t>
            </w:r>
          </w:p>
        </w:tc>
        <w:tc>
          <w:tcPr>
            <w:tcW w:w="3888" w:type="dxa"/>
            <w:vAlign w:val="top"/>
          </w:tcPr>
          <w:p w14:paraId="2C0AA16E">
            <w:pPr>
              <w:spacing w:after="0" w:line="240" w:lineRule="auto"/>
            </w:pPr>
            <w:r>
              <w:rPr>
                <w:b w:val="0"/>
                <w:sz w:val="15"/>
              </w:rPr>
              <w:t>Give the source of funding and the role of the funders for the present study and, if applicable, for the original study.</w:t>
            </w:r>
          </w:p>
        </w:tc>
        <w:tc>
          <w:tcPr>
            <w:tcW w:w="1296" w:type="dxa"/>
            <w:vAlign w:val="top"/>
          </w:tcPr>
          <w:p w14:paraId="20154B2A">
            <w:pPr>
              <w:spacing w:after="0" w:line="240" w:lineRule="auto"/>
            </w:pPr>
            <w:r>
              <w:rPr>
                <w:b w:val="0"/>
                <w:sz w:val="15"/>
              </w:rPr>
              <w:t>Reported</w:t>
            </w:r>
          </w:p>
        </w:tc>
        <w:tc>
          <w:tcPr>
            <w:tcW w:w="2448" w:type="dxa"/>
            <w:vAlign w:val="top"/>
          </w:tcPr>
          <w:p w14:paraId="17814183">
            <w:pPr>
              <w:spacing w:after="0" w:line="240" w:lineRule="auto"/>
            </w:pPr>
            <w:r>
              <w:rPr>
                <w:b w:val="0"/>
                <w:sz w:val="15"/>
              </w:rPr>
              <w:t>Declarations: Funding</w:t>
            </w:r>
          </w:p>
        </w:tc>
        <w:tc>
          <w:tcPr>
            <w:tcW w:w="6480" w:type="dxa"/>
            <w:vAlign w:val="top"/>
          </w:tcPr>
          <w:p w14:paraId="3C3E3347">
            <w:pPr>
              <w:spacing w:after="0" w:line="240" w:lineRule="auto"/>
            </w:pPr>
            <w:r>
              <w:rPr>
                <w:b w:val="0"/>
                <w:sz w:val="15"/>
              </w:rPr>
              <w:t>Funding is reported as the National Natural Science Foundation of China, grant number 82273915.</w:t>
            </w:r>
          </w:p>
        </w:tc>
      </w:tr>
    </w:tbl>
    <w:p w14:paraId="73C078C3">
      <w:r>
        <w:rPr>
          <w:i/>
          <w:sz w:val="16"/>
        </w:rPr>
        <w:t>Completed checklist prepared from the revised clean manuscript, Supplementary materials, and Supplementary Tables S1–S10.</w:t>
      </w:r>
    </w:p>
    <w:sectPr>
      <w:pgSz w:w="15840" w:h="12240" w:orient="landscape"/>
      <w:pgMar w:top="648" w:right="648" w:bottom="648" w:left="64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F5FA907"/>
    <w:rsid w:val="55D2200C"/>
    <w:rsid w:val="7BC5AB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6"/>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阿呆</cp:lastModifiedBy>
  <dcterms:modified xsi:type="dcterms:W3CDTF">2026-07-06T01:44:33Z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96BB2FF0D7FF56C401984A6A5CFDCC32_42</vt:lpwstr>
  </property>
</Properties>
</file>