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style7.xml" ContentType="application/vnd.ms-office.chartstyl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style1.xml" ContentType="application/vnd.ms-office.chartstyle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charts/colors1.xml" ContentType="application/vnd.ms-office.chartcolorstyle+xml"/>
  <Override PartName="/word/charts/colors7.xml" ContentType="application/vnd.ms-office.chartcolorsty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B9A6" w14:textId="77777777" w:rsidR="00061AB6" w:rsidRPr="00902ED9" w:rsidRDefault="00061AB6" w:rsidP="00061AB6">
      <w:pPr>
        <w:rPr>
          <w:b/>
          <w:bCs/>
          <w:lang w:val="en-US"/>
        </w:rPr>
      </w:pPr>
      <w:r w:rsidRPr="00902ED9">
        <w:rPr>
          <w:b/>
          <w:bCs/>
          <w:lang w:val="en-US"/>
        </w:rPr>
        <w:t>SUPPLEMENTARY INFORMATION</w:t>
      </w:r>
      <w:r>
        <w:rPr>
          <w:b/>
          <w:bCs/>
          <w:lang w:val="en-US"/>
        </w:rPr>
        <w:t xml:space="preserve"> - DATA</w:t>
      </w:r>
    </w:p>
    <w:p w14:paraId="21CDEE66" w14:textId="77777777" w:rsidR="00061AB6" w:rsidRDefault="00061AB6" w:rsidP="00061AB6">
      <w:pPr>
        <w:spacing w:line="360" w:lineRule="auto"/>
        <w:rPr>
          <w:b/>
          <w:bCs/>
          <w:lang w:val="en-US"/>
        </w:rPr>
      </w:pPr>
    </w:p>
    <w:p w14:paraId="743F7167" w14:textId="77777777" w:rsidR="00061AB6" w:rsidRPr="00902ED9" w:rsidRDefault="00061AB6" w:rsidP="00061AB6">
      <w:pPr>
        <w:spacing w:line="360" w:lineRule="auto"/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3F1B5BCF" wp14:editId="179DF5AF">
            <wp:extent cx="3882452" cy="674557"/>
            <wp:effectExtent l="0" t="0" r="16510" b="11430"/>
            <wp:docPr id="121891375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FF7DCC1-EB0C-7048-A2B9-7F4A09FD60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0EE7F05" w14:textId="77777777" w:rsidR="00061AB6" w:rsidRPr="00902ED9" w:rsidRDefault="00061AB6" w:rsidP="00061AB6">
      <w:pPr>
        <w:spacing w:line="360" w:lineRule="auto"/>
        <w:rPr>
          <w:b/>
          <w:bCs/>
          <w:lang w:val="en-US"/>
        </w:rPr>
      </w:pPr>
      <w:r w:rsidRPr="00902ED9">
        <w:rPr>
          <w:b/>
          <w:bCs/>
          <w:sz w:val="16"/>
          <w:szCs w:val="16"/>
          <w:lang w:val="en-US"/>
        </w:rPr>
        <w:t xml:space="preserve">Figure S1. </w:t>
      </w:r>
      <w:r>
        <w:rPr>
          <w:sz w:val="16"/>
          <w:szCs w:val="16"/>
          <w:lang w:val="en-US"/>
        </w:rPr>
        <w:t>Respondents by role.</w:t>
      </w:r>
    </w:p>
    <w:p w14:paraId="188BAD5F" w14:textId="77777777" w:rsidR="00061AB6" w:rsidRPr="00902ED9" w:rsidRDefault="00061AB6" w:rsidP="00061AB6">
      <w:pPr>
        <w:spacing w:line="360" w:lineRule="auto"/>
        <w:rPr>
          <w:lang w:val="en-US"/>
        </w:rPr>
      </w:pPr>
    </w:p>
    <w:p w14:paraId="4186E516" w14:textId="77777777" w:rsidR="00061AB6" w:rsidRPr="00902ED9" w:rsidRDefault="00061AB6" w:rsidP="00061AB6">
      <w:pPr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21E6FA1E" wp14:editId="35160593">
            <wp:extent cx="3882390" cy="1056806"/>
            <wp:effectExtent l="0" t="0" r="16510" b="10160"/>
            <wp:docPr id="17151816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09B76E6-A791-0E47-960E-7D1AFF8EA1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F0F5315" w14:textId="77777777" w:rsidR="00061AB6" w:rsidRPr="00902ED9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902ED9">
        <w:rPr>
          <w:b/>
          <w:bCs/>
          <w:sz w:val="16"/>
          <w:szCs w:val="16"/>
          <w:lang w:val="en-US"/>
        </w:rPr>
        <w:t>Figure S2.</w:t>
      </w:r>
      <w:r w:rsidRPr="00902ED9">
        <w:rPr>
          <w:rFonts w:ascii="Segoe UI" w:hAnsi="Segoe UI" w:cs="Segoe UI"/>
          <w:color w:val="374151"/>
          <w:sz w:val="16"/>
          <w:szCs w:val="16"/>
          <w:lang w:val="en-US"/>
        </w:rPr>
        <w:t xml:space="preserve"> </w:t>
      </w:r>
      <w:r>
        <w:rPr>
          <w:sz w:val="16"/>
          <w:szCs w:val="16"/>
          <w:lang w:val="en-US"/>
        </w:rPr>
        <w:t>Respondents by country.</w:t>
      </w:r>
    </w:p>
    <w:p w14:paraId="39F34185" w14:textId="77777777" w:rsidR="00061AB6" w:rsidRPr="00902ED9" w:rsidRDefault="00061AB6" w:rsidP="00061AB6">
      <w:pPr>
        <w:spacing w:line="360" w:lineRule="auto"/>
        <w:rPr>
          <w:b/>
          <w:bCs/>
          <w:lang w:val="en-US"/>
        </w:rPr>
      </w:pPr>
    </w:p>
    <w:p w14:paraId="44254C94" w14:textId="77777777" w:rsidR="00061AB6" w:rsidRPr="00902ED9" w:rsidRDefault="00061AB6" w:rsidP="00061AB6">
      <w:pPr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28E0A67B" wp14:editId="4D5F7A80">
            <wp:extent cx="3882390" cy="764498"/>
            <wp:effectExtent l="0" t="0" r="16510" b="10795"/>
            <wp:docPr id="16162757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2A6FBF8-50F7-AB43-ABC2-6659D3AA78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5F7AB9F" w14:textId="77777777" w:rsidR="00061AB6" w:rsidRPr="00902ED9" w:rsidRDefault="00061AB6" w:rsidP="00061AB6">
      <w:pPr>
        <w:spacing w:line="360" w:lineRule="auto"/>
        <w:rPr>
          <w:lang w:val="en-US"/>
        </w:rPr>
      </w:pPr>
      <w:r w:rsidRPr="00902ED9">
        <w:rPr>
          <w:b/>
          <w:bCs/>
          <w:sz w:val="16"/>
          <w:szCs w:val="16"/>
          <w:lang w:val="en-US"/>
        </w:rPr>
        <w:t xml:space="preserve">Figure S3. </w:t>
      </w:r>
      <w:r>
        <w:rPr>
          <w:sz w:val="16"/>
          <w:szCs w:val="16"/>
          <w:lang w:val="en-US"/>
        </w:rPr>
        <w:t>Respondents by years in role.</w:t>
      </w:r>
    </w:p>
    <w:p w14:paraId="697FD524" w14:textId="77777777" w:rsidR="00061AB6" w:rsidRDefault="00061AB6" w:rsidP="00061AB6">
      <w:pPr>
        <w:spacing w:line="360" w:lineRule="auto"/>
        <w:rPr>
          <w:b/>
          <w:bCs/>
          <w:sz w:val="16"/>
          <w:szCs w:val="16"/>
          <w:lang w:val="en-US"/>
        </w:rPr>
      </w:pPr>
    </w:p>
    <w:p w14:paraId="6820B2DF" w14:textId="77777777" w:rsidR="00061AB6" w:rsidRDefault="00061AB6" w:rsidP="00061AB6">
      <w:pPr>
        <w:spacing w:line="360" w:lineRule="auto"/>
        <w:rPr>
          <w:b/>
          <w:bCs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62EB54B8" wp14:editId="791DF6F9">
            <wp:extent cx="6228678" cy="906780"/>
            <wp:effectExtent l="0" t="0" r="7620" b="7620"/>
            <wp:docPr id="151366051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B4703B9-948D-B946-89D6-AF19BCBC9E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97B0B53" w14:textId="77777777" w:rsidR="00061AB6" w:rsidRPr="00902ED9" w:rsidRDefault="00061AB6" w:rsidP="00061AB6">
      <w:pPr>
        <w:spacing w:line="360" w:lineRule="auto"/>
        <w:rPr>
          <w:lang w:val="en-US"/>
        </w:rPr>
      </w:pPr>
      <w:bookmarkStart w:id="0" w:name="OLE_LINK3"/>
      <w:r w:rsidRPr="00902ED9">
        <w:rPr>
          <w:b/>
          <w:bCs/>
          <w:sz w:val="16"/>
          <w:szCs w:val="16"/>
          <w:lang w:val="en-US"/>
        </w:rPr>
        <w:t>Figure S</w:t>
      </w:r>
      <w:r>
        <w:rPr>
          <w:b/>
          <w:bCs/>
          <w:sz w:val="16"/>
          <w:szCs w:val="16"/>
          <w:lang w:val="en-US"/>
        </w:rPr>
        <w:t>4</w:t>
      </w:r>
      <w:r w:rsidRPr="00902ED9">
        <w:rPr>
          <w:b/>
          <w:bCs/>
          <w:sz w:val="16"/>
          <w:szCs w:val="16"/>
          <w:lang w:val="en-US"/>
        </w:rPr>
        <w:t xml:space="preserve">. </w:t>
      </w:r>
      <w:r>
        <w:rPr>
          <w:sz w:val="16"/>
          <w:szCs w:val="16"/>
          <w:lang w:val="en-US"/>
        </w:rPr>
        <w:t xml:space="preserve">Respondents by institution type. </w:t>
      </w:r>
    </w:p>
    <w:bookmarkEnd w:id="0"/>
    <w:p w14:paraId="106E41BA" w14:textId="77777777" w:rsidR="00061AB6" w:rsidRDefault="00061AB6" w:rsidP="00061AB6">
      <w:pPr>
        <w:spacing w:line="360" w:lineRule="auto"/>
        <w:rPr>
          <w:b/>
          <w:bCs/>
          <w:sz w:val="16"/>
          <w:szCs w:val="16"/>
          <w:lang w:val="en-US"/>
        </w:rPr>
      </w:pPr>
    </w:p>
    <w:p w14:paraId="70DC367D" w14:textId="77777777" w:rsidR="00061AB6" w:rsidRDefault="00061AB6" w:rsidP="00061AB6">
      <w:pPr>
        <w:spacing w:line="360" w:lineRule="auto"/>
        <w:rPr>
          <w:b/>
          <w:bCs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0D98B063" wp14:editId="35B37818">
            <wp:extent cx="3837305" cy="809469"/>
            <wp:effectExtent l="0" t="0" r="10795" b="16510"/>
            <wp:docPr id="10648351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586EA5E-128B-9244-AF81-640A3DC856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B2342E9" w14:textId="154AFCA0" w:rsidR="00061AB6" w:rsidRPr="00902ED9" w:rsidRDefault="00061AB6" w:rsidP="00061AB6">
      <w:pPr>
        <w:spacing w:line="360" w:lineRule="auto"/>
        <w:rPr>
          <w:lang w:val="en-US"/>
        </w:rPr>
      </w:pPr>
      <w:r w:rsidRPr="00902ED9">
        <w:rPr>
          <w:b/>
          <w:bCs/>
          <w:sz w:val="16"/>
          <w:szCs w:val="16"/>
          <w:lang w:val="en-US"/>
        </w:rPr>
        <w:t>Figure S</w:t>
      </w:r>
      <w:r>
        <w:rPr>
          <w:b/>
          <w:bCs/>
          <w:sz w:val="16"/>
          <w:szCs w:val="16"/>
          <w:lang w:val="en-US"/>
        </w:rPr>
        <w:t>5</w:t>
      </w:r>
      <w:r w:rsidRPr="00902ED9">
        <w:rPr>
          <w:b/>
          <w:bCs/>
          <w:sz w:val="16"/>
          <w:szCs w:val="16"/>
          <w:lang w:val="en-US"/>
        </w:rPr>
        <w:t xml:space="preserve">. </w:t>
      </w:r>
      <w:r>
        <w:rPr>
          <w:sz w:val="16"/>
          <w:szCs w:val="16"/>
          <w:lang w:val="en-US"/>
        </w:rPr>
        <w:t xml:space="preserve">Respondents by number of patients with </w:t>
      </w:r>
      <w:proofErr w:type="spellStart"/>
      <w:r>
        <w:rPr>
          <w:sz w:val="16"/>
          <w:szCs w:val="16"/>
          <w:lang w:val="en-US"/>
        </w:rPr>
        <w:t>ATTRv</w:t>
      </w:r>
      <w:proofErr w:type="spellEnd"/>
      <w:r>
        <w:rPr>
          <w:sz w:val="16"/>
          <w:szCs w:val="16"/>
          <w:lang w:val="en-US"/>
        </w:rPr>
        <w:t xml:space="preserve">-PN </w:t>
      </w:r>
      <w:r>
        <w:rPr>
          <w:sz w:val="16"/>
          <w:szCs w:val="16"/>
          <w:lang w:val="en-US"/>
        </w:rPr>
        <w:t xml:space="preserve">amyloidosis </w:t>
      </w:r>
      <w:r>
        <w:rPr>
          <w:sz w:val="16"/>
          <w:szCs w:val="16"/>
          <w:lang w:val="en-US"/>
        </w:rPr>
        <w:t xml:space="preserve">and </w:t>
      </w:r>
      <w:proofErr w:type="spellStart"/>
      <w:r>
        <w:rPr>
          <w:sz w:val="16"/>
          <w:szCs w:val="16"/>
          <w:lang w:val="en-US"/>
        </w:rPr>
        <w:t>ATTRv</w:t>
      </w:r>
      <w:proofErr w:type="spellEnd"/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  <w:lang w:val="en-US"/>
        </w:rPr>
        <w:t xml:space="preserve">amyloidosis </w:t>
      </w:r>
      <w:r>
        <w:rPr>
          <w:sz w:val="16"/>
          <w:szCs w:val="16"/>
          <w:lang w:val="en-US"/>
        </w:rPr>
        <w:t xml:space="preserve">with mixed phenotype managed per year. </w:t>
      </w:r>
    </w:p>
    <w:p w14:paraId="22CAB4E5" w14:textId="77777777" w:rsidR="00061AB6" w:rsidRPr="00902ED9" w:rsidRDefault="00061AB6" w:rsidP="00061AB6">
      <w:pPr>
        <w:spacing w:line="360" w:lineRule="auto"/>
        <w:rPr>
          <w:b/>
          <w:bCs/>
          <w:sz w:val="16"/>
          <w:szCs w:val="16"/>
          <w:lang w:val="en-US"/>
        </w:rPr>
      </w:pPr>
    </w:p>
    <w:p w14:paraId="558A7D45" w14:textId="77777777" w:rsidR="00061AB6" w:rsidRPr="00902ED9" w:rsidRDefault="00061AB6" w:rsidP="00061AB6">
      <w:pPr>
        <w:spacing w:line="360" w:lineRule="auto"/>
        <w:rPr>
          <w:b/>
          <w:bCs/>
          <w:sz w:val="16"/>
          <w:szCs w:val="16"/>
          <w:lang w:val="en-US"/>
        </w:rPr>
      </w:pPr>
      <w:r>
        <w:rPr>
          <w:noProof/>
        </w:rPr>
        <w:lastRenderedPageBreak/>
        <w:drawing>
          <wp:inline distT="0" distB="0" distL="0" distR="0" wp14:anchorId="4112F80D" wp14:editId="0FC2E191">
            <wp:extent cx="6120130" cy="8821711"/>
            <wp:effectExtent l="0" t="0" r="13970" b="17780"/>
            <wp:docPr id="116116930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4AAD501-FECD-BA4E-9E6C-FDB0F04F0D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CF4B63B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902ED9">
        <w:rPr>
          <w:b/>
          <w:bCs/>
          <w:sz w:val="16"/>
          <w:szCs w:val="16"/>
          <w:lang w:val="en-US"/>
        </w:rPr>
        <w:t>Figure S</w:t>
      </w:r>
      <w:r>
        <w:rPr>
          <w:b/>
          <w:bCs/>
          <w:sz w:val="16"/>
          <w:szCs w:val="16"/>
          <w:lang w:val="en-US"/>
        </w:rPr>
        <w:t>6</w:t>
      </w:r>
      <w:r w:rsidRPr="00902ED9">
        <w:rPr>
          <w:b/>
          <w:bCs/>
          <w:sz w:val="16"/>
          <w:szCs w:val="16"/>
          <w:lang w:val="en-US"/>
        </w:rPr>
        <w:t xml:space="preserve">. </w:t>
      </w:r>
      <w:r w:rsidRPr="00902ED9">
        <w:rPr>
          <w:sz w:val="16"/>
          <w:szCs w:val="16"/>
          <w:lang w:val="en-US"/>
        </w:rPr>
        <w:t>Percentages of agreement level by statement</w:t>
      </w:r>
      <w:r>
        <w:rPr>
          <w:sz w:val="16"/>
          <w:szCs w:val="16"/>
          <w:lang w:val="en-US"/>
        </w:rPr>
        <w:t>.</w:t>
      </w:r>
    </w:p>
    <w:p w14:paraId="12FFBA12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</w:p>
    <w:p w14:paraId="779206B3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D74796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43F28" wp14:editId="3507C650">
                <wp:simplePos x="0" y="0"/>
                <wp:positionH relativeFrom="column">
                  <wp:posOffset>530860</wp:posOffset>
                </wp:positionH>
                <wp:positionV relativeFrom="paragraph">
                  <wp:posOffset>650106</wp:posOffset>
                </wp:positionV>
                <wp:extent cx="5500151" cy="0"/>
                <wp:effectExtent l="0" t="12700" r="24765" b="12700"/>
                <wp:wrapNone/>
                <wp:docPr id="151628365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015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B8096D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8pt,51.2pt" to="474.9pt,5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" strokecolor="#00b050" strokeweight="1.5pt">
                <v:stroke dashstyle="dash"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064FAA4E" wp14:editId="39453180">
            <wp:extent cx="6120130" cy="2448000"/>
            <wp:effectExtent l="0" t="0" r="13970" b="15875"/>
            <wp:docPr id="57686590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0C31A85-5CC9-C94E-82FA-D0FC1D00D2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817E9C7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902ED9">
        <w:rPr>
          <w:b/>
          <w:bCs/>
          <w:sz w:val="16"/>
          <w:szCs w:val="16"/>
          <w:lang w:val="en-US"/>
        </w:rPr>
        <w:t>Figure S</w:t>
      </w:r>
      <w:r>
        <w:rPr>
          <w:b/>
          <w:bCs/>
          <w:sz w:val="16"/>
          <w:szCs w:val="16"/>
          <w:lang w:val="en-US"/>
        </w:rPr>
        <w:t>7</w:t>
      </w:r>
      <w:r w:rsidRPr="00902ED9">
        <w:rPr>
          <w:b/>
          <w:bCs/>
          <w:sz w:val="16"/>
          <w:szCs w:val="16"/>
          <w:lang w:val="en-US"/>
        </w:rPr>
        <w:t xml:space="preserve">. </w:t>
      </w:r>
      <w:r>
        <w:rPr>
          <w:sz w:val="16"/>
          <w:szCs w:val="16"/>
          <w:lang w:val="en-US"/>
        </w:rPr>
        <w:t xml:space="preserve">Sub-analysis examining the variation in agreement between institution type. </w:t>
      </w:r>
      <w:r w:rsidRPr="006E6A90">
        <w:rPr>
          <w:sz w:val="16"/>
          <w:szCs w:val="16"/>
          <w:lang w:val="en-US"/>
        </w:rPr>
        <w:t>The threshold for consensus (75%) is depicted by the green line.</w:t>
      </w:r>
      <w:r w:rsidRPr="004757B5">
        <w:rPr>
          <w:noProof/>
          <w:lang w:val="en-US"/>
        </w:rPr>
        <w:t xml:space="preserve"> </w:t>
      </w:r>
    </w:p>
    <w:p w14:paraId="08704E97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</w:p>
    <w:p w14:paraId="57839B6B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D7479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8DA10" wp14:editId="53225421">
                <wp:simplePos x="0" y="0"/>
                <wp:positionH relativeFrom="column">
                  <wp:posOffset>490220</wp:posOffset>
                </wp:positionH>
                <wp:positionV relativeFrom="paragraph">
                  <wp:posOffset>645026</wp:posOffset>
                </wp:positionV>
                <wp:extent cx="5500151" cy="0"/>
                <wp:effectExtent l="0" t="12700" r="24765" b="12700"/>
                <wp:wrapNone/>
                <wp:docPr id="165367127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015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59A25A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6pt,50.8pt" to="471.7pt,50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" strokecolor="#00b050" strokeweight="1.5pt">
                <v:stroke dashstyle="dash"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6702584B" wp14:editId="60021B12">
            <wp:extent cx="6120130" cy="2448000"/>
            <wp:effectExtent l="0" t="0" r="13970" b="15875"/>
            <wp:docPr id="160768313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325580A-7F1D-374C-A12E-8481030956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EEE4A49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902ED9">
        <w:rPr>
          <w:b/>
          <w:bCs/>
          <w:sz w:val="16"/>
          <w:szCs w:val="16"/>
          <w:lang w:val="en-US"/>
        </w:rPr>
        <w:t>Figure S</w:t>
      </w:r>
      <w:r>
        <w:rPr>
          <w:b/>
          <w:bCs/>
          <w:sz w:val="16"/>
          <w:szCs w:val="16"/>
          <w:lang w:val="en-US"/>
        </w:rPr>
        <w:t>8</w:t>
      </w:r>
      <w:r w:rsidRPr="00902ED9">
        <w:rPr>
          <w:b/>
          <w:bCs/>
          <w:sz w:val="16"/>
          <w:szCs w:val="16"/>
          <w:lang w:val="en-US"/>
        </w:rPr>
        <w:t xml:space="preserve">. </w:t>
      </w:r>
      <w:r>
        <w:rPr>
          <w:sz w:val="16"/>
          <w:szCs w:val="16"/>
          <w:lang w:val="en-US"/>
        </w:rPr>
        <w:t xml:space="preserve">Sub-analysis examining the variation in agreement between number of patients managed per year. </w:t>
      </w:r>
      <w:r w:rsidRPr="006E6A90">
        <w:rPr>
          <w:sz w:val="16"/>
          <w:szCs w:val="16"/>
          <w:lang w:val="en-US"/>
        </w:rPr>
        <w:t>The threshold for consensus (75%) is depicted by the green line.</w:t>
      </w:r>
    </w:p>
    <w:p w14:paraId="46A4BA5F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</w:p>
    <w:p w14:paraId="388E9EE9" w14:textId="77777777" w:rsidR="00061AB6" w:rsidRPr="00F44797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D7479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D57BF9" wp14:editId="5801D1A7">
                <wp:simplePos x="0" y="0"/>
                <wp:positionH relativeFrom="column">
                  <wp:posOffset>489585</wp:posOffset>
                </wp:positionH>
                <wp:positionV relativeFrom="paragraph">
                  <wp:posOffset>645026</wp:posOffset>
                </wp:positionV>
                <wp:extent cx="5500151" cy="0"/>
                <wp:effectExtent l="0" t="12700" r="24765" b="12700"/>
                <wp:wrapNone/>
                <wp:docPr id="110611157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015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086EEA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55pt,50.8pt" to="471.65pt,50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" strokecolor="#00b050" strokeweight="1.5pt">
                <v:stroke dashstyle="dash"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58D4D779" wp14:editId="785B14B2">
            <wp:extent cx="6120130" cy="2448000"/>
            <wp:effectExtent l="0" t="0" r="13970" b="15875"/>
            <wp:docPr id="20583853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509483A-3147-5708-3C6F-5DFDEA9192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27326A9" w14:textId="77777777" w:rsidR="00061AB6" w:rsidRDefault="00061AB6" w:rsidP="00061AB6">
      <w:pPr>
        <w:spacing w:line="360" w:lineRule="auto"/>
        <w:rPr>
          <w:sz w:val="16"/>
          <w:szCs w:val="16"/>
          <w:lang w:val="en-US"/>
        </w:rPr>
      </w:pPr>
      <w:r w:rsidRPr="00902ED9">
        <w:rPr>
          <w:b/>
          <w:bCs/>
          <w:sz w:val="16"/>
          <w:szCs w:val="16"/>
          <w:lang w:val="en-US"/>
        </w:rPr>
        <w:t>Figure S</w:t>
      </w:r>
      <w:r>
        <w:rPr>
          <w:b/>
          <w:bCs/>
          <w:sz w:val="16"/>
          <w:szCs w:val="16"/>
          <w:lang w:val="en-US"/>
        </w:rPr>
        <w:t>9</w:t>
      </w:r>
      <w:r w:rsidRPr="00902ED9">
        <w:rPr>
          <w:b/>
          <w:bCs/>
          <w:sz w:val="16"/>
          <w:szCs w:val="16"/>
          <w:lang w:val="en-US"/>
        </w:rPr>
        <w:t xml:space="preserve">. </w:t>
      </w:r>
      <w:r>
        <w:rPr>
          <w:sz w:val="16"/>
          <w:szCs w:val="16"/>
          <w:lang w:val="en-US"/>
        </w:rPr>
        <w:t xml:space="preserve">Sub-analysis examining the variation in agreement between number of patients managed per year, divided into &lt;15 per year and ≥15 per year. </w:t>
      </w:r>
      <w:r w:rsidRPr="006E6A90">
        <w:rPr>
          <w:sz w:val="16"/>
          <w:szCs w:val="16"/>
          <w:lang w:val="en-US"/>
        </w:rPr>
        <w:t>The threshold for consensus (75%) is depicted by the green line.</w:t>
      </w:r>
    </w:p>
    <w:p w14:paraId="269F0F51" w14:textId="77777777" w:rsidR="00061AB6" w:rsidRPr="00D33FA7" w:rsidRDefault="00061AB6" w:rsidP="00061AB6">
      <w:pPr>
        <w:spacing w:line="360" w:lineRule="auto"/>
        <w:rPr>
          <w:sz w:val="16"/>
          <w:szCs w:val="16"/>
          <w:lang w:val="en-US"/>
        </w:rPr>
      </w:pPr>
    </w:p>
    <w:p w14:paraId="4B34E4DA" w14:textId="77777777" w:rsidR="00751CF5" w:rsidRDefault="00751CF5"/>
    <w:sectPr w:rsidR="00751CF5" w:rsidSect="00061AB6">
      <w:footerReference w:type="even" r:id="rId13"/>
      <w:footerReference w:type="default" r:id="rId14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ourier New"/>
    <w:panose1 w:val="00000500000000000000"/>
    <w:charset w:val="00"/>
    <w:family w:val="auto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6619799"/>
      <w:docPartObj>
        <w:docPartGallery w:val="Page Numbers (Bottom of Page)"/>
        <w:docPartUnique/>
      </w:docPartObj>
    </w:sdtPr>
    <w:sdtContent>
      <w:p w14:paraId="5935E567" w14:textId="77777777" w:rsidR="00061AB6" w:rsidRDefault="00061AB6" w:rsidP="00734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3AE7A1C" w14:textId="77777777" w:rsidR="00061AB6" w:rsidRDefault="00061AB6" w:rsidP="008D60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94749644"/>
      <w:docPartObj>
        <w:docPartGallery w:val="Page Numbers (Bottom of Page)"/>
        <w:docPartUnique/>
      </w:docPartObj>
    </w:sdtPr>
    <w:sdtContent>
      <w:p w14:paraId="2EC670EA" w14:textId="77777777" w:rsidR="00061AB6" w:rsidRDefault="00061AB6" w:rsidP="007347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0DE68E7D" w14:textId="77777777" w:rsidR="00061AB6" w:rsidRDefault="00061AB6" w:rsidP="008D608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B6"/>
    <w:rsid w:val="00061AB6"/>
    <w:rsid w:val="0013374B"/>
    <w:rsid w:val="002E1094"/>
    <w:rsid w:val="0041419A"/>
    <w:rsid w:val="00487CE3"/>
    <w:rsid w:val="005F5F90"/>
    <w:rsid w:val="00751CF5"/>
    <w:rsid w:val="009B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CAAFD"/>
  <w15:chartTrackingRefBased/>
  <w15:docId w15:val="{4C9C2C41-EB2D-124E-9D37-847FB941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AB6"/>
    <w:rPr>
      <w:rFonts w:ascii="Montserrat" w:hAnsi="Montserrat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163D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163D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AB6"/>
    <w:pPr>
      <w:keepNext/>
      <w:keepLines/>
      <w:spacing w:before="160" w:after="80"/>
      <w:outlineLvl w:val="2"/>
    </w:pPr>
    <w:rPr>
      <w:rFonts w:eastAsiaTheme="majorEastAsia" w:cstheme="majorBidi"/>
      <w:color w:val="2E163D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163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AB6"/>
    <w:pPr>
      <w:keepNext/>
      <w:keepLines/>
      <w:spacing w:before="80" w:after="40"/>
      <w:outlineLvl w:val="4"/>
    </w:pPr>
    <w:rPr>
      <w:rFonts w:eastAsiaTheme="majorEastAsia" w:cstheme="majorBidi"/>
      <w:color w:val="2E163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AB6"/>
    <w:pPr>
      <w:keepNext/>
      <w:keepLines/>
      <w:spacing w:before="40"/>
      <w:outlineLvl w:val="5"/>
    </w:pPr>
    <w:rPr>
      <w:rFonts w:eastAsiaTheme="majorEastAsia" w:cstheme="majorBidi"/>
      <w:i/>
      <w:iCs/>
      <w:color w:val="979295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AB6"/>
    <w:pPr>
      <w:keepNext/>
      <w:keepLines/>
      <w:spacing w:before="40"/>
      <w:outlineLvl w:val="6"/>
    </w:pPr>
    <w:rPr>
      <w:rFonts w:eastAsiaTheme="majorEastAsia" w:cstheme="majorBidi"/>
      <w:color w:val="979295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AB6"/>
    <w:pPr>
      <w:keepNext/>
      <w:keepLines/>
      <w:outlineLvl w:val="7"/>
    </w:pPr>
    <w:rPr>
      <w:rFonts w:eastAsiaTheme="majorEastAsia" w:cstheme="majorBidi"/>
      <w:i/>
      <w:iCs/>
      <w:color w:val="777276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AB6"/>
    <w:pPr>
      <w:keepNext/>
      <w:keepLines/>
      <w:outlineLvl w:val="8"/>
    </w:pPr>
    <w:rPr>
      <w:rFonts w:eastAsiaTheme="majorEastAsia" w:cstheme="majorBidi"/>
      <w:color w:val="777276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AB6"/>
    <w:rPr>
      <w:rFonts w:asciiTheme="majorHAnsi" w:eastAsiaTheme="majorEastAsia" w:hAnsiTheme="majorHAnsi" w:cstheme="majorBidi"/>
      <w:color w:val="2E163D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AB6"/>
    <w:rPr>
      <w:rFonts w:asciiTheme="majorHAnsi" w:eastAsiaTheme="majorEastAsia" w:hAnsiTheme="majorHAnsi" w:cstheme="majorBidi"/>
      <w:color w:val="2E163D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AB6"/>
    <w:rPr>
      <w:rFonts w:eastAsiaTheme="majorEastAsia" w:cstheme="majorBidi"/>
      <w:color w:val="2E163D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AB6"/>
    <w:rPr>
      <w:rFonts w:eastAsiaTheme="majorEastAsia" w:cstheme="majorBidi"/>
      <w:i/>
      <w:iCs/>
      <w:color w:val="2E163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AB6"/>
    <w:rPr>
      <w:rFonts w:eastAsiaTheme="majorEastAsia" w:cstheme="majorBidi"/>
      <w:color w:val="2E163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AB6"/>
    <w:rPr>
      <w:rFonts w:eastAsiaTheme="majorEastAsia" w:cstheme="majorBidi"/>
      <w:i/>
      <w:iCs/>
      <w:color w:val="979295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AB6"/>
    <w:rPr>
      <w:rFonts w:eastAsiaTheme="majorEastAsia" w:cstheme="majorBidi"/>
      <w:color w:val="979295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AB6"/>
    <w:rPr>
      <w:rFonts w:eastAsiaTheme="majorEastAsia" w:cstheme="majorBidi"/>
      <w:i/>
      <w:iCs/>
      <w:color w:val="777276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AB6"/>
    <w:rPr>
      <w:rFonts w:eastAsiaTheme="majorEastAsia" w:cstheme="majorBidi"/>
      <w:color w:val="777276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AB6"/>
    <w:pPr>
      <w:numPr>
        <w:ilvl w:val="1"/>
      </w:numPr>
      <w:spacing w:after="160"/>
    </w:pPr>
    <w:rPr>
      <w:rFonts w:eastAsiaTheme="majorEastAsia" w:cstheme="majorBidi"/>
      <w:color w:val="979295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AB6"/>
    <w:rPr>
      <w:rFonts w:eastAsiaTheme="majorEastAsia" w:cstheme="majorBidi"/>
      <w:color w:val="979295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AB6"/>
    <w:pPr>
      <w:spacing w:before="160" w:after="160"/>
      <w:jc w:val="center"/>
    </w:pPr>
    <w:rPr>
      <w:i/>
      <w:iCs/>
      <w:color w:val="87828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AB6"/>
    <w:rPr>
      <w:i/>
      <w:iCs/>
      <w:color w:val="878286" w:themeColor="text1" w:themeTint="BF"/>
    </w:rPr>
  </w:style>
  <w:style w:type="paragraph" w:styleId="ListParagraph">
    <w:name w:val="List Paragraph"/>
    <w:basedOn w:val="Normal"/>
    <w:uiPriority w:val="34"/>
    <w:qFormat/>
    <w:rsid w:val="00061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AB6"/>
    <w:rPr>
      <w:i/>
      <w:iCs/>
      <w:color w:val="2E163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AB6"/>
    <w:pPr>
      <w:pBdr>
        <w:top w:val="single" w:sz="4" w:space="10" w:color="2E163D" w:themeColor="accent1" w:themeShade="BF"/>
        <w:bottom w:val="single" w:sz="4" w:space="10" w:color="2E163D" w:themeColor="accent1" w:themeShade="BF"/>
      </w:pBdr>
      <w:spacing w:before="360" w:after="360"/>
      <w:ind w:left="864" w:right="864"/>
      <w:jc w:val="center"/>
    </w:pPr>
    <w:rPr>
      <w:i/>
      <w:iCs/>
      <w:color w:val="2E163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AB6"/>
    <w:rPr>
      <w:i/>
      <w:iCs/>
      <w:color w:val="2E163D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AB6"/>
    <w:rPr>
      <w:b/>
      <w:bCs/>
      <w:smallCaps/>
      <w:color w:val="2E163D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61A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AB6"/>
    <w:rPr>
      <w:rFonts w:ascii="Montserrat" w:hAnsi="Montserrat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061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fontTable" Target="fontTable.xml"/><Relationship Id="rId10" Type="http://schemas.openxmlformats.org/officeDocument/2006/relationships/chart" Target="charts/chart7.xml"/><Relationship Id="rId19" Type="http://schemas.openxmlformats.org/officeDocument/2006/relationships/customXml" Target="../customXml/item3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triducive.sharepoint.com/sites/TriduciveSharepoint/Shared%20Documents/Clients/AstraZeneca/Consensus/2025/AZ%20Global%20ATTR%20Consensus%202025/04_Results/ATTR%20Consensus_Results%20Analysis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268624708864985"/>
          <c:y val="5.7384399561623382E-2"/>
          <c:w val="0.46896973033339773"/>
          <c:h val="0.9268750035986710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Charts!$C$11:$C$12</c:f>
              <c:strCache>
                <c:ptCount val="2"/>
                <c:pt idx="0">
                  <c:v>Neuromuscular Neurologist</c:v>
                </c:pt>
                <c:pt idx="1">
                  <c:v>Heart Failure Cardiologist</c:v>
                </c:pt>
              </c:strCache>
            </c:strRef>
          </c:cat>
          <c:val>
            <c:numRef>
              <c:f>Charts!$D$11:$D$12</c:f>
              <c:numCache>
                <c:formatCode>General</c:formatCode>
                <c:ptCount val="2"/>
                <c:pt idx="0">
                  <c:v>74</c:v>
                </c:pt>
                <c:pt idx="1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32-8E4E-ACC5-39B2325DD3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01059872"/>
        <c:axId val="568912160"/>
      </c:barChart>
      <c:catAx>
        <c:axId val="20105987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568912160"/>
        <c:crosses val="autoZero"/>
        <c:auto val="1"/>
        <c:lblAlgn val="ctr"/>
        <c:lblOffset val="100"/>
        <c:noMultiLvlLbl val="0"/>
      </c:catAx>
      <c:valAx>
        <c:axId val="56891216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201059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9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7673768314151901"/>
          <c:y val="2.9791665200541412E-2"/>
          <c:w val="0.60433982093657013"/>
          <c:h val="0.9268750035986710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Charts!$C$132:$C$138</c:f>
              <c:strCache>
                <c:ptCount val="7"/>
                <c:pt idx="0">
                  <c:v>United States</c:v>
                </c:pt>
                <c:pt idx="1">
                  <c:v>Canada</c:v>
                </c:pt>
                <c:pt idx="2">
                  <c:v>France</c:v>
                </c:pt>
                <c:pt idx="3">
                  <c:v>Germany</c:v>
                </c:pt>
                <c:pt idx="4">
                  <c:v>Italy</c:v>
                </c:pt>
                <c:pt idx="5">
                  <c:v>Spain</c:v>
                </c:pt>
                <c:pt idx="6">
                  <c:v>United Kingdom</c:v>
                </c:pt>
              </c:strCache>
            </c:strRef>
          </c:cat>
          <c:val>
            <c:numRef>
              <c:f>Charts!$D$132:$D$138</c:f>
              <c:numCache>
                <c:formatCode>0</c:formatCode>
                <c:ptCount val="7"/>
                <c:pt idx="0">
                  <c:v>50</c:v>
                </c:pt>
                <c:pt idx="1">
                  <c:v>10</c:v>
                </c:pt>
                <c:pt idx="2" formatCode="General">
                  <c:v>8</c:v>
                </c:pt>
                <c:pt idx="3" formatCode="General">
                  <c:v>8</c:v>
                </c:pt>
                <c:pt idx="4" formatCode="General">
                  <c:v>8</c:v>
                </c:pt>
                <c:pt idx="5" formatCode="General">
                  <c:v>8</c:v>
                </c:pt>
                <c:pt idx="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D8-3644-97E4-8AD1FD1C36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01059872"/>
        <c:axId val="568912160"/>
      </c:barChart>
      <c:catAx>
        <c:axId val="20105987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568912160"/>
        <c:crosses val="autoZero"/>
        <c:auto val="1"/>
        <c:lblAlgn val="ctr"/>
        <c:lblOffset val="100"/>
        <c:noMultiLvlLbl val="0"/>
      </c:catAx>
      <c:valAx>
        <c:axId val="568912160"/>
        <c:scaling>
          <c:orientation val="minMax"/>
        </c:scaling>
        <c:delete val="1"/>
        <c:axPos val="t"/>
        <c:numFmt formatCode="0" sourceLinked="1"/>
        <c:majorTickMark val="none"/>
        <c:minorTickMark val="none"/>
        <c:tickLblPos val="nextTo"/>
        <c:crossAx val="201059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9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7673768314151901"/>
          <c:y val="2.9791665200541412E-2"/>
          <c:w val="0.60433982093657013"/>
          <c:h val="0.9268750035986710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eparator>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Charts!$C$36:$C$39</c:f>
              <c:strCache>
                <c:ptCount val="4"/>
                <c:pt idx="0">
                  <c:v>Less than 5 years</c:v>
                </c:pt>
                <c:pt idx="1">
                  <c:v>5-10 years</c:v>
                </c:pt>
                <c:pt idx="2">
                  <c:v>11-20 years</c:v>
                </c:pt>
                <c:pt idx="3">
                  <c:v>More than 20 years</c:v>
                </c:pt>
              </c:strCache>
            </c:strRef>
          </c:cat>
          <c:val>
            <c:numRef>
              <c:f>Charts!$D$36:$D$39</c:f>
              <c:numCache>
                <c:formatCode>General</c:formatCode>
                <c:ptCount val="4"/>
                <c:pt idx="0">
                  <c:v>5</c:v>
                </c:pt>
                <c:pt idx="1">
                  <c:v>33</c:v>
                </c:pt>
                <c:pt idx="2">
                  <c:v>44</c:v>
                </c:pt>
                <c:pt idx="3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78-AF4C-9237-7305D1908F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01059872"/>
        <c:axId val="568912160"/>
      </c:barChart>
      <c:catAx>
        <c:axId val="20105987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568912160"/>
        <c:crosses val="autoZero"/>
        <c:auto val="1"/>
        <c:lblAlgn val="ctr"/>
        <c:lblOffset val="100"/>
        <c:noMultiLvlLbl val="0"/>
      </c:catAx>
      <c:valAx>
        <c:axId val="56891216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201059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9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738683789795174"/>
          <c:y val="2.9791665200541412E-2"/>
          <c:w val="0.4836905067488772"/>
          <c:h val="0.9268750035986710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Charts!$C$103:$C$106</c:f>
              <c:strCache>
                <c:ptCount val="4"/>
                <c:pt idx="0">
                  <c:v>Academic medical center / University hospital</c:v>
                </c:pt>
                <c:pt idx="1">
                  <c:v>Private clinic / Private practice</c:v>
                </c:pt>
                <c:pt idx="2">
                  <c:v>Regional / Community hospital</c:v>
                </c:pt>
                <c:pt idx="3">
                  <c:v>Tertiary referral hospital / Specialized care center</c:v>
                </c:pt>
              </c:strCache>
            </c:strRef>
          </c:cat>
          <c:val>
            <c:numRef>
              <c:f>Charts!$D$103:$D$106</c:f>
              <c:numCache>
                <c:formatCode>General</c:formatCode>
                <c:ptCount val="4"/>
                <c:pt idx="0">
                  <c:v>68</c:v>
                </c:pt>
                <c:pt idx="1">
                  <c:v>16</c:v>
                </c:pt>
                <c:pt idx="2">
                  <c:v>11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7B-0A44-8B79-04ABC623BB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01059872"/>
        <c:axId val="568912160"/>
      </c:barChart>
      <c:catAx>
        <c:axId val="20105987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568912160"/>
        <c:crosses val="autoZero"/>
        <c:auto val="1"/>
        <c:lblAlgn val="ctr"/>
        <c:lblOffset val="100"/>
        <c:noMultiLvlLbl val="0"/>
      </c:catAx>
      <c:valAx>
        <c:axId val="56891216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201059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9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7673768314151901"/>
          <c:y val="2.9791665200541412E-2"/>
          <c:w val="0.60433982093657013"/>
          <c:h val="0.9268750035986710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Charts!$C$67:$C$70</c:f>
              <c:strCache>
                <c:ptCount val="4"/>
                <c:pt idx="0">
                  <c:v>1-5 patients</c:v>
                </c:pt>
                <c:pt idx="1">
                  <c:v>6-15 patients</c:v>
                </c:pt>
                <c:pt idx="2">
                  <c:v>15-25 patients</c:v>
                </c:pt>
                <c:pt idx="3">
                  <c:v>More than 25 patients</c:v>
                </c:pt>
              </c:strCache>
            </c:strRef>
          </c:cat>
          <c:val>
            <c:numRef>
              <c:f>Charts!$D$67:$D$70</c:f>
              <c:numCache>
                <c:formatCode>General</c:formatCode>
                <c:ptCount val="4"/>
                <c:pt idx="0">
                  <c:v>15</c:v>
                </c:pt>
                <c:pt idx="1">
                  <c:v>36</c:v>
                </c:pt>
                <c:pt idx="2">
                  <c:v>29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35-4943-B3D3-81A34D732B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01059872"/>
        <c:axId val="568912160"/>
      </c:barChart>
      <c:catAx>
        <c:axId val="20105987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568912160"/>
        <c:crosses val="autoZero"/>
        <c:auto val="1"/>
        <c:lblAlgn val="ctr"/>
        <c:lblOffset val="100"/>
        <c:noMultiLvlLbl val="0"/>
      </c:catAx>
      <c:valAx>
        <c:axId val="56891216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201059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9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064542882347428E-2"/>
          <c:y val="5.0634402469581917E-2"/>
          <c:w val="0.86807959461997042"/>
          <c:h val="0.8883244935430252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'Formatted Data'!$M$5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val>
            <c:numRef>
              <c:f>'Formatted Data'!$N$5:$BC$5</c:f>
              <c:numCache>
                <c:formatCode>General</c:formatCode>
                <c:ptCount val="42"/>
                <c:pt idx="0">
                  <c:v>54</c:v>
                </c:pt>
                <c:pt idx="1">
                  <c:v>48</c:v>
                </c:pt>
                <c:pt idx="2">
                  <c:v>32</c:v>
                </c:pt>
                <c:pt idx="3">
                  <c:v>36</c:v>
                </c:pt>
                <c:pt idx="4">
                  <c:v>55</c:v>
                </c:pt>
                <c:pt idx="5">
                  <c:v>48</c:v>
                </c:pt>
                <c:pt idx="6">
                  <c:v>39</c:v>
                </c:pt>
                <c:pt idx="7">
                  <c:v>51</c:v>
                </c:pt>
                <c:pt idx="8">
                  <c:v>38</c:v>
                </c:pt>
                <c:pt idx="9">
                  <c:v>55</c:v>
                </c:pt>
                <c:pt idx="10">
                  <c:v>55</c:v>
                </c:pt>
                <c:pt idx="11">
                  <c:v>52</c:v>
                </c:pt>
                <c:pt idx="12">
                  <c:v>49</c:v>
                </c:pt>
                <c:pt idx="13">
                  <c:v>53</c:v>
                </c:pt>
                <c:pt idx="14">
                  <c:v>48</c:v>
                </c:pt>
                <c:pt idx="15">
                  <c:v>56</c:v>
                </c:pt>
                <c:pt idx="16">
                  <c:v>29</c:v>
                </c:pt>
                <c:pt idx="17">
                  <c:v>35</c:v>
                </c:pt>
                <c:pt idx="18">
                  <c:v>41</c:v>
                </c:pt>
                <c:pt idx="19">
                  <c:v>57</c:v>
                </c:pt>
                <c:pt idx="20">
                  <c:v>53</c:v>
                </c:pt>
                <c:pt idx="21">
                  <c:v>56</c:v>
                </c:pt>
                <c:pt idx="22">
                  <c:v>55</c:v>
                </c:pt>
                <c:pt idx="23">
                  <c:v>54</c:v>
                </c:pt>
                <c:pt idx="24">
                  <c:v>64</c:v>
                </c:pt>
                <c:pt idx="25">
                  <c:v>62</c:v>
                </c:pt>
                <c:pt idx="26">
                  <c:v>61</c:v>
                </c:pt>
                <c:pt idx="27">
                  <c:v>63</c:v>
                </c:pt>
                <c:pt idx="28">
                  <c:v>46</c:v>
                </c:pt>
                <c:pt idx="29">
                  <c:v>39</c:v>
                </c:pt>
                <c:pt idx="30">
                  <c:v>40</c:v>
                </c:pt>
                <c:pt idx="31">
                  <c:v>36</c:v>
                </c:pt>
                <c:pt idx="32">
                  <c:v>29</c:v>
                </c:pt>
                <c:pt idx="33">
                  <c:v>61</c:v>
                </c:pt>
                <c:pt idx="34">
                  <c:v>40</c:v>
                </c:pt>
                <c:pt idx="35">
                  <c:v>32</c:v>
                </c:pt>
                <c:pt idx="36">
                  <c:v>29</c:v>
                </c:pt>
                <c:pt idx="37">
                  <c:v>34</c:v>
                </c:pt>
                <c:pt idx="38">
                  <c:v>25</c:v>
                </c:pt>
                <c:pt idx="39">
                  <c:v>33</c:v>
                </c:pt>
                <c:pt idx="40">
                  <c:v>45</c:v>
                </c:pt>
                <c:pt idx="41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34-844F-98CE-BCDB341330CF}"/>
            </c:ext>
          </c:extLst>
        </c:ser>
        <c:ser>
          <c:idx val="1"/>
          <c:order val="1"/>
          <c:tx>
            <c:strRef>
              <c:f>'Formatted Data'!$M$6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val>
            <c:numRef>
              <c:f>'Formatted Data'!$N$6:$BC$6</c:f>
              <c:numCache>
                <c:formatCode>General</c:formatCode>
                <c:ptCount val="42"/>
                <c:pt idx="0">
                  <c:v>41</c:v>
                </c:pt>
                <c:pt idx="1">
                  <c:v>44</c:v>
                </c:pt>
                <c:pt idx="2">
                  <c:v>46</c:v>
                </c:pt>
                <c:pt idx="3">
                  <c:v>41</c:v>
                </c:pt>
                <c:pt idx="4">
                  <c:v>40</c:v>
                </c:pt>
                <c:pt idx="5">
                  <c:v>42</c:v>
                </c:pt>
                <c:pt idx="6">
                  <c:v>50</c:v>
                </c:pt>
                <c:pt idx="7">
                  <c:v>40</c:v>
                </c:pt>
                <c:pt idx="8">
                  <c:v>48</c:v>
                </c:pt>
                <c:pt idx="9">
                  <c:v>36</c:v>
                </c:pt>
                <c:pt idx="10">
                  <c:v>35</c:v>
                </c:pt>
                <c:pt idx="11">
                  <c:v>37</c:v>
                </c:pt>
                <c:pt idx="12">
                  <c:v>40</c:v>
                </c:pt>
                <c:pt idx="13">
                  <c:v>40</c:v>
                </c:pt>
                <c:pt idx="14">
                  <c:v>42</c:v>
                </c:pt>
                <c:pt idx="15">
                  <c:v>36</c:v>
                </c:pt>
                <c:pt idx="16">
                  <c:v>58</c:v>
                </c:pt>
                <c:pt idx="17">
                  <c:v>60</c:v>
                </c:pt>
                <c:pt idx="18">
                  <c:v>47</c:v>
                </c:pt>
                <c:pt idx="19">
                  <c:v>36</c:v>
                </c:pt>
                <c:pt idx="20">
                  <c:v>41</c:v>
                </c:pt>
                <c:pt idx="21">
                  <c:v>39</c:v>
                </c:pt>
                <c:pt idx="22">
                  <c:v>38</c:v>
                </c:pt>
                <c:pt idx="23">
                  <c:v>37</c:v>
                </c:pt>
                <c:pt idx="24">
                  <c:v>29</c:v>
                </c:pt>
                <c:pt idx="25">
                  <c:v>33</c:v>
                </c:pt>
                <c:pt idx="26">
                  <c:v>35</c:v>
                </c:pt>
                <c:pt idx="27">
                  <c:v>30</c:v>
                </c:pt>
                <c:pt idx="28">
                  <c:v>46</c:v>
                </c:pt>
                <c:pt idx="29">
                  <c:v>50</c:v>
                </c:pt>
                <c:pt idx="30">
                  <c:v>52</c:v>
                </c:pt>
                <c:pt idx="31">
                  <c:v>52</c:v>
                </c:pt>
                <c:pt idx="32">
                  <c:v>66</c:v>
                </c:pt>
                <c:pt idx="33">
                  <c:v>28</c:v>
                </c:pt>
                <c:pt idx="34">
                  <c:v>48</c:v>
                </c:pt>
                <c:pt idx="35">
                  <c:v>51</c:v>
                </c:pt>
                <c:pt idx="36">
                  <c:v>51</c:v>
                </c:pt>
                <c:pt idx="37">
                  <c:v>40</c:v>
                </c:pt>
                <c:pt idx="38">
                  <c:v>48</c:v>
                </c:pt>
                <c:pt idx="39">
                  <c:v>55</c:v>
                </c:pt>
                <c:pt idx="40">
                  <c:v>45</c:v>
                </c:pt>
                <c:pt idx="41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34-844F-98CE-BCDB341330CF}"/>
            </c:ext>
          </c:extLst>
        </c:ser>
        <c:ser>
          <c:idx val="2"/>
          <c:order val="2"/>
          <c:tx>
            <c:strRef>
              <c:f>'Formatted Data'!$M$7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chemeClr val="accent5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val>
            <c:numRef>
              <c:f>'Formatted Data'!$N$7:$BC$7</c:f>
              <c:numCache>
                <c:formatCode>General</c:formatCode>
                <c:ptCount val="42"/>
                <c:pt idx="0">
                  <c:v>5</c:v>
                </c:pt>
                <c:pt idx="1">
                  <c:v>8</c:v>
                </c:pt>
                <c:pt idx="2">
                  <c:v>20</c:v>
                </c:pt>
                <c:pt idx="3">
                  <c:v>20</c:v>
                </c:pt>
                <c:pt idx="4">
                  <c:v>5</c:v>
                </c:pt>
                <c:pt idx="5">
                  <c:v>10</c:v>
                </c:pt>
                <c:pt idx="6">
                  <c:v>9</c:v>
                </c:pt>
                <c:pt idx="7">
                  <c:v>9</c:v>
                </c:pt>
                <c:pt idx="8">
                  <c:v>13</c:v>
                </c:pt>
                <c:pt idx="9">
                  <c:v>9</c:v>
                </c:pt>
                <c:pt idx="10">
                  <c:v>10</c:v>
                </c:pt>
                <c:pt idx="11">
                  <c:v>9</c:v>
                </c:pt>
                <c:pt idx="12">
                  <c:v>11</c:v>
                </c:pt>
                <c:pt idx="13">
                  <c:v>6</c:v>
                </c:pt>
                <c:pt idx="14">
                  <c:v>8</c:v>
                </c:pt>
                <c:pt idx="15">
                  <c:v>7</c:v>
                </c:pt>
                <c:pt idx="16">
                  <c:v>11</c:v>
                </c:pt>
                <c:pt idx="17">
                  <c:v>5</c:v>
                </c:pt>
                <c:pt idx="18">
                  <c:v>11</c:v>
                </c:pt>
                <c:pt idx="19">
                  <c:v>7</c:v>
                </c:pt>
                <c:pt idx="20">
                  <c:v>6</c:v>
                </c:pt>
                <c:pt idx="21">
                  <c:v>4</c:v>
                </c:pt>
                <c:pt idx="22">
                  <c:v>6</c:v>
                </c:pt>
                <c:pt idx="23">
                  <c:v>8</c:v>
                </c:pt>
                <c:pt idx="24">
                  <c:v>7</c:v>
                </c:pt>
                <c:pt idx="25">
                  <c:v>4</c:v>
                </c:pt>
                <c:pt idx="26">
                  <c:v>4</c:v>
                </c:pt>
                <c:pt idx="27">
                  <c:v>5</c:v>
                </c:pt>
                <c:pt idx="28">
                  <c:v>8</c:v>
                </c:pt>
                <c:pt idx="29">
                  <c:v>10</c:v>
                </c:pt>
                <c:pt idx="30">
                  <c:v>7</c:v>
                </c:pt>
                <c:pt idx="31">
                  <c:v>10</c:v>
                </c:pt>
                <c:pt idx="32">
                  <c:v>5</c:v>
                </c:pt>
                <c:pt idx="33">
                  <c:v>10</c:v>
                </c:pt>
                <c:pt idx="34">
                  <c:v>12</c:v>
                </c:pt>
                <c:pt idx="35">
                  <c:v>15</c:v>
                </c:pt>
                <c:pt idx="36">
                  <c:v>18</c:v>
                </c:pt>
                <c:pt idx="37">
                  <c:v>23</c:v>
                </c:pt>
                <c:pt idx="38">
                  <c:v>21</c:v>
                </c:pt>
                <c:pt idx="39">
                  <c:v>11</c:v>
                </c:pt>
                <c:pt idx="40">
                  <c:v>8</c:v>
                </c:pt>
                <c:pt idx="4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34-844F-98CE-BCDB341330CF}"/>
            </c:ext>
          </c:extLst>
        </c:ser>
        <c:ser>
          <c:idx val="3"/>
          <c:order val="3"/>
          <c:tx>
            <c:strRef>
              <c:f>'Formatted Data'!$M$8</c:f>
              <c:strCache>
                <c:ptCount val="1"/>
                <c:pt idx="0">
                  <c:v>Strongly Disagree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'Formatted Data'!$N$8:$BC$8</c:f>
              <c:numCache>
                <c:formatCode>General</c:formatCode>
                <c:ptCount val="42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1</c:v>
                </c:pt>
                <c:pt idx="9">
                  <c:v>0</c:v>
                </c:pt>
                <c:pt idx="10">
                  <c:v>0</c:v>
                </c:pt>
                <c:pt idx="11">
                  <c:v>2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1</c:v>
                </c:pt>
                <c:pt idx="16">
                  <c:v>2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0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0</c:v>
                </c:pt>
                <c:pt idx="25">
                  <c:v>1</c:v>
                </c:pt>
                <c:pt idx="26">
                  <c:v>0</c:v>
                </c:pt>
                <c:pt idx="27">
                  <c:v>2</c:v>
                </c:pt>
                <c:pt idx="28">
                  <c:v>0</c:v>
                </c:pt>
                <c:pt idx="29">
                  <c:v>1</c:v>
                </c:pt>
                <c:pt idx="30">
                  <c:v>1</c:v>
                </c:pt>
                <c:pt idx="31">
                  <c:v>2</c:v>
                </c:pt>
                <c:pt idx="32">
                  <c:v>0</c:v>
                </c:pt>
                <c:pt idx="33">
                  <c:v>1</c:v>
                </c:pt>
                <c:pt idx="34">
                  <c:v>0</c:v>
                </c:pt>
                <c:pt idx="35">
                  <c:v>2</c:v>
                </c:pt>
                <c:pt idx="36">
                  <c:v>2</c:v>
                </c:pt>
                <c:pt idx="37">
                  <c:v>3</c:v>
                </c:pt>
                <c:pt idx="38">
                  <c:v>6</c:v>
                </c:pt>
                <c:pt idx="39">
                  <c:v>1</c:v>
                </c:pt>
                <c:pt idx="40">
                  <c:v>2</c:v>
                </c:pt>
                <c:pt idx="4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534-844F-98CE-BCDB341330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overlap val="100"/>
        <c:axId val="175074688"/>
        <c:axId val="175075088"/>
      </c:barChart>
      <c:catAx>
        <c:axId val="175074688"/>
        <c:scaling>
          <c:orientation val="maxMin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r>
                  <a:rPr lang="en-GB" b="1"/>
                  <a:t>Statement Number</a:t>
                </a:r>
              </a:p>
            </c:rich>
          </c:tx>
          <c:layout>
            <c:manualLayout>
              <c:xMode val="edge"/>
              <c:yMode val="edge"/>
              <c:x val="1.5297877659461482E-2"/>
              <c:y val="0.4597113616628614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Montserrat" pitchFamily="2" charset="77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175075088"/>
        <c:crosses val="autoZero"/>
        <c:auto val="1"/>
        <c:lblAlgn val="ctr"/>
        <c:lblOffset val="100"/>
        <c:tickLblSkip val="1"/>
        <c:noMultiLvlLbl val="0"/>
      </c:catAx>
      <c:valAx>
        <c:axId val="175075088"/>
        <c:scaling>
          <c:orientation val="minMax"/>
          <c:max val="1"/>
        </c:scaling>
        <c:delete val="0"/>
        <c:axPos val="t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r>
                  <a:rPr lang="en-GB" b="1"/>
                  <a:t>Agreement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Montserrat" pitchFamily="2" charset="77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175074688"/>
        <c:crossesAt val="1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492758133102871"/>
          <c:y val="0.95184848927145149"/>
          <c:w val="0.51316475168308384"/>
          <c:h val="3.86425314745245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Montserrat" pitchFamily="2" charset="77"/>
              <a:ea typeface="+mn-ea"/>
              <a:cs typeface="+mn-cs"/>
            </a:defRPr>
          </a:pPr>
          <a:endParaRPr lang="en-US"/>
        </a:p>
      </c:txPr>
    </c:legend>
    <c:plotVisOnly val="0"/>
    <c:dispBlanksAs val="gap"/>
    <c:showDLblsOverMax val="0"/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900" b="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366203005491718E-2"/>
          <c:y val="6.9897367919735845E-2"/>
          <c:w val="0.89654664198309508"/>
          <c:h val="0.77648312484124982"/>
        </c:manualLayout>
      </c:layout>
      <c:scatterChart>
        <c:scatterStyle val="lineMarker"/>
        <c:varyColors val="0"/>
        <c:ser>
          <c:idx val="2"/>
          <c:order val="0"/>
          <c:tx>
            <c:strRef>
              <c:f>'Subanalysis calcs'!$C$121</c:f>
              <c:strCache>
                <c:ptCount val="1"/>
                <c:pt idx="0">
                  <c:v>Academic medical center / University hospital n=(68)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>
                <a:noFill/>
              </a:ln>
            </c:spPr>
          </c:marker>
          <c:xVal>
            <c:numRef>
              <c:f>'Subanalysis calcs'!$D$119:$BN$119</c:f>
              <c:numCache>
                <c:formatCode>General</c:formatCode>
                <c:ptCount val="6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</c:numCache>
            </c:numRef>
          </c:xVal>
          <c:yVal>
            <c:numRef>
              <c:f>'Subanalysis calcs'!$D$121:$BN$121</c:f>
              <c:numCache>
                <c:formatCode>0%</c:formatCode>
                <c:ptCount val="63"/>
                <c:pt idx="0">
                  <c:v>0.94117647058823528</c:v>
                </c:pt>
                <c:pt idx="1">
                  <c:v>0.91176470588235292</c:v>
                </c:pt>
                <c:pt idx="2">
                  <c:v>0.77941176470588236</c:v>
                </c:pt>
                <c:pt idx="3">
                  <c:v>0.75</c:v>
                </c:pt>
                <c:pt idx="4">
                  <c:v>0.94117647058823528</c:v>
                </c:pt>
                <c:pt idx="5">
                  <c:v>0.8970588235294118</c:v>
                </c:pt>
                <c:pt idx="6">
                  <c:v>0.88235294117647056</c:v>
                </c:pt>
                <c:pt idx="7">
                  <c:v>0.8970588235294118</c:v>
                </c:pt>
                <c:pt idx="8">
                  <c:v>0.83823529411764708</c:v>
                </c:pt>
                <c:pt idx="9">
                  <c:v>0.91176470588235292</c:v>
                </c:pt>
                <c:pt idx="10">
                  <c:v>0.8970588235294118</c:v>
                </c:pt>
                <c:pt idx="11">
                  <c:v>0.88235294117647056</c:v>
                </c:pt>
                <c:pt idx="12">
                  <c:v>0.88235294117647056</c:v>
                </c:pt>
                <c:pt idx="13">
                  <c:v>0.91176470588235292</c:v>
                </c:pt>
                <c:pt idx="14">
                  <c:v>0.91176470588235292</c:v>
                </c:pt>
                <c:pt idx="15">
                  <c:v>0.94117647058823528</c:v>
                </c:pt>
                <c:pt idx="16">
                  <c:v>0.83823529411764708</c:v>
                </c:pt>
                <c:pt idx="17">
                  <c:v>0.94117647058823528</c:v>
                </c:pt>
                <c:pt idx="18">
                  <c:v>0.86764705882352944</c:v>
                </c:pt>
                <c:pt idx="19">
                  <c:v>0.92647058823529416</c:v>
                </c:pt>
                <c:pt idx="20">
                  <c:v>0.94117647058823528</c:v>
                </c:pt>
                <c:pt idx="21">
                  <c:v>0.95588235294117652</c:v>
                </c:pt>
                <c:pt idx="22">
                  <c:v>0.94117647058823528</c:v>
                </c:pt>
                <c:pt idx="23">
                  <c:v>0.94117647058823528</c:v>
                </c:pt>
                <c:pt idx="24">
                  <c:v>0.91176470588235292</c:v>
                </c:pt>
                <c:pt idx="25">
                  <c:v>0.95588235294117652</c:v>
                </c:pt>
                <c:pt idx="26">
                  <c:v>0.95588235294117652</c:v>
                </c:pt>
                <c:pt idx="27">
                  <c:v>0.92647058823529416</c:v>
                </c:pt>
                <c:pt idx="28">
                  <c:v>0.92647058823529416</c:v>
                </c:pt>
                <c:pt idx="29">
                  <c:v>0.8970588235294118</c:v>
                </c:pt>
                <c:pt idx="30">
                  <c:v>0.91176470588235292</c:v>
                </c:pt>
                <c:pt idx="31">
                  <c:v>0.86764705882352944</c:v>
                </c:pt>
                <c:pt idx="32">
                  <c:v>0.95588235294117652</c:v>
                </c:pt>
                <c:pt idx="33">
                  <c:v>0.8970588235294118</c:v>
                </c:pt>
                <c:pt idx="34">
                  <c:v>0.8529411764705882</c:v>
                </c:pt>
                <c:pt idx="35">
                  <c:v>0.76470588235294112</c:v>
                </c:pt>
                <c:pt idx="36">
                  <c:v>0.80882352941176472</c:v>
                </c:pt>
                <c:pt idx="37">
                  <c:v>0.70588235294117652</c:v>
                </c:pt>
                <c:pt idx="38">
                  <c:v>0.66176470588235292</c:v>
                </c:pt>
                <c:pt idx="39">
                  <c:v>0.8970588235294118</c:v>
                </c:pt>
                <c:pt idx="40">
                  <c:v>0.91176470588235292</c:v>
                </c:pt>
                <c:pt idx="41">
                  <c:v>0.95588235294117652</c:v>
                </c:pt>
                <c:pt idx="42">
                  <c:v>0.95588235294117652</c:v>
                </c:pt>
                <c:pt idx="43">
                  <c:v>0.92647058823529416</c:v>
                </c:pt>
                <c:pt idx="44">
                  <c:v>0.97058823529411764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24D-9F4D-9136-B891B501FCE9}"/>
            </c:ext>
          </c:extLst>
        </c:ser>
        <c:ser>
          <c:idx val="3"/>
          <c:order val="1"/>
          <c:tx>
            <c:strRef>
              <c:f>'Subanalysis calcs'!$C$122</c:f>
              <c:strCache>
                <c:ptCount val="1"/>
                <c:pt idx="0">
                  <c:v>Private clinic / Private practice n=(16)</c:v>
                </c:pt>
              </c:strCache>
            </c:strRef>
          </c:tx>
          <c:spPr>
            <a:ln w="19050">
              <a:noFill/>
            </a:ln>
          </c:spPr>
          <c:marker>
            <c:symbol val="triangle"/>
            <c:size val="5"/>
            <c:spPr>
              <a:solidFill>
                <a:schemeClr val="accent5"/>
              </a:solidFill>
              <a:ln>
                <a:noFill/>
              </a:ln>
            </c:spPr>
          </c:marker>
          <c:xVal>
            <c:numRef>
              <c:f>'Subanalysis calcs'!$D$119:$BN$119</c:f>
              <c:numCache>
                <c:formatCode>General</c:formatCode>
                <c:ptCount val="6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</c:numCache>
            </c:numRef>
          </c:xVal>
          <c:yVal>
            <c:numRef>
              <c:f>'Subanalysis calcs'!$D$122:$BN$122</c:f>
              <c:numCache>
                <c:formatCode>0%</c:formatCode>
                <c:ptCount val="63"/>
                <c:pt idx="0">
                  <c:v>0.9375</c:v>
                </c:pt>
                <c:pt idx="1">
                  <c:v>0.875</c:v>
                </c:pt>
                <c:pt idx="2">
                  <c:v>0.75</c:v>
                </c:pt>
                <c:pt idx="3">
                  <c:v>0.8125</c:v>
                </c:pt>
                <c:pt idx="4">
                  <c:v>1</c:v>
                </c:pt>
                <c:pt idx="5">
                  <c:v>0.875</c:v>
                </c:pt>
                <c:pt idx="6">
                  <c:v>0.875</c:v>
                </c:pt>
                <c:pt idx="7">
                  <c:v>0.875</c:v>
                </c:pt>
                <c:pt idx="8">
                  <c:v>0.8125</c:v>
                </c:pt>
                <c:pt idx="9">
                  <c:v>0.8125</c:v>
                </c:pt>
                <c:pt idx="10">
                  <c:v>0.875</c:v>
                </c:pt>
                <c:pt idx="11">
                  <c:v>0.875</c:v>
                </c:pt>
                <c:pt idx="12">
                  <c:v>0.8125</c:v>
                </c:pt>
                <c:pt idx="13">
                  <c:v>0.9375</c:v>
                </c:pt>
                <c:pt idx="14">
                  <c:v>0.9375</c:v>
                </c:pt>
                <c:pt idx="15">
                  <c:v>0.8125</c:v>
                </c:pt>
                <c:pt idx="16">
                  <c:v>0.875</c:v>
                </c:pt>
                <c:pt idx="17">
                  <c:v>0.9375</c:v>
                </c:pt>
                <c:pt idx="18">
                  <c:v>0.8125</c:v>
                </c:pt>
                <c:pt idx="19">
                  <c:v>0.9375</c:v>
                </c:pt>
                <c:pt idx="20">
                  <c:v>0.875</c:v>
                </c:pt>
                <c:pt idx="21">
                  <c:v>0.9375</c:v>
                </c:pt>
                <c:pt idx="22">
                  <c:v>0.875</c:v>
                </c:pt>
                <c:pt idx="23">
                  <c:v>0.8125</c:v>
                </c:pt>
                <c:pt idx="24">
                  <c:v>0.9375</c:v>
                </c:pt>
                <c:pt idx="25">
                  <c:v>0.9375</c:v>
                </c:pt>
                <c:pt idx="26">
                  <c:v>0.9375</c:v>
                </c:pt>
                <c:pt idx="27">
                  <c:v>0.9375</c:v>
                </c:pt>
                <c:pt idx="28">
                  <c:v>0.875</c:v>
                </c:pt>
                <c:pt idx="29">
                  <c:v>0.875</c:v>
                </c:pt>
                <c:pt idx="30">
                  <c:v>0.9375</c:v>
                </c:pt>
                <c:pt idx="31">
                  <c:v>0.875</c:v>
                </c:pt>
                <c:pt idx="32">
                  <c:v>0.875</c:v>
                </c:pt>
                <c:pt idx="33">
                  <c:v>0.875</c:v>
                </c:pt>
                <c:pt idx="34">
                  <c:v>0.875</c:v>
                </c:pt>
                <c:pt idx="35">
                  <c:v>1</c:v>
                </c:pt>
                <c:pt idx="36">
                  <c:v>0.8125</c:v>
                </c:pt>
                <c:pt idx="37">
                  <c:v>0.8125</c:v>
                </c:pt>
                <c:pt idx="38">
                  <c:v>0.9375</c:v>
                </c:pt>
                <c:pt idx="39">
                  <c:v>0.8125</c:v>
                </c:pt>
                <c:pt idx="40">
                  <c:v>0.9375</c:v>
                </c:pt>
                <c:pt idx="41">
                  <c:v>0.9375</c:v>
                </c:pt>
                <c:pt idx="42">
                  <c:v>1</c:v>
                </c:pt>
                <c:pt idx="43">
                  <c:v>0.875</c:v>
                </c:pt>
                <c:pt idx="44">
                  <c:v>0.9375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24D-9F4D-9136-B891B501FCE9}"/>
            </c:ext>
          </c:extLst>
        </c:ser>
        <c:ser>
          <c:idx val="1"/>
          <c:order val="2"/>
          <c:tx>
            <c:strRef>
              <c:f>'Subanalysis calcs'!$C$123</c:f>
              <c:strCache>
                <c:ptCount val="1"/>
                <c:pt idx="0">
                  <c:v>Regional / Community hospital n=(11)</c:v>
                </c:pt>
              </c:strCache>
            </c:strRef>
          </c:tx>
          <c:spPr>
            <a:ln w="19050">
              <a:noFill/>
            </a:ln>
          </c:spPr>
          <c:marker>
            <c:symbol val="x"/>
            <c:size val="5"/>
            <c:spPr>
              <a:noFill/>
              <a:ln w="12700">
                <a:solidFill>
                  <a:schemeClr val="accent3"/>
                </a:solidFill>
              </a:ln>
            </c:spPr>
          </c:marker>
          <c:xVal>
            <c:numRef>
              <c:f>'Subanalysis calcs'!$D$119:$BN$119</c:f>
              <c:numCache>
                <c:formatCode>General</c:formatCode>
                <c:ptCount val="6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</c:numCache>
            </c:numRef>
          </c:xVal>
          <c:yVal>
            <c:numRef>
              <c:f>'Subanalysis calcs'!$D$123:$BN$123</c:f>
              <c:numCache>
                <c:formatCode>0%</c:formatCode>
                <c:ptCount val="63"/>
                <c:pt idx="0">
                  <c:v>1</c:v>
                </c:pt>
                <c:pt idx="1">
                  <c:v>1</c:v>
                </c:pt>
                <c:pt idx="2">
                  <c:v>0.72727272727272729</c:v>
                </c:pt>
                <c:pt idx="3">
                  <c:v>0.81818181818181823</c:v>
                </c:pt>
                <c:pt idx="4">
                  <c:v>0.90909090909090906</c:v>
                </c:pt>
                <c:pt idx="5">
                  <c:v>0.90909090909090906</c:v>
                </c:pt>
                <c:pt idx="6">
                  <c:v>0.90909090909090906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0.90909090909090906</c:v>
                </c:pt>
                <c:pt idx="12">
                  <c:v>1</c:v>
                </c:pt>
                <c:pt idx="13">
                  <c:v>1</c:v>
                </c:pt>
                <c:pt idx="14">
                  <c:v>0.81818181818181823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  <c:pt idx="36">
                  <c:v>0.81818181818181823</c:v>
                </c:pt>
                <c:pt idx="37">
                  <c:v>0.81818181818181823</c:v>
                </c:pt>
                <c:pt idx="38">
                  <c:v>0.90909090909090906</c:v>
                </c:pt>
                <c:pt idx="39">
                  <c:v>1</c:v>
                </c:pt>
                <c:pt idx="40">
                  <c:v>0.90909090909090906</c:v>
                </c:pt>
                <c:pt idx="41">
                  <c:v>1</c:v>
                </c:pt>
                <c:pt idx="42">
                  <c:v>1</c:v>
                </c:pt>
                <c:pt idx="43">
                  <c:v>1</c:v>
                </c:pt>
                <c:pt idx="44">
                  <c:v>1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24D-9F4D-9136-B891B501FCE9}"/>
            </c:ext>
          </c:extLst>
        </c:ser>
        <c:ser>
          <c:idx val="4"/>
          <c:order val="3"/>
          <c:tx>
            <c:strRef>
              <c:f>'Subanalysis calcs'!$C$124</c:f>
              <c:strCache>
                <c:ptCount val="1"/>
                <c:pt idx="0">
                  <c:v>Tertiary referral hospital / Specialized care center n=(5)</c:v>
                </c:pt>
              </c:strCache>
            </c:strRef>
          </c:tx>
          <c:spPr>
            <a:ln w="19050">
              <a:noFill/>
            </a:ln>
          </c:spPr>
          <c:marker>
            <c:symbol val="square"/>
            <c:size val="4"/>
            <c:spPr>
              <a:solidFill>
                <a:schemeClr val="tx2"/>
              </a:solidFill>
              <a:ln>
                <a:noFill/>
              </a:ln>
            </c:spPr>
          </c:marker>
          <c:xVal>
            <c:numRef>
              <c:f>'Subanalysis calcs'!$D$119:$BN$119</c:f>
              <c:numCache>
                <c:formatCode>General</c:formatCode>
                <c:ptCount val="6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</c:numCache>
            </c:numRef>
          </c:xVal>
          <c:yVal>
            <c:numRef>
              <c:f>'Subanalysis calcs'!$D$124:$BN$124</c:f>
              <c:numCache>
                <c:formatCode>0%</c:formatCode>
                <c:ptCount val="63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0.8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0.8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0.8</c:v>
                </c:pt>
                <c:pt idx="15">
                  <c:v>0.8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0.8</c:v>
                </c:pt>
                <c:pt idx="20">
                  <c:v>1</c:v>
                </c:pt>
                <c:pt idx="21">
                  <c:v>0.8</c:v>
                </c:pt>
                <c:pt idx="22">
                  <c:v>0.8</c:v>
                </c:pt>
                <c:pt idx="23">
                  <c:v>0.6</c:v>
                </c:pt>
                <c:pt idx="24">
                  <c:v>1</c:v>
                </c:pt>
                <c:pt idx="25">
                  <c:v>0.8</c:v>
                </c:pt>
                <c:pt idx="26">
                  <c:v>1</c:v>
                </c:pt>
                <c:pt idx="27">
                  <c:v>0.8</c:v>
                </c:pt>
                <c:pt idx="28">
                  <c:v>0.8</c:v>
                </c:pt>
                <c:pt idx="29">
                  <c:v>0.6</c:v>
                </c:pt>
                <c:pt idx="30">
                  <c:v>0.8</c:v>
                </c:pt>
                <c:pt idx="31">
                  <c:v>0.8</c:v>
                </c:pt>
                <c:pt idx="32">
                  <c:v>1</c:v>
                </c:pt>
                <c:pt idx="33">
                  <c:v>0.6</c:v>
                </c:pt>
                <c:pt idx="34">
                  <c:v>1</c:v>
                </c:pt>
                <c:pt idx="35">
                  <c:v>0.8</c:v>
                </c:pt>
                <c:pt idx="36">
                  <c:v>0.6</c:v>
                </c:pt>
                <c:pt idx="37">
                  <c:v>0.8</c:v>
                </c:pt>
                <c:pt idx="38">
                  <c:v>0.6</c:v>
                </c:pt>
                <c:pt idx="39">
                  <c:v>0.6</c:v>
                </c:pt>
                <c:pt idx="40">
                  <c:v>0.6</c:v>
                </c:pt>
                <c:pt idx="41">
                  <c:v>0.8</c:v>
                </c:pt>
                <c:pt idx="42">
                  <c:v>1</c:v>
                </c:pt>
                <c:pt idx="43">
                  <c:v>0.8</c:v>
                </c:pt>
                <c:pt idx="44">
                  <c:v>0.8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24D-9F4D-9136-B891B501FC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26185984"/>
        <c:axId val="893309088"/>
      </c:scatterChart>
      <c:valAx>
        <c:axId val="926185984"/>
        <c:scaling>
          <c:orientation val="minMax"/>
          <c:max val="45"/>
          <c:min val="1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Statement Number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893309088"/>
        <c:crosses val="autoZero"/>
        <c:crossBetween val="midCat"/>
        <c:majorUnit val="1"/>
      </c:valAx>
      <c:valAx>
        <c:axId val="893309088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Agreement</a:t>
                </a:r>
              </a:p>
            </c:rich>
          </c:tx>
          <c:overlay val="0"/>
        </c:title>
        <c:numFmt formatCode="0%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926185984"/>
        <c:crosses val="autoZero"/>
        <c:crossBetween val="midCat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58577873345827625"/>
          <c:y val="0.49513430276860554"/>
          <c:w val="0.3902627885355377"/>
          <c:h val="0.33215170180340359"/>
        </c:manualLayout>
      </c:layout>
      <c:overlay val="0"/>
      <c:spPr>
        <a:noFill/>
        <a:ln>
          <a:noFill/>
        </a:ln>
      </c:spPr>
    </c:legend>
    <c:plotVisOnly val="1"/>
    <c:dispBlanksAs val="zero"/>
    <c:showDLblsOverMax val="0"/>
    <c:extLst/>
  </c:chart>
  <c:spPr>
    <a:ln>
      <a:solidFill>
        <a:schemeClr val="bg1">
          <a:lumMod val="95000"/>
        </a:schemeClr>
      </a:solidFill>
    </a:ln>
  </c:spPr>
  <c:txPr>
    <a:bodyPr/>
    <a:lstStyle/>
    <a:p>
      <a:pPr>
        <a:defRPr sz="6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215964366769989E-2"/>
          <c:y val="6.6085772796545594E-2"/>
          <c:w val="0.90069688062181685"/>
          <c:h val="0.78152344742189483"/>
        </c:manualLayout>
      </c:layout>
      <c:scatterChart>
        <c:scatterStyle val="lineMarker"/>
        <c:varyColors val="0"/>
        <c:ser>
          <c:idx val="4"/>
          <c:order val="0"/>
          <c:tx>
            <c:strRef>
              <c:f>'Subanalysis calcs'!$C$95</c:f>
              <c:strCache>
                <c:ptCount val="1"/>
                <c:pt idx="0">
                  <c:v>1-5 patients n=(15)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accent5"/>
              </a:solidFill>
              <a:ln w="9525">
                <a:noFill/>
              </a:ln>
              <a:effectLst/>
            </c:spPr>
          </c:marker>
          <c:xVal>
            <c:numRef>
              <c:f>'Subanalysis calcs'!$D$90:$AV$90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xVal>
          <c:yVal>
            <c:numRef>
              <c:f>'Subanalysis calcs'!$D$95:$AV$95</c:f>
              <c:numCache>
                <c:formatCode>0%</c:formatCode>
                <c:ptCount val="45"/>
                <c:pt idx="0">
                  <c:v>1</c:v>
                </c:pt>
                <c:pt idx="1">
                  <c:v>0.8</c:v>
                </c:pt>
                <c:pt idx="2">
                  <c:v>0.53333333333333333</c:v>
                </c:pt>
                <c:pt idx="3">
                  <c:v>0.73333333333333328</c:v>
                </c:pt>
                <c:pt idx="4">
                  <c:v>0.8666666666666667</c:v>
                </c:pt>
                <c:pt idx="5">
                  <c:v>0.73333333333333328</c:v>
                </c:pt>
                <c:pt idx="6">
                  <c:v>0.8666666666666667</c:v>
                </c:pt>
                <c:pt idx="7">
                  <c:v>0.8666666666666667</c:v>
                </c:pt>
                <c:pt idx="8">
                  <c:v>0.8666666666666667</c:v>
                </c:pt>
                <c:pt idx="9">
                  <c:v>0.8666666666666667</c:v>
                </c:pt>
                <c:pt idx="10">
                  <c:v>0.8666666666666667</c:v>
                </c:pt>
                <c:pt idx="11">
                  <c:v>0.8</c:v>
                </c:pt>
                <c:pt idx="12">
                  <c:v>0.73333333333333328</c:v>
                </c:pt>
                <c:pt idx="13">
                  <c:v>0.93333333333333335</c:v>
                </c:pt>
                <c:pt idx="14">
                  <c:v>0.8</c:v>
                </c:pt>
                <c:pt idx="15">
                  <c:v>0.93333333333333335</c:v>
                </c:pt>
                <c:pt idx="16">
                  <c:v>0.8666666666666667</c:v>
                </c:pt>
                <c:pt idx="17">
                  <c:v>0.93333333333333335</c:v>
                </c:pt>
                <c:pt idx="18">
                  <c:v>0.66666666666666663</c:v>
                </c:pt>
                <c:pt idx="19">
                  <c:v>0.93333333333333335</c:v>
                </c:pt>
                <c:pt idx="20">
                  <c:v>0.8666666666666667</c:v>
                </c:pt>
                <c:pt idx="21">
                  <c:v>1</c:v>
                </c:pt>
                <c:pt idx="22">
                  <c:v>0.8666666666666667</c:v>
                </c:pt>
                <c:pt idx="23">
                  <c:v>0.8</c:v>
                </c:pt>
                <c:pt idx="24">
                  <c:v>0.93333333333333335</c:v>
                </c:pt>
                <c:pt idx="25">
                  <c:v>0.8666666666666667</c:v>
                </c:pt>
                <c:pt idx="26">
                  <c:v>0.93333333333333335</c:v>
                </c:pt>
                <c:pt idx="27">
                  <c:v>1</c:v>
                </c:pt>
                <c:pt idx="28">
                  <c:v>0.93333333333333335</c:v>
                </c:pt>
                <c:pt idx="29">
                  <c:v>0.8666666666666667</c:v>
                </c:pt>
                <c:pt idx="30">
                  <c:v>0.8666666666666667</c:v>
                </c:pt>
                <c:pt idx="31">
                  <c:v>0.8</c:v>
                </c:pt>
                <c:pt idx="32">
                  <c:v>0.8666666666666667</c:v>
                </c:pt>
                <c:pt idx="33">
                  <c:v>0.8666666666666667</c:v>
                </c:pt>
                <c:pt idx="34">
                  <c:v>0.73333333333333328</c:v>
                </c:pt>
                <c:pt idx="35">
                  <c:v>0.73333333333333328</c:v>
                </c:pt>
                <c:pt idx="36">
                  <c:v>0.73333333333333328</c:v>
                </c:pt>
                <c:pt idx="37">
                  <c:v>0.53333333333333333</c:v>
                </c:pt>
                <c:pt idx="38">
                  <c:v>0.53333333333333333</c:v>
                </c:pt>
                <c:pt idx="39">
                  <c:v>0.8666666666666667</c:v>
                </c:pt>
                <c:pt idx="40">
                  <c:v>0.8666666666666667</c:v>
                </c:pt>
                <c:pt idx="41">
                  <c:v>0.93333333333333335</c:v>
                </c:pt>
                <c:pt idx="42">
                  <c:v>1</c:v>
                </c:pt>
                <c:pt idx="43">
                  <c:v>1</c:v>
                </c:pt>
                <c:pt idx="44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37B-C44B-9A32-127156D4BA63}"/>
            </c:ext>
          </c:extLst>
        </c:ser>
        <c:ser>
          <c:idx val="1"/>
          <c:order val="1"/>
          <c:tx>
            <c:strRef>
              <c:f>'Subanalysis calcs'!$C$92</c:f>
              <c:strCache>
                <c:ptCount val="1"/>
                <c:pt idx="0">
                  <c:v>6-15 patients n=(36)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x"/>
            <c:size val="6"/>
            <c:spPr>
              <a:noFill/>
              <a:ln w="12700">
                <a:solidFill>
                  <a:schemeClr val="accent3"/>
                </a:solidFill>
              </a:ln>
              <a:effectLst/>
            </c:spPr>
          </c:marker>
          <c:xVal>
            <c:numRef>
              <c:f>'Subanalysis calcs'!$D$90:$AV$90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xVal>
          <c:yVal>
            <c:numRef>
              <c:f>'Subanalysis calcs'!$D$92:$AV$92</c:f>
              <c:numCache>
                <c:formatCode>0%</c:formatCode>
                <c:ptCount val="45"/>
                <c:pt idx="0">
                  <c:v>0.94444444444444442</c:v>
                </c:pt>
                <c:pt idx="1">
                  <c:v>0.91666666666666663</c:v>
                </c:pt>
                <c:pt idx="2">
                  <c:v>0.77777777777777779</c:v>
                </c:pt>
                <c:pt idx="3">
                  <c:v>0.75</c:v>
                </c:pt>
                <c:pt idx="4">
                  <c:v>0.91666666666666663</c:v>
                </c:pt>
                <c:pt idx="5">
                  <c:v>0.86111111111111116</c:v>
                </c:pt>
                <c:pt idx="6">
                  <c:v>0.86111111111111116</c:v>
                </c:pt>
                <c:pt idx="7">
                  <c:v>0.88888888888888884</c:v>
                </c:pt>
                <c:pt idx="8">
                  <c:v>0.80555555555555558</c:v>
                </c:pt>
                <c:pt idx="9">
                  <c:v>0.86111111111111116</c:v>
                </c:pt>
                <c:pt idx="10">
                  <c:v>0.88888888888888884</c:v>
                </c:pt>
                <c:pt idx="11">
                  <c:v>0.86111111111111116</c:v>
                </c:pt>
                <c:pt idx="12">
                  <c:v>0.83333333333333337</c:v>
                </c:pt>
                <c:pt idx="13">
                  <c:v>0.88888888888888884</c:v>
                </c:pt>
                <c:pt idx="14">
                  <c:v>0.97222222222222221</c:v>
                </c:pt>
                <c:pt idx="15">
                  <c:v>0.88888888888888884</c:v>
                </c:pt>
                <c:pt idx="16">
                  <c:v>0.80555555555555558</c:v>
                </c:pt>
                <c:pt idx="17">
                  <c:v>0.91666666666666663</c:v>
                </c:pt>
                <c:pt idx="18">
                  <c:v>0.83333333333333337</c:v>
                </c:pt>
                <c:pt idx="19">
                  <c:v>0.91666666666666663</c:v>
                </c:pt>
                <c:pt idx="20">
                  <c:v>0.91666666666666663</c:v>
                </c:pt>
                <c:pt idx="21">
                  <c:v>0.88888888888888884</c:v>
                </c:pt>
                <c:pt idx="22">
                  <c:v>0.97222222222222221</c:v>
                </c:pt>
                <c:pt idx="23">
                  <c:v>0.91666666666666663</c:v>
                </c:pt>
                <c:pt idx="24">
                  <c:v>0.91666666666666663</c:v>
                </c:pt>
                <c:pt idx="25">
                  <c:v>0.97222222222222221</c:v>
                </c:pt>
                <c:pt idx="26">
                  <c:v>0.94444444444444442</c:v>
                </c:pt>
                <c:pt idx="27">
                  <c:v>0.88888888888888884</c:v>
                </c:pt>
                <c:pt idx="28">
                  <c:v>0.91666666666666663</c:v>
                </c:pt>
                <c:pt idx="29">
                  <c:v>0.91666666666666663</c:v>
                </c:pt>
                <c:pt idx="30">
                  <c:v>0.91666666666666663</c:v>
                </c:pt>
                <c:pt idx="31">
                  <c:v>0.83333333333333337</c:v>
                </c:pt>
                <c:pt idx="32">
                  <c:v>0.91666666666666663</c:v>
                </c:pt>
                <c:pt idx="33">
                  <c:v>0.91666666666666663</c:v>
                </c:pt>
                <c:pt idx="34">
                  <c:v>0.83333333333333337</c:v>
                </c:pt>
                <c:pt idx="35">
                  <c:v>0.83333333333333337</c:v>
                </c:pt>
                <c:pt idx="36">
                  <c:v>0.91666666666666663</c:v>
                </c:pt>
                <c:pt idx="37">
                  <c:v>0.75</c:v>
                </c:pt>
                <c:pt idx="38">
                  <c:v>0.69444444444444442</c:v>
                </c:pt>
                <c:pt idx="39">
                  <c:v>0.83333333333333337</c:v>
                </c:pt>
                <c:pt idx="40">
                  <c:v>0.88888888888888884</c:v>
                </c:pt>
                <c:pt idx="41">
                  <c:v>0.94444444444444442</c:v>
                </c:pt>
                <c:pt idx="42">
                  <c:v>0.97222222222222221</c:v>
                </c:pt>
                <c:pt idx="43">
                  <c:v>0.86111111111111116</c:v>
                </c:pt>
                <c:pt idx="44">
                  <c:v>0.97222222222222221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37B-C44B-9A32-127156D4BA63}"/>
            </c:ext>
          </c:extLst>
        </c:ser>
        <c:ser>
          <c:idx val="0"/>
          <c:order val="2"/>
          <c:tx>
            <c:strRef>
              <c:f>'Subanalysis calcs'!$C$93</c:f>
              <c:strCache>
                <c:ptCount val="1"/>
                <c:pt idx="0">
                  <c:v>15-25 patients n=(29)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square"/>
            <c:size val="4"/>
            <c:spPr>
              <a:solidFill>
                <a:schemeClr val="tx2"/>
              </a:solidFill>
              <a:ln w="9525">
                <a:noFill/>
              </a:ln>
              <a:effectLst/>
            </c:spPr>
          </c:marker>
          <c:xVal>
            <c:numRef>
              <c:f>'Subanalysis calcs'!$D$90:$AV$90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xVal>
          <c:yVal>
            <c:numRef>
              <c:f>'Subanalysis calcs'!$D$93:$AV$93</c:f>
              <c:numCache>
                <c:formatCode>0%</c:formatCode>
                <c:ptCount val="45"/>
                <c:pt idx="0">
                  <c:v>0.89655172413793105</c:v>
                </c:pt>
                <c:pt idx="1">
                  <c:v>0.93103448275862066</c:v>
                </c:pt>
                <c:pt idx="2">
                  <c:v>0.86206896551724133</c:v>
                </c:pt>
                <c:pt idx="3">
                  <c:v>0.72413793103448276</c:v>
                </c:pt>
                <c:pt idx="4">
                  <c:v>1</c:v>
                </c:pt>
                <c:pt idx="5">
                  <c:v>1</c:v>
                </c:pt>
                <c:pt idx="6">
                  <c:v>0.89655172413793105</c:v>
                </c:pt>
                <c:pt idx="7">
                  <c:v>0.89655172413793105</c:v>
                </c:pt>
                <c:pt idx="8">
                  <c:v>0.89655172413793105</c:v>
                </c:pt>
                <c:pt idx="9">
                  <c:v>0.93103448275862066</c:v>
                </c:pt>
                <c:pt idx="10">
                  <c:v>0.93103448275862066</c:v>
                </c:pt>
                <c:pt idx="11">
                  <c:v>0.89655172413793105</c:v>
                </c:pt>
                <c:pt idx="12">
                  <c:v>0.96551724137931039</c:v>
                </c:pt>
                <c:pt idx="13">
                  <c:v>0.96551724137931039</c:v>
                </c:pt>
                <c:pt idx="14">
                  <c:v>0.82758620689655171</c:v>
                </c:pt>
                <c:pt idx="15">
                  <c:v>0.96551724137931039</c:v>
                </c:pt>
                <c:pt idx="16">
                  <c:v>0.93103448275862066</c:v>
                </c:pt>
                <c:pt idx="17">
                  <c:v>1</c:v>
                </c:pt>
                <c:pt idx="18">
                  <c:v>0.96551724137931039</c:v>
                </c:pt>
                <c:pt idx="19">
                  <c:v>0.96551724137931039</c:v>
                </c:pt>
                <c:pt idx="20">
                  <c:v>0.96551724137931039</c:v>
                </c:pt>
                <c:pt idx="21">
                  <c:v>1</c:v>
                </c:pt>
                <c:pt idx="22">
                  <c:v>0.93103448275862066</c:v>
                </c:pt>
                <c:pt idx="23">
                  <c:v>0.96551724137931039</c:v>
                </c:pt>
                <c:pt idx="24">
                  <c:v>0.93103448275862066</c:v>
                </c:pt>
                <c:pt idx="25">
                  <c:v>0.96551724137931039</c:v>
                </c:pt>
                <c:pt idx="26">
                  <c:v>0.96551724137931039</c:v>
                </c:pt>
                <c:pt idx="27">
                  <c:v>0.96551724137931039</c:v>
                </c:pt>
                <c:pt idx="28">
                  <c:v>0.93103448275862066</c:v>
                </c:pt>
                <c:pt idx="29">
                  <c:v>0.86206896551724133</c:v>
                </c:pt>
                <c:pt idx="30">
                  <c:v>0.93103448275862066</c:v>
                </c:pt>
                <c:pt idx="31">
                  <c:v>0.93103448275862066</c:v>
                </c:pt>
                <c:pt idx="32">
                  <c:v>1</c:v>
                </c:pt>
                <c:pt idx="33">
                  <c:v>0.89655172413793105</c:v>
                </c:pt>
                <c:pt idx="34">
                  <c:v>0.96551724137931039</c:v>
                </c:pt>
                <c:pt idx="35">
                  <c:v>0.89655172413793105</c:v>
                </c:pt>
                <c:pt idx="36">
                  <c:v>0.72413793103448276</c:v>
                </c:pt>
                <c:pt idx="37">
                  <c:v>0.72413793103448276</c:v>
                </c:pt>
                <c:pt idx="38">
                  <c:v>0.86206896551724133</c:v>
                </c:pt>
                <c:pt idx="39">
                  <c:v>0.93103448275862066</c:v>
                </c:pt>
                <c:pt idx="40">
                  <c:v>0.93103448275862066</c:v>
                </c:pt>
                <c:pt idx="41">
                  <c:v>0.96551724137931039</c:v>
                </c:pt>
                <c:pt idx="42">
                  <c:v>0.93103448275862066</c:v>
                </c:pt>
                <c:pt idx="43">
                  <c:v>0.93103448275862066</c:v>
                </c:pt>
                <c:pt idx="44">
                  <c:v>0.96551724137931039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37B-C44B-9A32-127156D4BA63}"/>
            </c:ext>
          </c:extLst>
        </c:ser>
        <c:ser>
          <c:idx val="2"/>
          <c:order val="3"/>
          <c:tx>
            <c:strRef>
              <c:f>'Subanalysis calcs'!$C$94</c:f>
              <c:strCache>
                <c:ptCount val="1"/>
                <c:pt idx="0">
                  <c:v>More than 25 patients n=(20)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noFill/>
              </a:ln>
              <a:effectLst/>
            </c:spPr>
          </c:marker>
          <c:xVal>
            <c:numRef>
              <c:f>'Subanalysis calcs'!$D$90:$AV$90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xVal>
          <c:yVal>
            <c:numRef>
              <c:f>'Subanalysis calcs'!$D$94:$AV$94</c:f>
              <c:numCache>
                <c:formatCode>0%</c:formatCode>
                <c:ptCount val="45"/>
                <c:pt idx="0">
                  <c:v>1</c:v>
                </c:pt>
                <c:pt idx="1">
                  <c:v>1</c:v>
                </c:pt>
                <c:pt idx="2">
                  <c:v>0.85</c:v>
                </c:pt>
                <c:pt idx="3">
                  <c:v>0.9</c:v>
                </c:pt>
                <c:pt idx="4">
                  <c:v>1</c:v>
                </c:pt>
                <c:pt idx="5">
                  <c:v>0.95</c:v>
                </c:pt>
                <c:pt idx="6">
                  <c:v>0.95</c:v>
                </c:pt>
                <c:pt idx="7">
                  <c:v>1</c:v>
                </c:pt>
                <c:pt idx="8">
                  <c:v>0.9</c:v>
                </c:pt>
                <c:pt idx="9">
                  <c:v>1</c:v>
                </c:pt>
                <c:pt idx="10">
                  <c:v>0.9</c:v>
                </c:pt>
                <c:pt idx="11">
                  <c:v>1</c:v>
                </c:pt>
                <c:pt idx="12">
                  <c:v>1</c:v>
                </c:pt>
                <c:pt idx="13">
                  <c:v>0.95</c:v>
                </c:pt>
                <c:pt idx="14">
                  <c:v>0.95</c:v>
                </c:pt>
                <c:pt idx="15">
                  <c:v>0.9</c:v>
                </c:pt>
                <c:pt idx="16">
                  <c:v>0.9</c:v>
                </c:pt>
                <c:pt idx="17">
                  <c:v>0.95</c:v>
                </c:pt>
                <c:pt idx="18">
                  <c:v>1</c:v>
                </c:pt>
                <c:pt idx="19">
                  <c:v>0.9</c:v>
                </c:pt>
                <c:pt idx="20">
                  <c:v>1</c:v>
                </c:pt>
                <c:pt idx="21">
                  <c:v>0.95</c:v>
                </c:pt>
                <c:pt idx="22">
                  <c:v>0.9</c:v>
                </c:pt>
                <c:pt idx="23">
                  <c:v>0.9</c:v>
                </c:pt>
                <c:pt idx="24">
                  <c:v>0.95</c:v>
                </c:pt>
                <c:pt idx="25">
                  <c:v>0.95</c:v>
                </c:pt>
                <c:pt idx="26">
                  <c:v>1</c:v>
                </c:pt>
                <c:pt idx="27">
                  <c:v>0.9</c:v>
                </c:pt>
                <c:pt idx="28">
                  <c:v>0.9</c:v>
                </c:pt>
                <c:pt idx="29">
                  <c:v>0.9</c:v>
                </c:pt>
                <c:pt idx="30">
                  <c:v>0.95</c:v>
                </c:pt>
                <c:pt idx="31">
                  <c:v>0.95</c:v>
                </c:pt>
                <c:pt idx="32">
                  <c:v>1</c:v>
                </c:pt>
                <c:pt idx="33">
                  <c:v>0.85</c:v>
                </c:pt>
                <c:pt idx="34">
                  <c:v>0.95</c:v>
                </c:pt>
                <c:pt idx="35">
                  <c:v>0.8</c:v>
                </c:pt>
                <c:pt idx="36">
                  <c:v>0.75</c:v>
                </c:pt>
                <c:pt idx="37">
                  <c:v>0.9</c:v>
                </c:pt>
                <c:pt idx="38">
                  <c:v>0.75</c:v>
                </c:pt>
                <c:pt idx="39">
                  <c:v>0.9</c:v>
                </c:pt>
                <c:pt idx="40">
                  <c:v>0.9</c:v>
                </c:pt>
                <c:pt idx="41">
                  <c:v>0.95</c:v>
                </c:pt>
                <c:pt idx="42">
                  <c:v>1</c:v>
                </c:pt>
                <c:pt idx="43">
                  <c:v>0.95</c:v>
                </c:pt>
                <c:pt idx="44">
                  <c:v>0.9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37B-C44B-9A32-127156D4BA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26185984"/>
        <c:axId val="893309088"/>
      </c:scatterChart>
      <c:valAx>
        <c:axId val="926185984"/>
        <c:scaling>
          <c:orientation val="minMax"/>
          <c:max val="45"/>
          <c:min val="1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r>
                  <a:rPr lang="en-GB" b="1"/>
                  <a:t>Statement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600" b="1" i="0" u="none" strike="noStrike" kern="1200" baseline="0">
                  <a:solidFill>
                    <a:schemeClr val="tx1"/>
                  </a:solidFill>
                  <a:latin typeface="Montserrat" pitchFamily="2" charset="77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893309088"/>
        <c:crosses val="autoZero"/>
        <c:crossBetween val="midCat"/>
        <c:majorUnit val="1"/>
      </c:valAx>
      <c:valAx>
        <c:axId val="893309088"/>
        <c:scaling>
          <c:orientation val="minMax"/>
          <c:max val="1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r>
                  <a:rPr lang="en-GB" b="1"/>
                  <a:t>Agreement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600" b="1" i="0" u="none" strike="noStrike" kern="1200" baseline="0">
                  <a:solidFill>
                    <a:schemeClr val="tx1"/>
                  </a:solidFill>
                  <a:latin typeface="Montserrat" pitchFamily="2" charset="77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926185984"/>
        <c:crosses val="autoZero"/>
        <c:crossBetween val="midCat"/>
      </c:valAx>
      <c:spPr>
        <a:noFill/>
        <a:ln w="25400">
          <a:noFill/>
        </a:ln>
        <a:effectLst/>
      </c:spPr>
    </c:plotArea>
    <c:legend>
      <c:legendPos val="r"/>
      <c:layout>
        <c:manualLayout>
          <c:xMode val="edge"/>
          <c:yMode val="edge"/>
          <c:x val="0.71323419600564042"/>
          <c:y val="0.53465440055880109"/>
          <c:w val="0.26391008034143065"/>
          <c:h val="0.255218916687833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/>
              </a:solidFill>
              <a:latin typeface="Montserrat" pitchFamily="2" charset="77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6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581621632220227E-2"/>
          <c:y val="6.7187896875793754E-2"/>
          <c:w val="0.90248393416479711"/>
          <c:h val="0.77094908877317747"/>
        </c:manualLayout>
      </c:layout>
      <c:lineChart>
        <c:grouping val="standard"/>
        <c:varyColors val="0"/>
        <c:ser>
          <c:idx val="0"/>
          <c:order val="0"/>
          <c:tx>
            <c:strRef>
              <c:f>'Dal''s playground'!$B$168</c:f>
              <c:strCache>
                <c:ptCount val="1"/>
                <c:pt idx="0">
                  <c:v>Less than 15 patients n=(51)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'Dal''s playground'!$C$167:$AU$167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cat>
          <c:val>
            <c:numRef>
              <c:f>'Dal''s playground'!$C$168:$AU$168</c:f>
              <c:numCache>
                <c:formatCode>0%</c:formatCode>
                <c:ptCount val="45"/>
                <c:pt idx="0">
                  <c:v>0.96078431372549022</c:v>
                </c:pt>
                <c:pt idx="1">
                  <c:v>0.88235294117647056</c:v>
                </c:pt>
                <c:pt idx="2">
                  <c:v>0.70588235294117652</c:v>
                </c:pt>
                <c:pt idx="3">
                  <c:v>0.74509803921568629</c:v>
                </c:pt>
                <c:pt idx="4">
                  <c:v>0.90196078431372551</c:v>
                </c:pt>
                <c:pt idx="5">
                  <c:v>0.82352941176470584</c:v>
                </c:pt>
                <c:pt idx="6">
                  <c:v>0.86274509803921573</c:v>
                </c:pt>
                <c:pt idx="7">
                  <c:v>0.88235294117647056</c:v>
                </c:pt>
                <c:pt idx="8">
                  <c:v>0.82352941176470584</c:v>
                </c:pt>
                <c:pt idx="9">
                  <c:v>0.86274509803921573</c:v>
                </c:pt>
                <c:pt idx="10">
                  <c:v>0.88235294117647056</c:v>
                </c:pt>
                <c:pt idx="11">
                  <c:v>0.84313725490196079</c:v>
                </c:pt>
                <c:pt idx="12">
                  <c:v>0.80392156862745101</c:v>
                </c:pt>
                <c:pt idx="13">
                  <c:v>0.90196078431372551</c:v>
                </c:pt>
                <c:pt idx="14">
                  <c:v>0.92156862745098034</c:v>
                </c:pt>
                <c:pt idx="15">
                  <c:v>0.90196078431372551</c:v>
                </c:pt>
                <c:pt idx="16">
                  <c:v>0.82352941176470584</c:v>
                </c:pt>
                <c:pt idx="17">
                  <c:v>0.92156862745098034</c:v>
                </c:pt>
                <c:pt idx="18">
                  <c:v>0.78431372549019607</c:v>
                </c:pt>
                <c:pt idx="19">
                  <c:v>0.92156862745098034</c:v>
                </c:pt>
                <c:pt idx="20">
                  <c:v>0.90196078431372551</c:v>
                </c:pt>
                <c:pt idx="21">
                  <c:v>0.92156862745098034</c:v>
                </c:pt>
                <c:pt idx="22">
                  <c:v>0.94117647058823528</c:v>
                </c:pt>
                <c:pt idx="23">
                  <c:v>0.88235294117647056</c:v>
                </c:pt>
                <c:pt idx="24">
                  <c:v>0.92156862745098034</c:v>
                </c:pt>
                <c:pt idx="25">
                  <c:v>0.94117647058823528</c:v>
                </c:pt>
                <c:pt idx="26">
                  <c:v>0.94117647058823528</c:v>
                </c:pt>
                <c:pt idx="27">
                  <c:v>0.92156862745098034</c:v>
                </c:pt>
                <c:pt idx="28">
                  <c:v>0.92156862745098034</c:v>
                </c:pt>
                <c:pt idx="29">
                  <c:v>0.90196078431372551</c:v>
                </c:pt>
                <c:pt idx="30">
                  <c:v>0.90196078431372551</c:v>
                </c:pt>
                <c:pt idx="31">
                  <c:v>0.82352941176470584</c:v>
                </c:pt>
                <c:pt idx="32">
                  <c:v>0.90196078431372551</c:v>
                </c:pt>
                <c:pt idx="33">
                  <c:v>0.90196078431372551</c:v>
                </c:pt>
                <c:pt idx="34">
                  <c:v>0.80392156862745101</c:v>
                </c:pt>
                <c:pt idx="35">
                  <c:v>0.80392156862745101</c:v>
                </c:pt>
                <c:pt idx="36">
                  <c:v>0.86274509803921573</c:v>
                </c:pt>
                <c:pt idx="37">
                  <c:v>0.68627450980392157</c:v>
                </c:pt>
                <c:pt idx="38">
                  <c:v>0.6470588235294118</c:v>
                </c:pt>
                <c:pt idx="39">
                  <c:v>0.84313725490196079</c:v>
                </c:pt>
                <c:pt idx="40">
                  <c:v>0.88235294117647056</c:v>
                </c:pt>
                <c:pt idx="41">
                  <c:v>0.94117647058823528</c:v>
                </c:pt>
                <c:pt idx="42">
                  <c:v>0.98039215686274506</c:v>
                </c:pt>
                <c:pt idx="43">
                  <c:v>0.90196078431372551</c:v>
                </c:pt>
                <c:pt idx="44">
                  <c:v>0.98039215686274506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6FC-3B4C-8F59-30F9E91AFE03}"/>
            </c:ext>
          </c:extLst>
        </c:ser>
        <c:ser>
          <c:idx val="1"/>
          <c:order val="1"/>
          <c:tx>
            <c:strRef>
              <c:f>'Dal''s playground'!$B$169</c:f>
              <c:strCache>
                <c:ptCount val="1"/>
                <c:pt idx="0">
                  <c:v>More or equal to 15 patients n=(49)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'Dal''s playground'!$C$167:$AU$167</c:f>
              <c:numCache>
                <c:formatCode>General</c:formatCode>
                <c:ptCount val="4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</c:numCache>
            </c:numRef>
          </c:cat>
          <c:val>
            <c:numRef>
              <c:f>'Dal''s playground'!$C$169:$AU$169</c:f>
              <c:numCache>
                <c:formatCode>0%</c:formatCode>
                <c:ptCount val="45"/>
                <c:pt idx="0">
                  <c:v>0.93877551020408168</c:v>
                </c:pt>
                <c:pt idx="1">
                  <c:v>0.95918367346938771</c:v>
                </c:pt>
                <c:pt idx="2">
                  <c:v>0.8571428571428571</c:v>
                </c:pt>
                <c:pt idx="3">
                  <c:v>0.79591836734693877</c:v>
                </c:pt>
                <c:pt idx="4">
                  <c:v>1</c:v>
                </c:pt>
                <c:pt idx="5">
                  <c:v>0.97959183673469385</c:v>
                </c:pt>
                <c:pt idx="6">
                  <c:v>0.91836734693877553</c:v>
                </c:pt>
                <c:pt idx="7">
                  <c:v>0.93877551020408168</c:v>
                </c:pt>
                <c:pt idx="8">
                  <c:v>0.89795918367346939</c:v>
                </c:pt>
                <c:pt idx="9">
                  <c:v>0.95918367346938771</c:v>
                </c:pt>
                <c:pt idx="10">
                  <c:v>0.91836734693877553</c:v>
                </c:pt>
                <c:pt idx="11">
                  <c:v>0.93877551020408168</c:v>
                </c:pt>
                <c:pt idx="12">
                  <c:v>0.97959183673469385</c:v>
                </c:pt>
                <c:pt idx="13">
                  <c:v>0.95918367346938771</c:v>
                </c:pt>
                <c:pt idx="14">
                  <c:v>0.87755102040816324</c:v>
                </c:pt>
                <c:pt idx="15">
                  <c:v>0.93877551020408168</c:v>
                </c:pt>
                <c:pt idx="16">
                  <c:v>0.91836734693877553</c:v>
                </c:pt>
                <c:pt idx="17">
                  <c:v>0.97959183673469385</c:v>
                </c:pt>
                <c:pt idx="18">
                  <c:v>0.97959183673469385</c:v>
                </c:pt>
                <c:pt idx="19">
                  <c:v>0.93877551020408168</c:v>
                </c:pt>
                <c:pt idx="20">
                  <c:v>0.97959183673469385</c:v>
                </c:pt>
                <c:pt idx="21">
                  <c:v>0.97959183673469385</c:v>
                </c:pt>
                <c:pt idx="22">
                  <c:v>0.91836734693877553</c:v>
                </c:pt>
                <c:pt idx="23">
                  <c:v>0.93877551020408168</c:v>
                </c:pt>
                <c:pt idx="24">
                  <c:v>0.93877551020408168</c:v>
                </c:pt>
                <c:pt idx="25">
                  <c:v>0.95918367346938771</c:v>
                </c:pt>
                <c:pt idx="26">
                  <c:v>0.97959183673469385</c:v>
                </c:pt>
                <c:pt idx="27">
                  <c:v>0.93877551020408168</c:v>
                </c:pt>
                <c:pt idx="28">
                  <c:v>0.91836734693877553</c:v>
                </c:pt>
                <c:pt idx="29">
                  <c:v>0.87755102040816324</c:v>
                </c:pt>
                <c:pt idx="30">
                  <c:v>0.93877551020408168</c:v>
                </c:pt>
                <c:pt idx="31">
                  <c:v>0.93877551020408168</c:v>
                </c:pt>
                <c:pt idx="32">
                  <c:v>1</c:v>
                </c:pt>
                <c:pt idx="33">
                  <c:v>0.87755102040816324</c:v>
                </c:pt>
                <c:pt idx="34">
                  <c:v>0.95918367346938771</c:v>
                </c:pt>
                <c:pt idx="35">
                  <c:v>0.8571428571428571</c:v>
                </c:pt>
                <c:pt idx="36">
                  <c:v>0.73469387755102045</c:v>
                </c:pt>
                <c:pt idx="37">
                  <c:v>0.79591836734693877</c:v>
                </c:pt>
                <c:pt idx="38">
                  <c:v>0.81632653061224492</c:v>
                </c:pt>
                <c:pt idx="39">
                  <c:v>0.91836734693877553</c:v>
                </c:pt>
                <c:pt idx="40">
                  <c:v>0.91836734693877553</c:v>
                </c:pt>
                <c:pt idx="41">
                  <c:v>0.95918367346938771</c:v>
                </c:pt>
                <c:pt idx="42">
                  <c:v>0.95918367346938771</c:v>
                </c:pt>
                <c:pt idx="43">
                  <c:v>0.93877551020408168</c:v>
                </c:pt>
                <c:pt idx="44">
                  <c:v>0.93877551020408168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6FC-3B4C-8F59-30F9E91AFE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6660799"/>
        <c:axId val="67056767"/>
      </c:lineChart>
      <c:catAx>
        <c:axId val="1166607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r>
                  <a:rPr lang="en-GB" b="1"/>
                  <a:t>Statement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600" b="1" i="0" u="none" strike="noStrike" kern="1200" baseline="0">
                  <a:solidFill>
                    <a:schemeClr val="tx1"/>
                  </a:solidFill>
                  <a:latin typeface="Montserrat" pitchFamily="2" charset="77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67056767"/>
        <c:crosses val="autoZero"/>
        <c:auto val="1"/>
        <c:lblAlgn val="ctr"/>
        <c:lblOffset val="100"/>
        <c:noMultiLvlLbl val="0"/>
      </c:catAx>
      <c:valAx>
        <c:axId val="67056767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600" b="1" i="0" u="none" strike="noStrike" kern="1200" baseline="0">
                    <a:solidFill>
                      <a:schemeClr val="tx1"/>
                    </a:solidFill>
                    <a:latin typeface="Montserrat" pitchFamily="2" charset="77"/>
                    <a:ea typeface="+mn-ea"/>
                    <a:cs typeface="+mn-cs"/>
                  </a:defRPr>
                </a:pPr>
                <a:r>
                  <a:rPr lang="en-GB" b="1"/>
                  <a:t>Agreement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600" b="1" i="0" u="none" strike="noStrike" kern="1200" baseline="0">
                  <a:solidFill>
                    <a:schemeClr val="tx1"/>
                  </a:solidFill>
                  <a:latin typeface="Montserrat" pitchFamily="2" charset="77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>
                <a:lumMod val="20000"/>
                <a:lumOff val="8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Montserrat" pitchFamily="2" charset="77"/>
                <a:ea typeface="+mn-ea"/>
                <a:cs typeface="+mn-cs"/>
              </a:defRPr>
            </a:pPr>
            <a:endParaRPr lang="en-US"/>
          </a:p>
        </c:txPr>
        <c:crossAx val="1166607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9562999478769239"/>
          <c:y val="0.54780567373634759"/>
          <c:w val="0.28517956317921356"/>
          <c:h val="0.2625797720345440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/>
              </a:solidFill>
              <a:latin typeface="Montserrat" pitchFamily="2" charset="77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>
          <a:lumMod val="95000"/>
        </a:schemeClr>
      </a:solidFill>
      <a:round/>
    </a:ln>
    <a:effectLst/>
  </c:spPr>
  <c:txPr>
    <a:bodyPr/>
    <a:lstStyle/>
    <a:p>
      <a:pPr>
        <a:defRPr sz="600">
          <a:solidFill>
            <a:schemeClr val="tx1"/>
          </a:solidFill>
          <a:latin typeface="Montserrat" pitchFamily="2" charset="77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riducive2022">
  <a:themeElements>
    <a:clrScheme name="Custom 20">
      <a:dk1>
        <a:srgbClr val="5E5A5D"/>
      </a:dk1>
      <a:lt1>
        <a:srgbClr val="FFFFFF"/>
      </a:lt1>
      <a:dk2>
        <a:srgbClr val="3F1E54"/>
      </a:dk2>
      <a:lt2>
        <a:srgbClr val="C4C5C6"/>
      </a:lt2>
      <a:accent1>
        <a:srgbClr val="3F1E53"/>
      </a:accent1>
      <a:accent2>
        <a:srgbClr val="C61076"/>
      </a:accent2>
      <a:accent3>
        <a:srgbClr val="42BCCC"/>
      </a:accent3>
      <a:accent4>
        <a:srgbClr val="ACC8AD"/>
      </a:accent4>
      <a:accent5>
        <a:srgbClr val="E25F46"/>
      </a:accent5>
      <a:accent6>
        <a:srgbClr val="DB6AA5"/>
      </a:accent6>
      <a:hlink>
        <a:srgbClr val="C61076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riducive2022" id="{599ED4BB-DFC4-204E-B9D9-0ABA27B2B707}" vid="{737F5AA7-D054-5941-BF22-916CD7A28E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FE2445CD9B8B4DB7B0E0BA050C6288" ma:contentTypeVersion="15" ma:contentTypeDescription="Create a new document." ma:contentTypeScope="" ma:versionID="ff25676129c43a4020a70865aa840e7e">
  <xsd:schema xmlns:xsd="http://www.w3.org/2001/XMLSchema" xmlns:xs="http://www.w3.org/2001/XMLSchema" xmlns:p="http://schemas.microsoft.com/office/2006/metadata/properties" xmlns:ns2="abb81c67-0bd7-415e-8d0c-3c57718bd0dc" xmlns:ns3="68de361b-639e-4f96-9b80-bdb97fe0946f" targetNamespace="http://schemas.microsoft.com/office/2006/metadata/properties" ma:root="true" ma:fieldsID="794356e2f5456d3a038c74cf76cabeca" ns2:_="" ns3:_="">
    <xsd:import namespace="abb81c67-0bd7-415e-8d0c-3c57718bd0dc"/>
    <xsd:import namespace="68de361b-639e-4f96-9b80-bdb97fe094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81c67-0bd7-415e-8d0c-3c57718bd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f32cc8-c60c-43cf-997d-2d960b0d9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e361b-639e-4f96-9b80-bdb97fe094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b9981e-63ea-4ad9-80f5-8e8fb169785c}" ma:internalName="TaxCatchAll" ma:showField="CatchAllData" ma:web="68de361b-639e-4f96-9b80-bdb97fe094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de361b-639e-4f96-9b80-bdb97fe0946f" xsi:nil="true"/>
    <lcf76f155ced4ddcb4097134ff3c332f xmlns="abb81c67-0bd7-415e-8d0c-3c57718bd0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CA034D-2691-4212-A454-8EB0612E7427}"/>
</file>

<file path=customXml/itemProps2.xml><?xml version="1.0" encoding="utf-8"?>
<ds:datastoreItem xmlns:ds="http://schemas.openxmlformats.org/officeDocument/2006/customXml" ds:itemID="{2B3F44CE-4743-484F-8462-D86ED207A70A}"/>
</file>

<file path=customXml/itemProps3.xml><?xml version="1.0" encoding="utf-8"?>
<ds:datastoreItem xmlns:ds="http://schemas.openxmlformats.org/officeDocument/2006/customXml" ds:itemID="{28D157A9-D2EE-4EDE-A3BF-430BABCC97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</Words>
  <Characters>803</Characters>
  <Application>Microsoft Office Word</Application>
  <DocSecurity>0</DocSecurity>
  <Lines>34</Lines>
  <Paragraphs>12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Larner</dc:creator>
  <cp:keywords/>
  <dc:description/>
  <cp:lastModifiedBy>Katie Larner</cp:lastModifiedBy>
  <cp:revision>1</cp:revision>
  <dcterms:created xsi:type="dcterms:W3CDTF">2026-04-07T12:32:00Z</dcterms:created>
  <dcterms:modified xsi:type="dcterms:W3CDTF">2026-04-07T12:33:00Z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0x01010062FE2445CD9B8B4DB7B0E0BA050C6288</vt:lpwstr>
  </property>
  <property fmtid="{D5CDD505-2E9C-101B-9397-08002B2CF9AE}" pid="3" name="MediaServiceImageTags">
    <vt:lpwstr/>
  </property>
</Properties>
</file>