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573BF">
      <w:pPr>
        <w:pStyle w:val="27"/>
        <w:spacing w:before="0" w:after="0" w:line="240" w:lineRule="auto"/>
      </w:pPr>
      <w:r>
        <w:rPr>
          <w:rFonts w:ascii="Times New Roman" w:hAnsi="Times New Roman" w:eastAsia="Times New Roman" w:cs="Times New Roman"/>
        </w:rPr>
        <w:t>Additional file 1: Supplementary figures and tables</w:t>
      </w:r>
    </w:p>
    <w:p w14:paraId="11328853">
      <w:pPr>
        <w:spacing w:before="0" w:after="0" w:line="240" w:lineRule="auto"/>
        <w:rPr>
          <w:rFonts w:ascii="Times New Roman" w:hAnsi="Times New Roman" w:eastAsia="Times New Roman" w:cs="Times New Roman"/>
          <w:color w:val="auto"/>
        </w:rPr>
      </w:pPr>
      <w:r>
        <w:rPr>
          <w:rFonts w:ascii="Times New Roman" w:hAnsi="Times New Roman" w:eastAsia="Times New Roman" w:cs="Times New Roman"/>
          <w:color w:val="auto"/>
        </w:rPr>
        <w:t>Peak time of venous outflow: a reproducible CT perfusion marker independently associated with 90-day functional outcome after thrombectomy for anterior-circulation large-vessel occlusion in a retrospective cohort study</w:t>
      </w:r>
    </w:p>
    <w:p w14:paraId="77B3C898">
      <w:pPr>
        <w:spacing w:before="0" w:after="0" w:line="240" w:lineRule="auto"/>
      </w:pPr>
      <w:r>
        <w:rPr>
          <w:rFonts w:ascii="Times New Roman" w:hAnsi="Times New Roman" w:eastAsia="Times New Roman" w:cs="Times New Roman"/>
          <w:b/>
          <w:sz w:val="20"/>
          <w:szCs w:val="20"/>
        </w:rPr>
        <w:t>Supplementary Methods S1. Detailed CTP acquisition and PTV/ATV measurement protocol</w:t>
      </w:r>
    </w:p>
    <w:p w14:paraId="24B3EABE">
      <w:pPr>
        <w:spacing w:before="0" w:after="0" w:line="240" w:lineRule="auto"/>
      </w:pPr>
      <w:r>
        <w:rPr>
          <w:rFonts w:ascii="Times New Roman" w:hAnsi="Times New Roman" w:eastAsia="Times New Roman" w:cs="Times New Roman"/>
          <w:b w:val="0"/>
          <w:sz w:val="20"/>
          <w:szCs w:val="20"/>
        </w:rPr>
        <w:t>CTP was acquired on a Siemens SOMATOM Force scanner (Siemens Healthineers, Forchheim, Germany) using the institutional stroke imaging protocol. The examination generally covered 30–40 dynamic phases at 1.5-second intervals. Acquisition parameters were rotation time 0.32 s, tube voltage 80–120 kV, tube current 80–150 mAs, 5.0-mm slice thickness, 3.0-mm reconstruction interval, 176-mm field of view, and an Hr36 convolution kernel. Iomeprol (Iomeron 370/400), 40–50 mL, was injected intravenously at 4.8–6.0 mL/s, followed by a 20–30 mL saline flush at the same rate; acquisition began after a 5-second delay. Images were postprocessed using Siemens perfusion software; the exact software version could not be retrieved retrospectively.</w:t>
      </w:r>
    </w:p>
    <w:p w14:paraId="50753165">
      <w:pPr>
        <w:spacing w:before="0" w:after="0" w:line="240" w:lineRule="auto"/>
      </w:pPr>
      <w:r>
        <w:rPr>
          <w:rFonts w:ascii="Times New Roman" w:hAnsi="Times New Roman" w:eastAsia="Times New Roman" w:cs="Times New Roman"/>
          <w:b w:val="0"/>
          <w:sz w:val="20"/>
          <w:szCs w:val="20"/>
        </w:rPr>
        <w:t>For PTV measurement, the superior sagittal sinus was assessed on axial CTP source images at the level where the lumen was continuously opacified and least affected by adjacent bone, partial-volume artifact, or venous confluence overlap. The ROI was placed centrally within the sinus lumen, avoiding the sinus wall and adjacent structures; its size was adjusted to remain fully intraluminal when the sinus caliber varied. PTV was defined as the interval from contrast injection to maximal venous contrast concentration. Two experienced radiologists independently and blindly measured PTV, and the arithmetic mean of their measurements was used for quartile grouping and regression analyses. For arterial normalization, the arterial ROI was placed at the terminal internal carotid artery and the venous ROI in the superior sagittal sinus; arterial and venous peak times were read directly from the software-generated time-density curves. The CTP post-processing output labelled CBF30 was defined as the volume of tissue with rCBF below 30% of the contralateral normal reference tissue and reported in mL; it was treated as an imaging-based estimate of ischemic-core volume rather than a histopathological measurement. The representative ROIs and curves are shown in Supplementary Fig. S2.</w:t>
      </w:r>
    </w:p>
    <w:p w14:paraId="1FA09B3D">
      <w:pPr>
        <w:spacing w:before="0" w:after="0" w:line="240" w:lineRule="auto"/>
        <w:rPr>
          <w:rFonts w:hint="default" w:ascii="Times New Roman" w:hAnsi="Times New Roman" w:cs="Times New Roman"/>
        </w:rPr>
      </w:pPr>
      <w:r>
        <w:rPr>
          <w:rFonts w:hint="default" w:ascii="Times New Roman" w:hAnsi="Times New Roman" w:eastAsia="Times New Roman" w:cs="Times New Roman"/>
          <w:sz w:val="20"/>
          <w:szCs w:val="20"/>
        </w:rPr>
        <w:t>Quality control and missingness: during the initial quality screen, poor-quality CTP was defined operationally as motion artifact and/or incomplete bolus coverage that prevented reliable assessment of the time-density curve. When the venous curve or peak was uncertain, the reader repeated the ROI placement and curve review before accepting the measurement. A venous peak was accepted only when it occurred before the final acquisition phase and was followed by a descending limb on the time-density curve; five examinations with a truncated curve that did not capture the venous peak were excluded during cohort assembly. Arterial peak time was unavailable in 26 of 408 patients. The patient-level technical reason was not recorded in the retrospective source database and cannot be reconstructed. Among 382 technically measurable normalized values, the range was -2.330 to 22.900 s; after the pragmatic post hoc exclusion of 9 values &lt;1 s, the primary normalized analysis included 373 patients with a range of 1.005 to 22.900 s. The 1-s rule was a pragmatic, post hoc technical-plausibility convention for flagging very small or negative arterial-to-venous peak-time differences in data acquired at 1.5s intervals. The acquisition interval provides context for timing uncertainty but does not uniquely justify a 1-s cutoff; the threshold was not prospectively specified or physiologically validated. The distribution of patients with unavailable ATV by occlusion site, eTICI status, and inclusion in the normalized analysis is summarized in Supplementary Table S11.</w:t>
      </w:r>
    </w:p>
    <w:p>
      <w:pPr>
        <w:keepNext/>
        <w:spacing w:before="120" w:after="0"/>
      </w:pPr>
      <w:r>
        <w:rPr>
          <w:rFonts w:ascii="Times New Roman" w:hAnsi="Times New Roman"/>
          <w:b/>
          <w:sz w:val="20"/>
        </w:rPr>
        <w:t>Supplementary Methods S2. eTICI coding and sensitivity analysis</w:t>
      </w:r>
    </w:p>
    <w:p>
      <w:pPr>
        <w:spacing w:before="0" w:after="120"/>
      </w:pPr>
      <w:r>
        <w:rPr>
          <w:rFonts w:ascii="Times New Roman" w:hAnsi="Times New Roman"/>
          <w:sz w:val="20"/>
        </w:rPr>
        <w:t>In the primary multivariable logistic models, eTICI grades 0, 1, 2a, 2b, 2c, and 3 were coded 0–5 and entered as one numeric term. This specification assumes the same change in log odds between adjacent coded grades. For sensitivity analysis, the numeric term was replaced with an indicator for eTICI &lt;2c versus ≥2c (near-complete or complete reperfusion), while all other covariates, outcome definitions, and 408 observations were retained. The numbers of patients/favorable outcomes for grades 0, 1, 2a, 2b, 2c, and 3 were 17/0, 3/1, 10/0, 68/24, 29/16, and 281/151, respectively. A fully categorical six-grade model was not used for inference because the eTICI 0 and 2a groups contained no favorable outcomes (90-day mRS 0–2), making separate coefficients unreliable.</w:t>
      </w:r>
    </w:p>
    <w:p w14:paraId="54116508">
      <w:pPr>
        <w:pStyle w:val="2"/>
        <w:keepNext/>
        <w:pageBreakBefore/>
        <w:spacing w:before="0" w:after="0" w:line="240" w:lineRule="auto"/>
      </w:pPr>
      <w:r>
        <w:rPr>
          <w:rFonts w:ascii="Times New Roman" w:hAnsi="Times New Roman" w:eastAsia="Times New Roman" w:cs="Times New Roman"/>
          <w:sz w:val="20"/>
          <w:szCs w:val="20"/>
        </w:rPr>
        <w:t>Supplementary Figure S1. The Flowchart</w:t>
      </w:r>
    </w:p>
    <w:p w14:paraId="7E00BF9B">
      <w:pPr>
        <w:spacing w:before="0" w:after="0" w:line="240" w:lineRule="auto"/>
        <w:jc w:val="center"/>
      </w:pPr>
      <w:r>
        <w:rPr>
          <w:rFonts w:hint="default" w:ascii="Times New Roman" w:hAnsi="Times New Roman" w:eastAsia="Times New Roman" w:cs="Times New Roman"/>
          <w:b w:val="0"/>
          <w:bCs w:val="0"/>
          <w:color w:val="auto"/>
          <w:sz w:val="20"/>
          <w:szCs w:val="20"/>
          <w:lang w:val="en-US" w:eastAsia="zh-CN"/>
        </w:rPr>
        <w:drawing>
          <wp:inline distT="0" distB="0" distL="114300" distR="114300">
            <wp:extent cx="5486400" cy="2350770"/>
            <wp:effectExtent l="0" t="0" r="1905" b="0"/>
            <wp:docPr id="2" name="图片 2" descr="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low-chart"/>
                    <pic:cNvPicPr>
                      <a:picLocks noChangeAspect="1"/>
                    </pic:cNvPicPr>
                  </pic:nvPicPr>
                  <pic:blipFill>
                    <a:blip r:embed="rId12"/>
                    <a:stretch>
                      <a:fillRect/>
                    </a:stretch>
                  </pic:blipFill>
                  <pic:spPr>
                    <a:xfrm>
                      <a:off x="0" y="0"/>
                      <a:ext cx="5486400" cy="2351314"/>
                    </a:xfrm>
                    <a:prstGeom prst="rect">
                      <a:avLst/>
                    </a:prstGeom>
                  </pic:spPr>
                </pic:pic>
              </a:graphicData>
            </a:graphic>
          </wp:inline>
        </w:drawing>
      </w:r>
    </w:p>
    <w:p w14:paraId="4E2E3E05">
      <w:pPr>
        <w:spacing w:before="0" w:after="0" w:line="240" w:lineRule="auto"/>
      </w:pPr>
      <w:r>
        <w:rPr>
          <w:rFonts w:ascii="Times New Roman" w:hAnsi="Times New Roman" w:eastAsia="Times New Roman" w:cs="Times New Roman"/>
          <w:sz w:val="20"/>
          <w:szCs w:val="20"/>
        </w:rPr>
        <w:br w:type="page"/>
      </w:r>
    </w:p>
    <w:p w14:paraId="000CF854">
      <w:pPr>
        <w:pStyle w:val="2"/>
        <w:keepNext/>
        <w:spacing w:before="0" w:after="0" w:line="240" w:lineRule="auto"/>
      </w:pPr>
      <w:r>
        <w:rPr>
          <w:rFonts w:ascii="Times New Roman" w:hAnsi="Times New Roman" w:eastAsia="Times New Roman" w:cs="Times New Roman"/>
          <w:sz w:val="20"/>
          <w:szCs w:val="20"/>
        </w:rPr>
        <w:t>Supplementary Figure S2. Methodology for quantifying PTV using CT perfusion time-density curve analysis. (a) genu of corpus callosum level; (b) lateral ventricle body level with superior sagittal sinus ROI (arrow); (c) arterial and venous time-density curves, peak time read directly from the CT perfusion software.</w:t>
      </w:r>
    </w:p>
    <w:p w14:paraId="6611D0D1">
      <w:pPr>
        <w:spacing w:before="0" w:after="0" w:line="240" w:lineRule="auto"/>
        <w:jc w:val="center"/>
      </w:pPr>
      <w:r>
        <w:rPr>
          <w:rFonts w:hint="default" w:ascii="Times New Roman" w:hAnsi="Times New Roman" w:eastAsia="Times New Roman" w:cs="Times New Roman"/>
          <w:b w:val="0"/>
          <w:bCs w:val="0"/>
          <w:color w:val="auto"/>
          <w:sz w:val="20"/>
          <w:szCs w:val="20"/>
          <w:lang w:val="en-US" w:eastAsia="zh-CN"/>
        </w:rPr>
        <w:drawing>
          <wp:inline distT="0" distB="0" distL="114300" distR="114300">
            <wp:extent cx="5486400" cy="5788025"/>
            <wp:effectExtent l="0" t="0" r="635" b="1905"/>
            <wp:docPr id="4" name="图片 4" descr="Figure 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1_02"/>
                    <pic:cNvPicPr>
                      <a:picLocks noChangeAspect="1"/>
                    </pic:cNvPicPr>
                  </pic:nvPicPr>
                  <pic:blipFill>
                    <a:blip r:embed="rId13"/>
                    <a:srcRect l="29496" t="15407" r="36559" b="20931"/>
                    <a:stretch>
                      <a:fillRect/>
                    </a:stretch>
                  </pic:blipFill>
                  <pic:spPr>
                    <a:xfrm>
                      <a:off x="0" y="0"/>
                      <a:ext cx="5486400" cy="5788328"/>
                    </a:xfrm>
                    <a:prstGeom prst="rect">
                      <a:avLst/>
                    </a:prstGeom>
                  </pic:spPr>
                </pic:pic>
              </a:graphicData>
            </a:graphic>
          </wp:inline>
        </w:drawing>
      </w:r>
    </w:p>
    <w:p w14:paraId="0F7E7F9A">
      <w:pPr>
        <w:spacing w:before="0" w:after="0" w:line="240" w:lineRule="auto"/>
        <w:rPr>
          <w:rFonts w:ascii="Times New Roman" w:hAnsi="Times New Roman" w:eastAsia="Times New Roman" w:cs="Times New Roman"/>
        </w:rPr>
      </w:pPr>
      <w:r>
        <w:rPr>
          <w:rFonts w:ascii="Times New Roman" w:hAnsi="Times New Roman" w:eastAsia="Times New Roman" w:cs="Times New Roman"/>
          <w:sz w:val="20"/>
          <w:szCs w:val="20"/>
        </w:rPr>
        <w:br w:type="page"/>
      </w:r>
    </w:p>
    <w:p w14:paraId="1D88C1AB">
      <w:pPr>
        <w:pStyle w:val="2"/>
        <w:keepNext/>
        <w:pageBreakBefore/>
        <w:spacing w:before="0" w:after="0" w:line="240" w:lineRule="auto"/>
        <w:rPr>
          <w:rFonts w:hint="default" w:ascii="Times New Roman" w:hAnsi="Times New Roman" w:eastAsia="Times New Roman" w:cs="Times New Roman"/>
          <w:b w:val="0"/>
          <w:bCs w:val="0"/>
          <w:color w:val="auto"/>
          <w:lang w:val="en-US" w:eastAsia="zh-CN"/>
        </w:rPr>
      </w:pPr>
      <w:r>
        <w:rPr>
          <w:rFonts w:ascii="Times New Roman" w:hAnsi="Times New Roman" w:eastAsia="Times New Roman" w:cs="Times New Roman"/>
          <w:sz w:val="20"/>
          <w:szCs w:val="20"/>
        </w:rPr>
        <w:t xml:space="preserve">Supplementary Table S1. Univariate and Multivariate Logistic Regression Analysis of 90-Day Modified Rankin Scale (mRS) 0-2 Outcomes - Basic </w:t>
      </w:r>
      <w:r>
        <w:rPr>
          <w:rFonts w:hint="eastAsia" w:ascii="Times New Roman" w:hAnsi="Times New Roman" w:eastAsia="Times New Roman" w:cs="Times New Roman"/>
          <w:sz w:val="20"/>
          <w:szCs w:val="20"/>
          <w:lang w:val="en-US" w:eastAsia="zh-CN"/>
        </w:rPr>
        <w:t xml:space="preserve">Adjusted </w:t>
      </w:r>
      <w:r>
        <w:rPr>
          <w:rFonts w:ascii="Times New Roman" w:hAnsi="Times New Roman" w:eastAsia="Times New Roman" w:cs="Times New Roman"/>
          <w:sz w:val="20"/>
          <w:szCs w:val="20"/>
        </w:rPr>
        <w:t>Model</w:t>
      </w:r>
    </w:p>
    <w:tbl>
      <w:tblPr>
        <w:tblStyle w:val="9"/>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3096"/>
        <w:gridCol w:w="1872"/>
        <w:gridCol w:w="864"/>
        <w:gridCol w:w="1872"/>
        <w:gridCol w:w="864"/>
      </w:tblGrid>
      <w:tr w14:paraId="65B2685E">
        <w:trPr>
          <w:cantSplit/>
          <w:tblHeader/>
          <w:jc w:val="center"/>
        </w:trPr>
        <w:tc>
          <w:tcPr>
            <w:tcW w:w="3096" w:type="dxa"/>
            <w:tcBorders>
              <w:top w:val="single" w:color="000000" w:sz="12" w:space="0"/>
              <w:left w:val="nil"/>
              <w:bottom w:val="single" w:color="000000" w:sz="4" w:space="0"/>
              <w:right w:val="nil"/>
              <w:insideH w:val="nil"/>
              <w:insideV w:val="nil"/>
              <w:tl2br w:val="nil"/>
            </w:tcBorders>
            <w:shd w:val="clear" w:color="auto" w:fill="FFFFFF"/>
            <w:noWrap/>
            <w:tcMar>
              <w:top w:w="18" w:type="dxa"/>
              <w:left w:w="45" w:type="dxa"/>
              <w:bottom w:w="18" w:type="dxa"/>
              <w:right w:w="45" w:type="dxa"/>
            </w:tcMar>
            <w:vAlign w:val="center"/>
          </w:tcPr>
          <w:p w14:paraId="6AD53AB8">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Variable</w:t>
            </w:r>
          </w:p>
        </w:tc>
        <w:tc>
          <w:tcPr>
            <w:tcW w:w="1872"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7338DB8A">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Unadjusted OR</w:t>
            </w:r>
          </w:p>
          <w:p w14:paraId="1D601AF2">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(95% CI)</w:t>
            </w:r>
          </w:p>
        </w:tc>
        <w:tc>
          <w:tcPr>
            <w:tcW w:w="864"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76B2F365">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ascii="Times New Roman" w:hAnsi="Times New Roman" w:eastAsia="Times New Roman" w:cs="Times New Roman"/>
                <w:b w:val="0"/>
                <w:i/>
                <w:color w:val="000000"/>
                <w:sz w:val="16"/>
                <w:szCs w:val="16"/>
              </w:rPr>
              <w:t>P value</w:t>
            </w:r>
          </w:p>
        </w:tc>
        <w:tc>
          <w:tcPr>
            <w:tcW w:w="1872"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1D157228">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Adjusted OR</w:t>
            </w:r>
          </w:p>
          <w:p w14:paraId="7047B087">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(95% CI)</w:t>
            </w:r>
          </w:p>
        </w:tc>
        <w:tc>
          <w:tcPr>
            <w:tcW w:w="864"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29C4858E">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iCs/>
                <w:color w:val="000000"/>
                <w:kern w:val="0"/>
                <w:sz w:val="16"/>
                <w:szCs w:val="16"/>
                <w:u w:val="none"/>
                <w:lang w:val="en-US" w:eastAsia="zh-CN" w:bidi="ar"/>
              </w:rPr>
            </w:pPr>
            <w:r>
              <w:rPr>
                <w:rFonts w:ascii="Times New Roman" w:hAnsi="Times New Roman" w:eastAsia="Times New Roman" w:cs="Times New Roman"/>
                <w:b w:val="0"/>
                <w:i/>
                <w:color w:val="000000"/>
                <w:sz w:val="16"/>
                <w:szCs w:val="16"/>
              </w:rPr>
              <w:t>P value</w:t>
            </w:r>
          </w:p>
        </w:tc>
      </w:tr>
      <w:tr w14:paraId="2F9A9A10">
        <w:trPr>
          <w:cantSplit/>
          <w:jc w:val="center"/>
        </w:trPr>
        <w:tc>
          <w:tcPr>
            <w:tcW w:w="3096"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1C6C980D">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PTV</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eastAsia" w:ascii="Times New Roman" w:hAnsi="Times New Roman" w:eastAsia="Times New Roman" w:cs="Times New Roman"/>
                <w:b w:val="0"/>
                <w:bCs w:val="0"/>
                <w:color w:val="000000"/>
                <w:sz w:val="16"/>
                <w:szCs w:val="16"/>
                <w:lang w:val="en-US" w:eastAsia="zh-CN"/>
              </w:rPr>
              <w:t>Continuous</w:t>
            </w:r>
          </w:p>
        </w:tc>
        <w:tc>
          <w:tcPr>
            <w:tcW w:w="1872"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0EA52752">
            <w:pPr>
              <w:keepNext/>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0.94 (0.904-0.970)</w:t>
            </w:r>
          </w:p>
        </w:tc>
        <w:tc>
          <w:tcPr>
            <w:tcW w:w="864"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22483E04">
            <w:pPr>
              <w:keepNext/>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18B8D4F8">
            <w:pPr>
              <w:keepNext/>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0.95 (0.902-0.992)</w:t>
            </w:r>
          </w:p>
        </w:tc>
        <w:tc>
          <w:tcPr>
            <w:tcW w:w="864"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5C6BFA18">
            <w:pPr>
              <w:pStyle w:val="8"/>
              <w:keepNext/>
              <w:keepLines/>
              <w:widowControl/>
              <w:suppressLineNumbers w:val="0"/>
              <w:spacing w:before="0" w:beforeAutospacing="0" w:after="0" w:afterAutospacing="0" w:line="240" w:lineRule="auto"/>
              <w:ind w:left="0" w:leftChars="0" w:right="0" w:rightChars="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0.022</w:t>
            </w:r>
          </w:p>
        </w:tc>
      </w:tr>
      <w:tr w14:paraId="25623420">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1E8856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PTV</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Quartile 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5EFFD29">
            <w:pPr>
              <w:pStyle w:val="26"/>
              <w:keepNext w:val="0"/>
              <w:keepLines/>
              <w:widowControl/>
              <w:suppressLineNumbers w:val="0"/>
              <w:spacing w:before="0" w:after="0" w:line="240" w:lineRule="auto"/>
              <w:ind w:left="0" w:right="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DCFC22">
            <w:pPr>
              <w:pStyle w:val="26"/>
              <w:keepNext w:val="0"/>
              <w:keepLines/>
              <w:widowControl/>
              <w:suppressLineNumbers w:val="0"/>
              <w:spacing w:before="0" w:after="0" w:line="240" w:lineRule="auto"/>
              <w:ind w:left="0" w:right="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F91B266">
            <w:pPr>
              <w:pStyle w:val="26"/>
              <w:keepNext w:val="0"/>
              <w:keepLines/>
              <w:widowControl/>
              <w:suppressLineNumbers w:val="0"/>
              <w:spacing w:before="0" w:after="0" w:line="240" w:lineRule="auto"/>
              <w:ind w:left="0" w:right="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09710B6">
            <w:pPr>
              <w:pStyle w:val="26"/>
              <w:keepNext w:val="0"/>
              <w:keepLines/>
              <w:widowControl/>
              <w:suppressLineNumbers w:val="0"/>
              <w:spacing w:before="0" w:after="0" w:line="240" w:lineRule="auto"/>
              <w:ind w:left="0" w:right="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r>
      <w:tr w14:paraId="3AD952C0">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EA15D5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Quartile 2</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B5DF674">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0.60 (0.344-1.041)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C665F3C">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0.069</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4C6EBC4">
            <w:pPr>
              <w:pStyle w:val="8"/>
              <w:keepNext w:val="0"/>
              <w:keepLines/>
              <w:widowControl/>
              <w:suppressLineNumbers w:val="0"/>
              <w:spacing w:before="0" w:beforeAutospacing="0" w:after="0" w:afterAutospacing="0" w:line="240" w:lineRule="auto"/>
              <w:ind w:left="0" w:leftChars="0" w:right="0" w:rightChars="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0.66 (0.338-1.301)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0250D5B">
            <w:pPr>
              <w:pStyle w:val="8"/>
              <w:keepNext w:val="0"/>
              <w:keepLines/>
              <w:widowControl/>
              <w:suppressLineNumbers w:val="0"/>
              <w:spacing w:before="0" w:beforeAutospacing="0" w:after="0" w:afterAutospacing="0" w:line="240" w:lineRule="auto"/>
              <w:ind w:left="0" w:leftChars="0" w:right="0" w:rightChars="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0.232</w:t>
            </w:r>
          </w:p>
        </w:tc>
      </w:tr>
      <w:tr w14:paraId="0B70086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ABB316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Quartile 3</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070FF6C">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0.65 (0.372-1.126)</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7477F0E">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0.123</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395B97E">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0.85 (0.430-1.674)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D52BFAF">
            <w:pPr>
              <w:pStyle w:val="8"/>
              <w:keepNext w:val="0"/>
              <w:keepLines/>
              <w:widowControl/>
              <w:suppressLineNumbers w:val="0"/>
              <w:spacing w:before="0" w:beforeAutospacing="0" w:after="0" w:afterAutospacing="0" w:line="240" w:lineRule="auto"/>
              <w:ind w:left="0" w:leftChars="0" w:right="0" w:rightChars="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0.636</w:t>
            </w:r>
          </w:p>
        </w:tc>
      </w:tr>
      <w:tr w14:paraId="522B68CF">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AE8F4F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Quartile 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CF1B95">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0.38 (0.217-0.672)</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0A346A4">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291294A">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0.45 (0.208-0.967)</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9B7636C">
            <w:pPr>
              <w:pStyle w:val="8"/>
              <w:keepNext w:val="0"/>
              <w:keepLines/>
              <w:widowControl/>
              <w:suppressLineNumbers w:val="0"/>
              <w:spacing w:before="0" w:beforeAutospacing="0" w:after="0" w:afterAutospacing="0" w:line="240" w:lineRule="auto"/>
              <w:ind w:left="0" w:leftChars="0" w:right="0" w:rightChars="0" w:firstLine="0"/>
              <w:jc w:val="both"/>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0.041</w:t>
            </w:r>
          </w:p>
        </w:tc>
      </w:tr>
      <w:tr w14:paraId="128FA3F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726C4CC">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eastAsia" w:ascii="Times New Roman" w:hAnsi="Times New Roman" w:eastAsia="Times New Roman" w:cs="Times New Roman"/>
                <w:b w:val="0"/>
                <w:bCs w:val="0"/>
                <w:i w:val="0"/>
                <w:iCs w:val="0"/>
                <w:color w:val="000000"/>
                <w:kern w:val="0"/>
                <w:sz w:val="16"/>
                <w:szCs w:val="16"/>
                <w:u w:val="none"/>
                <w:lang w:val="en-US" w:eastAsia="zh-CN" w:bidi="ar"/>
              </w:rPr>
              <w:t>S</w:t>
            </w:r>
            <w:r>
              <w:rPr>
                <w:rFonts w:hint="default" w:ascii="Times New Roman" w:hAnsi="Times New Roman" w:eastAsia="Times New Roman" w:cs="Times New Roman"/>
                <w:b w:val="0"/>
                <w:bCs w:val="0"/>
                <w:i w:val="0"/>
                <w:iCs w:val="0"/>
                <w:color w:val="000000"/>
                <w:kern w:val="0"/>
                <w:sz w:val="16"/>
                <w:szCs w:val="16"/>
                <w:u w:val="none"/>
                <w:lang w:val="en-US" w:eastAsia="zh-CN" w:bidi="ar"/>
              </w:rPr>
              <w:t>ex</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87A2CE4">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1.22 (0.819-1.822)</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FE8443D">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0.327</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7EB14A4">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B492C10">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6F9BF742">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55F4438">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eastAsia" w:ascii="Times New Roman" w:hAnsi="Times New Roman" w:eastAsia="Times New Roman" w:cs="Times New Roman"/>
                <w:b w:val="0"/>
                <w:bCs w:val="0"/>
                <w:i w:val="0"/>
                <w:iCs w:val="0"/>
                <w:color w:val="000000"/>
                <w:kern w:val="0"/>
                <w:sz w:val="16"/>
                <w:szCs w:val="16"/>
                <w:u w:val="none"/>
                <w:lang w:val="en-US" w:eastAsia="zh-CN" w:bidi="ar"/>
              </w:rPr>
              <w:t>A</w:t>
            </w:r>
            <w:r>
              <w:rPr>
                <w:rFonts w:hint="default" w:ascii="Times New Roman" w:hAnsi="Times New Roman" w:eastAsia="Times New Roman" w:cs="Times New Roman"/>
                <w:b w:val="0"/>
                <w:bCs w:val="0"/>
                <w:i w:val="0"/>
                <w:iCs w:val="0"/>
                <w:color w:val="000000"/>
                <w:kern w:val="0"/>
                <w:sz w:val="16"/>
                <w:szCs w:val="16"/>
                <w:u w:val="none"/>
                <w:lang w:val="en-US" w:eastAsia="zh-CN" w:bidi="ar"/>
              </w:rPr>
              <w:t>ge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4EEAE09">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0.96 (0.947-0.980)</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32EDE2E">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1282B17">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0.96 (0.942-0.984)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B7057AB">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r>
      <w:tr w14:paraId="0C5F1CFA">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1F66FB7">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eastAsia" w:ascii="Times New Roman" w:hAnsi="Times New Roman" w:eastAsia="Times New Roman" w:cs="Times New Roman"/>
                <w:b w:val="0"/>
                <w:bCs w:val="0"/>
                <w:i w:val="0"/>
                <w:iCs w:val="0"/>
                <w:color w:val="000000"/>
                <w:kern w:val="0"/>
                <w:sz w:val="16"/>
                <w:szCs w:val="16"/>
                <w:u w:val="none"/>
                <w:lang w:val="en-US" w:eastAsia="zh-CN" w:bidi="ar"/>
              </w:rPr>
              <w:t>H</w:t>
            </w:r>
            <w:r>
              <w:rPr>
                <w:rFonts w:hint="default" w:ascii="Times New Roman" w:hAnsi="Times New Roman" w:eastAsia="Times New Roman" w:cs="Times New Roman"/>
                <w:b w:val="0"/>
                <w:bCs w:val="0"/>
                <w:i w:val="0"/>
                <w:iCs w:val="0"/>
                <w:color w:val="000000"/>
                <w:kern w:val="0"/>
                <w:sz w:val="16"/>
                <w:szCs w:val="16"/>
                <w:u w:val="none"/>
                <w:lang w:val="en-US" w:eastAsia="zh-CN" w:bidi="ar"/>
              </w:rPr>
              <w:t>ypertension</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B1128B8">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0.78 (0.528-1.161)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C2252A4">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0.224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CC444A4">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8C27CF8">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2C9B9AAC">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539B7A4">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eastAsia" w:ascii="Times New Roman" w:hAnsi="Times New Roman" w:eastAsia="Times New Roman" w:cs="Times New Roman"/>
                <w:b w:val="0"/>
                <w:bCs w:val="0"/>
                <w:i w:val="0"/>
                <w:iCs w:val="0"/>
                <w:color w:val="000000"/>
                <w:kern w:val="0"/>
                <w:sz w:val="16"/>
                <w:szCs w:val="16"/>
                <w:u w:val="none"/>
                <w:lang w:val="en-US" w:eastAsia="zh-CN" w:bidi="ar"/>
              </w:rPr>
              <w:t>D</w:t>
            </w:r>
            <w:r>
              <w:rPr>
                <w:rFonts w:hint="default" w:ascii="Times New Roman" w:hAnsi="Times New Roman" w:eastAsia="Times New Roman" w:cs="Times New Roman"/>
                <w:b w:val="0"/>
                <w:bCs w:val="0"/>
                <w:i w:val="0"/>
                <w:iCs w:val="0"/>
                <w:color w:val="000000"/>
                <w:kern w:val="0"/>
                <w:sz w:val="16"/>
                <w:szCs w:val="16"/>
                <w:u w:val="none"/>
                <w:lang w:val="en-US" w:eastAsia="zh-CN" w:bidi="ar"/>
              </w:rPr>
              <w:t>iabetes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8EA3EBB">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0.46 (0.273-0.776)</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888291E">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0.004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2CBCB27">
            <w:pPr>
              <w:pStyle w:val="8"/>
              <w:keepNext w:val="0"/>
              <w:keepLines/>
              <w:widowControl/>
              <w:suppressLineNumbers w:val="0"/>
              <w:spacing w:before="0" w:beforeAutospacing="0" w:after="0" w:afterAutospacing="0" w:line="240" w:lineRule="auto"/>
              <w:ind w:left="0" w:leftChars="0" w:right="0" w:rightChars="0" w:firstLine="0"/>
              <w:jc w:val="both"/>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0.36 (0.192-0.675)</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DBE1A06">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0.001</w:t>
            </w:r>
          </w:p>
        </w:tc>
      </w:tr>
      <w:tr w14:paraId="17275083">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1C3E8BC">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eastAsia" w:ascii="Times New Roman" w:hAnsi="Times New Roman" w:eastAsia="Times New Roman" w:cs="Times New Roman"/>
                <w:b w:val="0"/>
                <w:bCs w:val="0"/>
                <w:i w:val="0"/>
                <w:iCs w:val="0"/>
                <w:color w:val="000000"/>
                <w:kern w:val="0"/>
                <w:sz w:val="16"/>
                <w:szCs w:val="16"/>
                <w:u w:val="none"/>
                <w:lang w:val="en-US" w:eastAsia="zh-CN" w:bidi="ar"/>
              </w:rPr>
              <w:t>H</w:t>
            </w:r>
            <w:r>
              <w:rPr>
                <w:rFonts w:hint="default" w:ascii="Times New Roman" w:hAnsi="Times New Roman" w:eastAsia="Times New Roman" w:cs="Times New Roman"/>
                <w:b w:val="0"/>
                <w:bCs w:val="0"/>
                <w:i w:val="0"/>
                <w:iCs w:val="0"/>
                <w:color w:val="000000"/>
                <w:kern w:val="0"/>
                <w:sz w:val="16"/>
                <w:szCs w:val="16"/>
                <w:u w:val="none"/>
                <w:lang w:val="en-US" w:eastAsia="zh-CN" w:bidi="ar"/>
              </w:rPr>
              <w:t>yperlipemia</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0E949AF">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1.26 (0.687-2.296)</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00D813">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0.458</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32B403E">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AE3F786">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6CBFBBB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A6D21CA">
            <w:pPr>
              <w:pStyle w:val="8"/>
              <w:keepNext w:val="0"/>
              <w:keepLines/>
              <w:widowControl/>
              <w:suppressLineNumbers w:val="0"/>
              <w:spacing w:before="0" w:beforeAutospacing="0" w:after="0" w:afterAutospacing="0" w:line="240" w:lineRule="auto"/>
              <w:ind w:left="0" w:right="0" w:firstLine="0"/>
              <w:jc w:val="both"/>
              <w:rPr>
                <w:rFonts w:hint="default" w:ascii="Times New Roman" w:hAnsi="Times New Roman" w:eastAsia="Times New Roman" w:cs="Times New Roman"/>
                <w:b w:val="0"/>
                <w:bCs w:val="0"/>
                <w:i w:val="0"/>
                <w:iCs w:val="0"/>
                <w:color w:val="000000"/>
                <w:sz w:val="16"/>
                <w:szCs w:val="16"/>
                <w:u w:val="none"/>
              </w:rPr>
            </w:pPr>
            <w:r>
              <w:rPr>
                <w:rFonts w:hint="eastAsia" w:ascii="Times New Roman" w:hAnsi="Times New Roman" w:eastAsia="Times New Roman" w:cs="Times New Roman"/>
                <w:b w:val="0"/>
                <w:bCs w:val="0"/>
                <w:i w:val="0"/>
                <w:iCs w:val="0"/>
                <w:color w:val="000000"/>
                <w:kern w:val="0"/>
                <w:sz w:val="16"/>
                <w:szCs w:val="16"/>
                <w:u w:val="none"/>
                <w:lang w:val="en-US" w:eastAsia="zh-CN" w:bidi="ar"/>
              </w:rPr>
              <w:t>A</w:t>
            </w:r>
            <w:r>
              <w:rPr>
                <w:rFonts w:hint="default" w:ascii="Times New Roman" w:hAnsi="Times New Roman" w:eastAsia="Times New Roman" w:cs="Times New Roman"/>
                <w:b w:val="0"/>
                <w:bCs w:val="0"/>
                <w:i w:val="0"/>
                <w:iCs w:val="0"/>
                <w:color w:val="000000"/>
                <w:kern w:val="0"/>
                <w:sz w:val="16"/>
                <w:szCs w:val="16"/>
                <w:u w:val="none"/>
                <w:lang w:val="en-US" w:eastAsia="zh-CN" w:bidi="ar"/>
              </w:rPr>
              <w:t>trial Fibrillation</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1D14843">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0.67 (0.442-1.007)</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1A9B683">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0.054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1FD4E9D">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0.89 (0.421-1.869)</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095C651">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0.753</w:t>
            </w:r>
          </w:p>
        </w:tc>
      </w:tr>
      <w:tr w14:paraId="4577F52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5DFAFDD">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History of Stroke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2F8FA3D">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1.06 (0.620-1.829)</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866B9E2">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0.820</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414F13F">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A68A802">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510E1164">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A9C2D11">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Baseline SBP</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A25BD9A">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0.99 (0.981-0.997)</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65CC6E3">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0.007</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9FB13C8">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49CBAC">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6087F83D">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57947A4">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Baseline DBP</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CF39196">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0.99 (0.983-1.006)</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3D806CB">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0.339</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0D96973">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56DA974">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637D9013">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D4CA9F8">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Baseline NIHSS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5FC21D3">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0.91 (0.877-0.940)</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F8A882E">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7FDD4A1">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0.93 (0.895-0.975)</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5BF64E8">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0.002</w:t>
            </w:r>
          </w:p>
        </w:tc>
      </w:tr>
      <w:tr w14:paraId="4E0B047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7694662">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ascii="Times New Roman" w:hAnsi="Times New Roman" w:eastAsia="Times New Roman" w:cs="Times New Roman"/>
                <w:b w:val="0"/>
                <w:i w:val="0"/>
                <w:color w:val="000000"/>
                <w:sz w:val="16"/>
                <w:szCs w:val="16"/>
              </w:rPr>
              <w:t>Baseline ASPECTS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4B28C82">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1.32 (1.203-1.459)</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CAE506B">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A3674AD">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1.38 (1.226-1.550)</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6E9466">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r>
      <w:tr w14:paraId="1524C84E">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C84EC37">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NIHSS from baseline 24 at hours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C2AE7BD">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0.80 (0.768-0.842)</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F8D2B7A">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209791">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E02CD3C">
            <w:pPr>
              <w:keepNext w:val="0"/>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420B6D6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7A90C1C">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NIHSS at 5</w:t>
            </w:r>
            <w:r>
              <w:rPr>
                <w:rFonts w:hint="eastAsia" w:ascii="Times New Roman" w:hAnsi="Times New Roman" w:eastAsia="Times New Roman" w:cs="Times New Roman"/>
                <w:b w:val="0"/>
                <w:bCs w:val="0"/>
                <w:i w:val="0"/>
                <w:iCs w:val="0"/>
                <w:color w:val="000000"/>
                <w:kern w:val="0"/>
                <w:sz w:val="16"/>
                <w:szCs w:val="16"/>
                <w:u w:val="none"/>
                <w:lang w:val="en-US" w:eastAsia="zh-CN" w:bidi="ar"/>
              </w:rPr>
              <w:t>-</w:t>
            </w:r>
            <w:r>
              <w:rPr>
                <w:rFonts w:hint="default" w:ascii="Times New Roman" w:hAnsi="Times New Roman" w:eastAsia="Times New Roman" w:cs="Times New Roman"/>
                <w:b w:val="0"/>
                <w:bCs w:val="0"/>
                <w:i w:val="0"/>
                <w:iCs w:val="0"/>
                <w:color w:val="000000"/>
                <w:kern w:val="0"/>
                <w:sz w:val="16"/>
                <w:szCs w:val="16"/>
                <w:u w:val="none"/>
                <w:lang w:val="en-US" w:eastAsia="zh-CN" w:bidi="ar"/>
              </w:rPr>
              <w:t>7 days or early discharge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519ACAC">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1118FFA">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49E5A4F">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974A49">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77E066D8">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49F4D9D">
            <w:pPr>
              <w:keepNext w:val="0"/>
              <w:keepLines/>
              <w:widowControl/>
              <w:suppressLineNumbers w:val="0"/>
              <w:spacing w:before="0" w:after="0" w:line="240" w:lineRule="auto"/>
              <w:ind w:left="0" w:right="0" w:firstLine="0"/>
              <w:jc w:val="distribute"/>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TOAST</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LAA</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7054C41">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990C48B">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0CDAF5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CD6BDB8">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r>
      <w:tr w14:paraId="2ADD965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7BB049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CE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89C0A82">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1.02 (0.668-1.564)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8F161D">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0.919</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4CE7DCF">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1.91 (0.893-4.081)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4AEEDF7">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0.095</w:t>
            </w:r>
          </w:p>
        </w:tc>
      </w:tr>
      <w:tr w14:paraId="0B7A4350">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BBCCF5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Other or unknown</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60CD82">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1.62 (0.856-3.054)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CB5D6DE">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0.138</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9384A87">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1.71 (0.772-3.782)</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95EDEF8">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0.186</w:t>
            </w:r>
          </w:p>
        </w:tc>
      </w:tr>
      <w:tr w14:paraId="793184CC">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056C7C0">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Intravenous Thrombolysis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E46ED6F">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0.83 (0.549-1.246)</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35B13D9">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0.364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644F660">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30589AA">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45D209ED">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665F35E">
            <w:pPr>
              <w:keepNext w:val="0"/>
              <w:keepLines/>
              <w:widowControl/>
              <w:suppressLineNumbers w:val="0"/>
              <w:spacing w:before="0" w:after="0" w:line="240" w:lineRule="auto"/>
              <w:ind w:left="0" w:right="0" w:firstLine="0"/>
              <w:jc w:val="distribute"/>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Occlusion site</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ICA</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ED38454">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A7D5A50">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7773F6A">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59AD21E">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Reference</w:t>
            </w:r>
          </w:p>
        </w:tc>
      </w:tr>
      <w:tr w14:paraId="454FBAED">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7D34FC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lang w:val="en-US" w:eastAsia="zh-CN"/>
              </w:rPr>
            </w:pPr>
            <w:r>
              <w:rPr>
                <w:rFonts w:hint="default" w:ascii="Times New Roman" w:hAnsi="Times New Roman" w:eastAsia="Times New Roman" w:cs="Times New Roman"/>
                <w:b w:val="0"/>
                <w:bCs w:val="0"/>
                <w:i w:val="0"/>
                <w:iCs w:val="0"/>
                <w:color w:val="000000"/>
                <w:sz w:val="16"/>
                <w:szCs w:val="16"/>
                <w:u w:val="none"/>
                <w:lang w:val="en-US" w:eastAsia="zh-CN"/>
              </w:rPr>
              <w:t>MCA-M1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7776DFC">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1.29 (0.811-2.061)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D902B16">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0.280</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1996D4F">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0.91 (0.517-1.592)</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F9E842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0.734</w:t>
            </w:r>
          </w:p>
        </w:tc>
      </w:tr>
      <w:tr w14:paraId="65B792E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02B935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MCA-M2</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EC46D2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2.18 (1.151-4.148)</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C8ACF69">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0.017</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FDDEE29">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1.74 (0.802-3.755)</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93F13D6">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0.161</w:t>
            </w:r>
          </w:p>
        </w:tc>
      </w:tr>
      <w:tr w14:paraId="797F1D80">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8B8F65A">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Tan</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 </w:t>
            </w:r>
            <w:r>
              <w:rPr>
                <w:rFonts w:hint="default" w:ascii="Times New Roman" w:hAnsi="Times New Roman" w:eastAsia="Times New Roman" w:cs="Times New Roman"/>
                <w:b w:val="0"/>
                <w:bCs w:val="0"/>
                <w:i w:val="0"/>
                <w:iCs w:val="0"/>
                <w:color w:val="000000"/>
                <w:kern w:val="0"/>
                <w:sz w:val="16"/>
                <w:szCs w:val="16"/>
                <w:u w:val="none"/>
                <w:lang w:val="en-US" w:eastAsia="zh-CN" w:bidi="ar"/>
              </w:rPr>
              <w:t>50%</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231FDF2">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3.66 (2.427-5.513)</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654556A">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E92CB0B">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F039F07">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2187BA5C">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C0D04EF">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HIR</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 0.4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330F86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2.05 (1.348-3.114)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04DC2D">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54C4354">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A010733">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68182E0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50FD510">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eTICI</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7C2B1F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1.69 (1.378-2.075)</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52DCA0">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44D9E4A">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1.77 (1.387-2.248)</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DFE8DBC">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&lt;0.001</w:t>
            </w:r>
          </w:p>
        </w:tc>
      </w:tr>
      <w:tr w14:paraId="7097E420">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8635B9B">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Onset to Puncture time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10EF6E9">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1.00 (1.000-1.001)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6AD447B">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0.154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A1D5D78">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FA8836B">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r w14:paraId="48AD4B6F">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816F68">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Treatment workflow time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17416B2">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1.00 (0.999-1.001)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EAA9EB3">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0.853</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6504A23">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1.00 (0.999-1.001)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4663FC2">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0.860</w:t>
            </w:r>
          </w:p>
        </w:tc>
      </w:tr>
      <w:tr w14:paraId="13C518EA">
        <w:trPr>
          <w:cantSplit/>
          <w:jc w:val="center"/>
        </w:trPr>
        <w:tc>
          <w:tcPr>
            <w:tcW w:w="3096"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2B4CA3FC">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Puncture to procedure-end workflow time</w:t>
            </w:r>
          </w:p>
        </w:tc>
        <w:tc>
          <w:tcPr>
            <w:tcW w:w="1872"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7E8850EF">
            <w:pPr>
              <w:keepNext w:val="0"/>
              <w:keepLines/>
              <w:spacing w:before="0" w:after="0" w:line="240" w:lineRule="auto"/>
              <w:ind w:left="0" w:right="0" w:firstLine="0"/>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1.00 (0.998-1.001)</w:t>
            </w:r>
          </w:p>
        </w:tc>
        <w:tc>
          <w:tcPr>
            <w:tcW w:w="864"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3920A0F8">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eastAsia" w:ascii="Times New Roman" w:hAnsi="Times New Roman" w:eastAsia="Times New Roman" w:cs="Times New Roman"/>
                <w:b w:val="0"/>
                <w:bCs w:val="0"/>
                <w:i w:val="0"/>
                <w:iCs w:val="0"/>
                <w:color w:val="000000"/>
                <w:kern w:val="0"/>
                <w:sz w:val="16"/>
                <w:szCs w:val="16"/>
                <w:u w:val="none"/>
                <w:lang w:val="en-US" w:eastAsia="zh-CN" w:bidi="ar"/>
              </w:rPr>
              <w:t>0.500</w:t>
            </w:r>
          </w:p>
        </w:tc>
        <w:tc>
          <w:tcPr>
            <w:tcW w:w="1872"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256F0A0E">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c>
          <w:tcPr>
            <w:tcW w:w="864"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54E38CF6">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i w:val="0"/>
                <w:iCs w:val="0"/>
                <w:color w:val="000000"/>
                <w:kern w:val="0"/>
                <w:sz w:val="16"/>
                <w:szCs w:val="16"/>
                <w:u w:val="none"/>
                <w:lang w:val="en-US" w:eastAsia="zh-CN" w:bidi="ar"/>
              </w:rPr>
            </w:pPr>
          </w:p>
        </w:tc>
      </w:tr>
    </w:tbl>
    <w:p w14:paraId="2833034C">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ascii="Times New Roman" w:hAnsi="Times New Roman" w:eastAsia="Times New Roman" w:cs="Times New Roman"/>
          <w:b w:val="0"/>
          <w:sz w:val="16"/>
          <w:szCs w:val="20"/>
        </w:rPr>
        <w:t xml:space="preserve">Adjusted for </w:t>
      </w:r>
      <w:r>
        <w:rPr>
          <w:rFonts w:hint="default" w:ascii="Times New Roman" w:hAnsi="Times New Roman" w:eastAsia="Times New Roman" w:cs="Times New Roman"/>
          <w:b w:val="0"/>
          <w:bCs w:val="0"/>
          <w:color w:val="auto"/>
          <w:sz w:val="16"/>
          <w:szCs w:val="20"/>
          <w:lang w:val="en-US" w:eastAsia="zh-CN"/>
        </w:rPr>
        <w:t xml:space="preserve"> age, atrial fibrillation, diabetes, TOAST, occlusion site, baseline ASPECTS, baseline NIHSS, treatment workflow time (TWT) and eTICI score</w:t>
      </w:r>
    </w:p>
    <w:p w14:paraId="5CF4F633">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val="0"/>
          <w:bCs w:val="0"/>
          <w:color w:val="auto"/>
          <w:sz w:val="16"/>
          <w:szCs w:val="20"/>
          <w:lang w:val="en-US" w:eastAsia="zh-CN"/>
        </w:rPr>
        <w:t>Abbreviations: PTV = peak time of venous outflow; NIHSS = National Institutes of Health Stroke Scale; ASPECTS = Alberta Stroke Program Early CT Score; TOAST = Trial of ORG 10172 in Acute Stroke Treatment; LAA = large-artery atherosclerosis; CE = cardioembolism; eTICI = expanded Treatment in Cerebral Infarction; SBP = systolic blood pressure; DBP = diastolic blood pressure; ICA = internal carotid artery; MCA = middle cerebral artery.</w:t>
      </w:r>
    </w:p>
    <w:p w14:paraId="55FDA680">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p>
    <w:p w14:paraId="41C0C4F5">
      <w:pPr>
        <w:pStyle w:val="2"/>
        <w:keepNext/>
        <w:keepLines w:val="0"/>
        <w:pageBreakBefore/>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ascii="Times New Roman" w:hAnsi="Times New Roman" w:eastAsia="Times New Roman" w:cs="Times New Roman"/>
          <w:sz w:val="20"/>
          <w:szCs w:val="20"/>
        </w:rPr>
        <w:t>Supplementary</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Table S2.</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Univariate</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and</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Multivariate</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Logistic</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Regression</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Analysis</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of</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90-Day</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Modified</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Rankin</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Scale(mRS)</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0-2</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Outcomes</w:t>
      </w:r>
      <w:r>
        <w:rPr>
          <w:rFonts w:hint="eastAsia" w:ascii="Times New Roman" w:hAnsi="Times New Roman" w:eastAsia="Times New Roman" w:cs="Times New Roman"/>
          <w:sz w:val="20"/>
          <w:szCs w:val="20"/>
          <w:lang w:val="en-US" w:eastAsia="zh-CN"/>
        </w:rPr>
        <w:t>-</w:t>
      </w:r>
      <w:r>
        <w:rPr>
          <w:rFonts w:ascii="Times New Roman" w:hAnsi="Times New Roman" w:eastAsia="Times New Roman" w:cs="Times New Roman"/>
          <w:sz w:val="20"/>
          <w:szCs w:val="20"/>
        </w:rPr>
        <w:t>Extended</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Model</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Including</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Collateral</w:t>
      </w: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Variables</w:t>
      </w:r>
    </w:p>
    <w:tbl>
      <w:tblPr>
        <w:tblStyle w:val="9"/>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3096"/>
        <w:gridCol w:w="1872"/>
        <w:gridCol w:w="1163"/>
        <w:gridCol w:w="1573"/>
        <w:gridCol w:w="864"/>
      </w:tblGrid>
      <w:tr w14:paraId="1E559399">
        <w:trPr>
          <w:cantSplit/>
          <w:tblHeader/>
          <w:jc w:val="center"/>
        </w:trPr>
        <w:tc>
          <w:tcPr>
            <w:tcW w:w="3096" w:type="dxa"/>
            <w:tcBorders>
              <w:top w:val="single" w:color="000000" w:sz="12" w:space="0"/>
              <w:left w:val="nil"/>
              <w:bottom w:val="single" w:color="000000" w:sz="4" w:space="0"/>
              <w:right w:val="nil"/>
              <w:insideH w:val="nil"/>
              <w:insideV w:val="nil"/>
              <w:tl2br w:val="nil"/>
            </w:tcBorders>
            <w:shd w:val="clear" w:color="auto" w:fill="FFFFFF"/>
            <w:noWrap/>
            <w:tcMar>
              <w:top w:w="18" w:type="dxa"/>
              <w:left w:w="45" w:type="dxa"/>
              <w:bottom w:w="18" w:type="dxa"/>
              <w:right w:w="45" w:type="dxa"/>
            </w:tcMar>
            <w:vAlign w:val="center"/>
          </w:tcPr>
          <w:p w14:paraId="5FE2ECC6">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Variable</w:t>
            </w:r>
          </w:p>
        </w:tc>
        <w:tc>
          <w:tcPr>
            <w:tcW w:w="1872"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6A5DD523">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Unadjusted OR</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(95% CI)</w:t>
            </w:r>
          </w:p>
        </w:tc>
        <w:tc>
          <w:tcPr>
            <w:tcW w:w="1163"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445B5C32">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ascii="Times New Roman" w:hAnsi="Times New Roman" w:eastAsia="Times New Roman" w:cs="Times New Roman"/>
                <w:b w:val="0"/>
                <w:i/>
                <w:color w:val="000000"/>
                <w:sz w:val="16"/>
                <w:szCs w:val="16"/>
              </w:rPr>
              <w:t>P value</w:t>
            </w:r>
          </w:p>
        </w:tc>
        <w:tc>
          <w:tcPr>
            <w:tcW w:w="1573"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222387C1">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Adjusted OR (95% CI)</w:t>
            </w:r>
          </w:p>
        </w:tc>
        <w:tc>
          <w:tcPr>
            <w:tcW w:w="864"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59B4B575">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iCs/>
                <w:color w:val="000000"/>
                <w:kern w:val="0"/>
                <w:sz w:val="16"/>
                <w:szCs w:val="16"/>
                <w:u w:val="none"/>
                <w:lang w:val="en-US" w:eastAsia="zh-CN" w:bidi="ar"/>
              </w:rPr>
            </w:pPr>
            <w:r>
              <w:rPr>
                <w:rFonts w:ascii="Times New Roman" w:hAnsi="Times New Roman" w:eastAsia="Times New Roman" w:cs="Times New Roman"/>
                <w:b w:val="0"/>
                <w:i/>
                <w:color w:val="000000"/>
                <w:sz w:val="16"/>
                <w:szCs w:val="16"/>
              </w:rPr>
              <w:t>P value</w:t>
            </w:r>
          </w:p>
        </w:tc>
      </w:tr>
      <w:tr w14:paraId="202596EA">
        <w:trPr>
          <w:cantSplit/>
          <w:jc w:val="center"/>
        </w:trPr>
        <w:tc>
          <w:tcPr>
            <w:tcW w:w="3096"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6AD20CC2">
            <w:pPr>
              <w:keepNext/>
              <w:keepLines/>
              <w:widowControl/>
              <w:suppressLineNumbers w:val="0"/>
              <w:spacing w:before="0" w:after="0" w:line="240" w:lineRule="auto"/>
              <w:ind w:left="0" w:right="0" w:hanging="1440" w:hangingChars="900"/>
              <w:jc w:val="both"/>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PTV </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color w:val="000000"/>
                <w:sz w:val="16"/>
                <w:szCs w:val="16"/>
                <w:lang w:val="en-US" w:eastAsia="zh-CN"/>
              </w:rPr>
              <w:t>Continuous</w:t>
            </w:r>
          </w:p>
        </w:tc>
        <w:tc>
          <w:tcPr>
            <w:tcW w:w="1872"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75658118">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0.94 (0.904-0.970)</w:t>
            </w:r>
          </w:p>
        </w:tc>
        <w:tc>
          <w:tcPr>
            <w:tcW w:w="1163"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25EF49E3">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7386B4CB">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0.94 (0.895-0.990)</w:t>
            </w:r>
          </w:p>
        </w:tc>
        <w:tc>
          <w:tcPr>
            <w:tcW w:w="864"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411BA2F2">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0.019</w:t>
            </w:r>
          </w:p>
        </w:tc>
      </w:tr>
      <w:tr w14:paraId="296B236E">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E85F04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kern w:val="0"/>
                <w:sz w:val="16"/>
                <w:szCs w:val="16"/>
                <w:u w:val="none"/>
                <w:lang w:val="en-US" w:eastAsia="zh-CN" w:bidi="ar"/>
              </w:rPr>
            </w:pP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PTV </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eastAsia" w:ascii="Times New Roman" w:hAnsi="Times New Roman" w:eastAsia="Times New Roman" w:cs="Times New Roman"/>
                <w:b w:val="0"/>
                <w:bCs w:val="0"/>
                <w:i w:val="0"/>
                <w:iCs w:val="0"/>
                <w:color w:val="000000"/>
                <w:kern w:val="0"/>
                <w:sz w:val="16"/>
                <w:szCs w:val="16"/>
                <w:u w:val="none"/>
                <w:lang w:val="en-US" w:eastAsia="zh-CN" w:bidi="ar"/>
              </w:rPr>
              <w:t xml:space="preserve"> </w:t>
            </w: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 Quartile 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5AC396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EE30E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57CEFB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2ED30D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r>
      <w:tr w14:paraId="34EB009C">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753E6F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Quartile 2</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B7BBC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0.60 (0.344-1.041)</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56A696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0.069</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AB2B73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0.61 (0.304-1.238)</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D9CA8F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0.173</w:t>
            </w:r>
          </w:p>
        </w:tc>
      </w:tr>
      <w:tr w14:paraId="08FE04B5">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D516F7">
            <w:pPr>
              <w:keepNext w:val="0"/>
              <w:keepLines/>
              <w:widowControl/>
              <w:suppressLineNumbers w:val="0"/>
              <w:spacing w:before="0" w:after="0" w:line="240" w:lineRule="auto"/>
              <w:ind w:left="0" w:right="0" w:firstLine="1440" w:firstLineChars="90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Quartile 3</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F46047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0.65 (0.372-1.126)</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E956ED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0.123</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3CD0F1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0.66 (0.321-1.338)</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AECE17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0.246</w:t>
            </w:r>
          </w:p>
        </w:tc>
      </w:tr>
      <w:tr w14:paraId="3023B996">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08742A4">
            <w:pPr>
              <w:keepNext w:val="0"/>
              <w:keepLines/>
              <w:widowControl/>
              <w:suppressLineNumbers w:val="0"/>
              <w:spacing w:before="0" w:after="0" w:line="240" w:lineRule="auto"/>
              <w:ind w:left="0" w:right="0" w:firstLine="1280" w:firstLineChars="800"/>
              <w:jc w:val="righ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Quartile 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C4C3A6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0.38 (0.217-0.672)</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EF4889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63B926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0.41 (0.183-0.911)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998C78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0.029</w:t>
            </w:r>
          </w:p>
        </w:tc>
      </w:tr>
      <w:tr w14:paraId="3598880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11A469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Sex</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06BB1B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1.22 (0.819-1.822)</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089E2F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0.327</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613B85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8A25C9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003E8071">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0EF5087">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Age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B991F1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0.96 (0.947-0.980)</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66CE57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FFD15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0.96 (0.937-0.982)</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3EC7B5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1CA59163">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455D816">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Hypertension</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B58A14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0.78 (0.528-1.161)</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62665B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0.224</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41B741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F1EDA0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3D7C74F2">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ECA7319">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Diabetes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7D59D8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0.46 (0.273-0.776)</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C78762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0.004</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E3677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0.37 (0.190-0.716)</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A2CDC3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0.003</w:t>
            </w:r>
          </w:p>
        </w:tc>
      </w:tr>
      <w:tr w14:paraId="0652B265">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57B06E2">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Hyperlipemia</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756E2F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1.26 (0.687-2.296)</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935ADA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0.458</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9D5B10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B3D59E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14CA3ADC">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A037CE4">
            <w:pPr>
              <w:pStyle w:val="8"/>
              <w:keepNext w:val="0"/>
              <w:keepLines/>
              <w:widowControl/>
              <w:suppressLineNumbers w:val="0"/>
              <w:spacing w:before="0" w:beforeAutospacing="0" w:after="0" w:afterAutospacing="0" w:line="240" w:lineRule="auto"/>
              <w:ind w:left="0" w:right="0" w:firstLine="0"/>
              <w:jc w:val="left"/>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Atrial Fibrillation</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1DABB3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0.67 (0.442-1.007)</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240E02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0.054</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54E5E7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0.94 (0.414-2.114)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F47643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0.873</w:t>
            </w:r>
          </w:p>
        </w:tc>
      </w:tr>
      <w:tr w14:paraId="2D20CD19">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851CDA2">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lang w:val="en-US"/>
              </w:rPr>
            </w:pPr>
            <w:r>
              <w:rPr>
                <w:rFonts w:hint="default" w:ascii="Times New Roman" w:hAnsi="Times New Roman" w:eastAsia="Times New Roman" w:cs="Times New Roman"/>
                <w:b w:val="0"/>
                <w:bCs w:val="0"/>
                <w:i w:val="0"/>
                <w:iCs w:val="0"/>
                <w:color w:val="000000"/>
                <w:kern w:val="0"/>
                <w:sz w:val="16"/>
                <w:szCs w:val="16"/>
                <w:u w:val="none"/>
                <w:lang w:val="en-US" w:eastAsia="zh-CN" w:bidi="ar"/>
              </w:rPr>
              <w:t>History of Stroke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89364D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1.06 (0.620-1.829)</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058524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0.820</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A1DBD0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E396B2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6EBACF79">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0762889">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Baseline SBP</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D07A4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0.99 (0.981-0.997)</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A24580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0.007</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F33F30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2C4C7D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3062D986">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DADF68F">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Baseline DBP</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DCCDA2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0.99 (0.983-1.006)</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6DBC25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0.339</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C3F1AE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C01A55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3FDCC9D4">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C8A5817">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Baseline NIHSS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CB968A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0.91 (0.877-0.940)</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5C3DD7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1955D1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0.94 (0.901-0.985)</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4659E2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0.009</w:t>
            </w:r>
          </w:p>
        </w:tc>
      </w:tr>
      <w:tr w14:paraId="44A24822">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1A44520">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ascii="Times New Roman" w:hAnsi="Times New Roman" w:eastAsia="Times New Roman" w:cs="Times New Roman"/>
                <w:b w:val="0"/>
                <w:i w:val="0"/>
                <w:color w:val="000000"/>
                <w:sz w:val="16"/>
                <w:szCs w:val="16"/>
              </w:rPr>
              <w:t>Baseline ASPECTS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83FB1D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1.32 (1.203-1.459)</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1CED9C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154DFE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1.31 (1.152-1.484)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D91313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3711AC00">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7EEA16D">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NIHSS from baseline 24 at hours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4EF89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0.80 (0.768-0.842)</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152D9F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930904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786894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5D0CAD8E">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2DC2089">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i w:val="0"/>
                <w:iCs w:val="0"/>
                <w:color w:val="000000"/>
                <w:sz w:val="16"/>
                <w:szCs w:val="16"/>
                <w:u w:val="none"/>
              </w:rPr>
            </w:pPr>
            <w:r>
              <w:rPr>
                <w:rFonts w:hint="default" w:ascii="Times New Roman" w:hAnsi="Times New Roman" w:eastAsia="Times New Roman" w:cs="Times New Roman"/>
                <w:b w:val="0"/>
                <w:bCs w:val="0"/>
                <w:i w:val="0"/>
                <w:iCs w:val="0"/>
                <w:color w:val="000000"/>
                <w:kern w:val="0"/>
                <w:sz w:val="16"/>
                <w:szCs w:val="16"/>
                <w:u w:val="none"/>
                <w:lang w:val="en-US" w:eastAsia="zh-CN" w:bidi="ar"/>
              </w:rPr>
              <w:t>NIHSS at 5</w:t>
            </w:r>
            <w:r>
              <w:rPr>
                <w:rFonts w:hint="eastAsia" w:ascii="Times New Roman" w:hAnsi="Times New Roman" w:eastAsia="Times New Roman" w:cs="Times New Roman"/>
                <w:b w:val="0"/>
                <w:bCs w:val="0"/>
                <w:i w:val="0"/>
                <w:iCs w:val="0"/>
                <w:color w:val="000000"/>
                <w:kern w:val="0"/>
                <w:sz w:val="16"/>
                <w:szCs w:val="16"/>
                <w:u w:val="none"/>
                <w:lang w:val="en-US" w:eastAsia="zh-CN" w:bidi="ar"/>
              </w:rPr>
              <w:t>-</w:t>
            </w:r>
            <w:r>
              <w:rPr>
                <w:rFonts w:hint="default" w:ascii="Times New Roman" w:hAnsi="Times New Roman" w:eastAsia="Times New Roman" w:cs="Times New Roman"/>
                <w:b w:val="0"/>
                <w:bCs w:val="0"/>
                <w:i w:val="0"/>
                <w:iCs w:val="0"/>
                <w:color w:val="000000"/>
                <w:kern w:val="0"/>
                <w:sz w:val="16"/>
                <w:szCs w:val="16"/>
                <w:u w:val="none"/>
                <w:lang w:val="en-US" w:eastAsia="zh-CN" w:bidi="ar"/>
              </w:rPr>
              <w:t>7 days or early discharge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B9BCD1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B8D824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29A343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F6E05D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2861124C">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DBCEFB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i w:val="0"/>
                <w:iCs w:val="0"/>
                <w:color w:val="000000"/>
                <w:kern w:val="0"/>
                <w:sz w:val="16"/>
                <w:szCs w:val="16"/>
                <w:u w:val="none"/>
                <w:lang w:val="en-US" w:eastAsia="zh-CN" w:bidi="ar"/>
              </w:rPr>
              <w:t xml:space="preserve">TOAST </w:t>
            </w:r>
            <w:r>
              <w:rPr>
                <w:rFonts w:hint="default" w:ascii="Times New Roman" w:hAnsi="Times New Roman" w:eastAsia="Times New Roman" w:cs="Times New Roman"/>
                <w:b w:val="0"/>
                <w:bCs w:val="0"/>
                <w:color w:val="000000"/>
                <w:sz w:val="16"/>
                <w:szCs w:val="16"/>
                <w:lang w:val="en-US" w:eastAsia="zh-CN"/>
              </w:rPr>
              <w:t xml:space="preserve"> </w:t>
            </w:r>
            <w:r>
              <w:rPr>
                <w:rFonts w:hint="eastAsia" w:ascii="Times New Roman" w:hAnsi="Times New Roman" w:eastAsia="Times New Roman" w:cs="Times New Roman"/>
                <w:b w:val="0"/>
                <w:bCs w:val="0"/>
                <w:color w:val="000000"/>
                <w:sz w:val="16"/>
                <w:szCs w:val="16"/>
                <w:lang w:val="en-US" w:eastAsia="zh-CN"/>
              </w:rPr>
              <w:t xml:space="preserve">                                                   </w:t>
            </w:r>
            <w:r>
              <w:rPr>
                <w:rFonts w:hint="default" w:ascii="Times New Roman" w:hAnsi="Times New Roman" w:eastAsia="Times New Roman" w:cs="Times New Roman"/>
                <w:b w:val="0"/>
                <w:bCs w:val="0"/>
                <w:color w:val="000000"/>
                <w:sz w:val="16"/>
                <w:szCs w:val="16"/>
                <w:lang w:val="en-US" w:eastAsia="zh-CN"/>
              </w:rPr>
              <w:t xml:space="preserve"> LAA</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7DC984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B713D4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623AB1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584470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r>
      <w:tr w14:paraId="0BF1E085">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AF9BEF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CE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080294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1.02 (0.668-1.564)</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A2BF98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0.919</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C1FA73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1.52 (0.674–3.413)</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4A3622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0.314</w:t>
            </w:r>
          </w:p>
        </w:tc>
      </w:tr>
      <w:tr w14:paraId="222368F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18C509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Other or unknown</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6304CD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1.62 (0.856-3.054)</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272D35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0.138</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7A9B66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1.60 (0.691–3.714)</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408348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0.272</w:t>
            </w:r>
          </w:p>
        </w:tc>
      </w:tr>
      <w:tr w14:paraId="449D7CA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5D945B8">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Intravenous Thrombolysis</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135454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0.83 (0.549-1.246)</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BB231A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0.364</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C06837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055EC9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2429A0E5">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CC6A2BE">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Occlusion</w:t>
            </w:r>
            <w:r>
              <w:rPr>
                <w:rFonts w:hint="eastAsia" w:ascii="Times New Roman" w:hAnsi="Times New Roman" w:eastAsia="Times New Roman" w:cs="Times New Roman"/>
                <w:b w:val="0"/>
                <w:bCs w:val="0"/>
                <w:color w:val="000000"/>
                <w:sz w:val="16"/>
                <w:szCs w:val="16"/>
                <w:lang w:val="en-US" w:eastAsia="zh-CN"/>
              </w:rPr>
              <w:t xml:space="preserve"> </w:t>
            </w:r>
            <w:r>
              <w:rPr>
                <w:rFonts w:hint="default" w:ascii="Times New Roman" w:hAnsi="Times New Roman" w:eastAsia="Times New Roman" w:cs="Times New Roman"/>
                <w:b w:val="0"/>
                <w:bCs w:val="0"/>
                <w:color w:val="000000"/>
                <w:sz w:val="16"/>
                <w:szCs w:val="16"/>
                <w:lang w:val="en-US" w:eastAsia="zh-CN"/>
              </w:rPr>
              <w:t>site</w:t>
            </w:r>
            <w:r>
              <w:rPr>
                <w:rFonts w:hint="eastAsia" w:ascii="Times New Roman" w:hAnsi="Times New Roman" w:eastAsia="Times New Roman" w:cs="Times New Roman"/>
                <w:b w:val="0"/>
                <w:bCs w:val="0"/>
                <w:color w:val="000000"/>
                <w:sz w:val="16"/>
                <w:szCs w:val="16"/>
                <w:lang w:val="en-US" w:eastAsia="zh-CN"/>
              </w:rPr>
              <w:t xml:space="preserve"> </w:t>
            </w:r>
            <w:r>
              <w:rPr>
                <w:rFonts w:hint="default" w:ascii="Times New Roman" w:hAnsi="Times New Roman" w:eastAsia="Times New Roman" w:cs="Times New Roman"/>
                <w:b w:val="0"/>
                <w:bCs w:val="0"/>
                <w:color w:val="000000"/>
                <w:sz w:val="16"/>
                <w:szCs w:val="16"/>
                <w:lang w:val="en-US" w:eastAsia="zh-CN"/>
              </w:rPr>
              <w:t xml:space="preserve"> </w:t>
            </w:r>
            <w:r>
              <w:rPr>
                <w:rFonts w:hint="eastAsia" w:ascii="Times New Roman" w:hAnsi="Times New Roman" w:eastAsia="Times New Roman" w:cs="Times New Roman"/>
                <w:b w:val="0"/>
                <w:bCs w:val="0"/>
                <w:color w:val="000000"/>
                <w:sz w:val="16"/>
                <w:szCs w:val="16"/>
                <w:lang w:val="en-US" w:eastAsia="zh-CN"/>
              </w:rPr>
              <w:t xml:space="preserve"> </w:t>
            </w:r>
            <w:r>
              <w:rPr>
                <w:rFonts w:hint="default" w:ascii="Times New Roman" w:hAnsi="Times New Roman" w:eastAsia="Times New Roman" w:cs="Times New Roman"/>
                <w:b w:val="0"/>
                <w:bCs w:val="0"/>
                <w:color w:val="000000"/>
                <w:sz w:val="16"/>
                <w:szCs w:val="16"/>
                <w:lang w:val="en-US" w:eastAsia="zh-CN"/>
              </w:rPr>
              <w:t xml:space="preserve"> </w:t>
            </w:r>
            <w:r>
              <w:rPr>
                <w:rFonts w:hint="eastAsia" w:ascii="Times New Roman" w:hAnsi="Times New Roman" w:eastAsia="Times New Roman" w:cs="Times New Roman"/>
                <w:b w:val="0"/>
                <w:bCs w:val="0"/>
                <w:color w:val="000000"/>
                <w:sz w:val="16"/>
                <w:szCs w:val="16"/>
                <w:lang w:val="en-US" w:eastAsia="zh-CN"/>
              </w:rPr>
              <w:t xml:space="preserve">                                         </w:t>
            </w:r>
            <w:r>
              <w:rPr>
                <w:rFonts w:hint="default" w:ascii="Times New Roman" w:hAnsi="Times New Roman" w:eastAsia="Times New Roman" w:cs="Times New Roman"/>
                <w:b w:val="0"/>
                <w:bCs w:val="0"/>
                <w:color w:val="000000"/>
                <w:sz w:val="16"/>
                <w:szCs w:val="16"/>
                <w:lang w:val="en-US" w:eastAsia="zh-CN"/>
              </w:rPr>
              <w:t>ICA</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AEDEDB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6AC042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A3B619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5F1B95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r>
      <w:tr w14:paraId="77360E96">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394B60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MCA-M1</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23A0E8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1.29 (0.811-2.061)</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94296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0.28</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0CBDCB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0.96 (0.534–1.713)</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1E676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0.880</w:t>
            </w:r>
          </w:p>
        </w:tc>
      </w:tr>
      <w:tr w14:paraId="332BCBF2">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ACCEB9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MCA-M2</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7894A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2.18 (1.151-4.148)</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5F2F3A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0.017</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6EB32C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1.59 (0.712–3.559)</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307B52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0.257</w:t>
            </w:r>
          </w:p>
        </w:tc>
      </w:tr>
      <w:tr w14:paraId="52B34D0A">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7B8F0A1">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Tan ≥ 50%</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D6F601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3.66 (2.427-5.513)</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D1C2A8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FF977E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2.82 (1.641–4.859)</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7A8816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01BBE12B">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A468463">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HIR ≤ 0.4</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F802DE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2.05 (1.348-3.114)</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6F8A24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4907C3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0.82 (0.465–1.441)</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3573BD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0.488</w:t>
            </w:r>
          </w:p>
        </w:tc>
      </w:tr>
      <w:tr w14:paraId="7C608A51">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43E4935">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eTICI</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60B88D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1.69 (1.378-2.075)</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9174F3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E01413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1.71 (1.325–2.205)</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6793E1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77288D07">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8BE06C5">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Onset to Puncture time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8D1DCE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1.00 (1.000-1.001)</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13DA7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0.154</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F15F60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D0FE62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5653F4F2">
        <w:trPr>
          <w:cantSplit/>
          <w:jc w:val="center"/>
        </w:trPr>
        <w:tc>
          <w:tcPr>
            <w:tcW w:w="3096"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1DC7CDC">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Treatment workflow time</w:t>
            </w:r>
          </w:p>
        </w:tc>
        <w:tc>
          <w:tcPr>
            <w:tcW w:w="1872"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083CBC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1.00 (0.999-1.001)</w:t>
            </w:r>
          </w:p>
        </w:tc>
        <w:tc>
          <w:tcPr>
            <w:tcW w:w="11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B2607B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0.853</w:t>
            </w:r>
          </w:p>
        </w:tc>
        <w:tc>
          <w:tcPr>
            <w:tcW w:w="157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C1F107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1.00 (0.999-1.000)</w:t>
            </w:r>
          </w:p>
        </w:tc>
        <w:tc>
          <w:tcPr>
            <w:tcW w:w="86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3802A2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0.389</w:t>
            </w:r>
          </w:p>
        </w:tc>
      </w:tr>
      <w:tr w14:paraId="05826093">
        <w:trPr>
          <w:cantSplit/>
          <w:jc w:val="center"/>
        </w:trPr>
        <w:tc>
          <w:tcPr>
            <w:tcW w:w="3096"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0DDF38A8">
            <w:pPr>
              <w:keepNext w:val="0"/>
              <w:keepLines/>
              <w:widowControl/>
              <w:suppressLineNumbers w:val="0"/>
              <w:spacing w:before="0" w:after="0" w:line="240" w:lineRule="auto"/>
              <w:ind w:left="0" w:right="0" w:firstLine="0"/>
              <w:jc w:val="both"/>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Puncture to procedure-end workflow time</w:t>
            </w:r>
          </w:p>
        </w:tc>
        <w:tc>
          <w:tcPr>
            <w:tcW w:w="1872"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17A68A8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1.00 (0.998-1.001)</w:t>
            </w:r>
          </w:p>
        </w:tc>
        <w:tc>
          <w:tcPr>
            <w:tcW w:w="1163"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3A5D0C0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0.500</w:t>
            </w:r>
          </w:p>
        </w:tc>
        <w:tc>
          <w:tcPr>
            <w:tcW w:w="1573"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610C795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864"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46FDEE8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bl>
    <w:p w14:paraId="09DD704B">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ascii="Times New Roman" w:hAnsi="Times New Roman" w:eastAsia="Times New Roman" w:cs="Times New Roman"/>
          <w:b w:val="0"/>
          <w:sz w:val="16"/>
          <w:szCs w:val="20"/>
        </w:rPr>
        <w:t xml:space="preserve">Adjusted for </w:t>
      </w:r>
      <w:r>
        <w:rPr>
          <w:rFonts w:hint="default" w:ascii="Times New Roman" w:hAnsi="Times New Roman" w:eastAsia="Times New Roman" w:cs="Times New Roman"/>
          <w:b w:val="0"/>
          <w:bCs w:val="0"/>
          <w:color w:val="auto"/>
          <w:sz w:val="16"/>
          <w:szCs w:val="20"/>
          <w:lang w:val="en-US" w:eastAsia="zh-CN"/>
        </w:rPr>
        <w:t xml:space="preserve"> age, atrial fibrillation, diabetes, TOAST, occlusion site, baseline ASPECTS, baseline NIHSS, treatment workflow time (TWT) and eTICI score</w:t>
      </w:r>
      <w:r>
        <w:rPr>
          <w:rFonts w:ascii="Times New Roman" w:hAnsi="Times New Roman" w:eastAsia="Times New Roman" w:cs="Times New Roman"/>
          <w:b w:val="0"/>
          <w:sz w:val="16"/>
          <w:szCs w:val="20"/>
        </w:rPr>
        <w:t>, Tan ≥ 50%, HIR ≤ 0.4</w:t>
      </w:r>
    </w:p>
    <w:p w14:paraId="4A575C72">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17" w:right="1417" w:bottom="1417" w:left="1417" w:header="851" w:footer="992" w:gutter="0"/>
          <w:cols w:space="425" w:num="1"/>
          <w:docGrid w:type="lines" w:linePitch="312" w:charSpace="0"/>
        </w:sectPr>
      </w:pPr>
      <w:r>
        <w:rPr>
          <w:rFonts w:hint="default" w:ascii="Times New Roman" w:hAnsi="Times New Roman" w:eastAsia="Times New Roman" w:cs="Times New Roman"/>
          <w:b w:val="0"/>
          <w:bCs w:val="0"/>
          <w:color w:val="auto"/>
          <w:sz w:val="16"/>
          <w:szCs w:val="20"/>
          <w:lang w:val="en-US" w:eastAsia="zh-CN"/>
        </w:rPr>
        <w:t>Abbreviations: PTV = peak time of venous outflow; NIHSS = National Institutes of Health Stroke Scale; ASPECTS = Alberta Stroke Program Early CT Score; TOAST = Trial of ORG 10172 in Acute Stroke Treatment; LAA = large-artery atherosclerosis; CE = cardioembolism; eTICI = expanded Treatment in Cerebral Infarction; SBP = systolic blood pressure; DBP = diastolic blood pressure; ICA = internal carotid artery; MCA = middle cerebral artery</w:t>
      </w:r>
    </w:p>
    <w:p w14:paraId="5BAC4FDA">
      <w:pPr>
        <w:spacing w:before="0" w:after="0" w:line="240" w:lineRule="auto"/>
      </w:pPr>
    </w:p>
    <w:p w14:paraId="54F7D0FE">
      <w:pPr>
        <w:pStyle w:val="2"/>
        <w:keepNext/>
        <w:spacing w:before="0" w:after="0" w:line="240" w:lineRule="auto"/>
      </w:pPr>
      <w:r>
        <w:rPr>
          <w:rFonts w:ascii="Times New Roman" w:hAnsi="Times New Roman" w:eastAsia="Times New Roman" w:cs="Times New Roman"/>
          <w:sz w:val="20"/>
          <w:szCs w:val="20"/>
        </w:rPr>
        <w:t>Supplementary Figure S3. Restricted cubic spline (RCS) curve of the peak time of venous outflow (PTV) and the odds ratio of mRS 0-2 at 90 days.</w:t>
      </w:r>
    </w:p>
    <w:p w14:paraId="144F36C7">
      <w:pPr>
        <w:spacing w:before="0" w:after="0" w:line="240" w:lineRule="auto"/>
        <w:jc w:val="center"/>
      </w:pPr>
      <w:r>
        <w:rPr>
          <w:rFonts w:ascii="Times New Roman" w:hAnsi="Times New Roman" w:eastAsia="Times New Roman" w:cs="Times New Roman"/>
          <w:sz w:val="20"/>
          <w:szCs w:val="20"/>
        </w:rPr>
        <w:drawing>
          <wp:inline distT="0" distB="0" distL="0" distR="0">
            <wp:extent cx="5486400" cy="40836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4"/>
                    <a:stretch>
                      <a:fillRect/>
                    </a:stretch>
                  </pic:blipFill>
                  <pic:spPr>
                    <a:xfrm>
                      <a:off x="0" y="0"/>
                      <a:ext cx="5486400" cy="4084184"/>
                    </a:xfrm>
                    <a:prstGeom prst="rect">
                      <a:avLst/>
                    </a:prstGeom>
                    <a:noFill/>
                  </pic:spPr>
                </pic:pic>
              </a:graphicData>
            </a:graphic>
          </wp:inline>
        </w:drawing>
      </w:r>
    </w:p>
    <w:p w14:paraId="79688C86">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sectPr>
          <w:type w:val="continuous"/>
          <w:pgSz w:w="11906" w:h="16838"/>
          <w:pgMar w:top="1440" w:right="1800" w:bottom="1440" w:left="1800" w:header="851" w:footer="992" w:gutter="0"/>
          <w:cols w:space="425" w:num="1"/>
          <w:docGrid w:type="lines" w:linePitch="312" w:charSpace="0"/>
        </w:sectPr>
      </w:pPr>
      <w:r>
        <w:rPr>
          <w:rFonts w:ascii="Times New Roman" w:hAnsi="Times New Roman" w:eastAsia="Times New Roman" w:cs="Times New Roman"/>
          <w:b w:val="0"/>
          <w:sz w:val="16"/>
          <w:szCs w:val="20"/>
        </w:rPr>
        <w:t>Adjusted for age, atrial fibrillation, diabetes, TOAST, occlusion site, baseline ASPECTS, baseline NIHSS, treatment workflow time (TWT) and eTICI score.</w:t>
      </w:r>
    </w:p>
    <w:p w14:paraId="49029402">
      <w:pPr>
        <w:spacing w:before="0" w:after="0" w:line="240" w:lineRule="auto"/>
      </w:pPr>
    </w:p>
    <w:p w14:paraId="1A543675">
      <w:pPr>
        <w:pStyle w:val="2"/>
        <w:keepNext/>
        <w:spacing w:before="0" w:after="0" w:line="240" w:lineRule="auto"/>
      </w:pPr>
      <w:r>
        <w:rPr>
          <w:rFonts w:ascii="Times New Roman" w:hAnsi="Times New Roman" w:eastAsia="Times New Roman" w:cs="Times New Roman"/>
          <w:sz w:val="20"/>
          <w:szCs w:val="20"/>
        </w:rPr>
        <w:t>Supplementary Figure S4. Exploratory interaction plots for the peak time of venous outflow (PTV) with hypoperfusion intensity ratio (HIR) and modified Tan collateral status.</w:t>
      </w:r>
    </w:p>
    <w:p w14:paraId="36BD9F21">
      <w:pPr>
        <w:spacing w:before="0" w:after="0" w:line="240" w:lineRule="auto"/>
        <w:jc w:val="center"/>
        <w:rPr>
          <w:rFonts w:ascii="Times New Roman" w:hAnsi="Times New Roman" w:eastAsia="Times New Roman" w:cs="Times New Roman"/>
          <w:sz w:val="20"/>
        </w:rPr>
      </w:pPr>
      <w:r>
        <w:rPr>
          <w:rFonts w:ascii="Times New Roman" w:hAnsi="Times New Roman" w:eastAsia="Times New Roman" w:cs="Times New Roman"/>
          <w:sz w:val="20"/>
          <w:szCs w:val="20"/>
        </w:rPr>
        <w:drawing>
          <wp:inline distT="0" distB="0" distL="0" distR="0">
            <wp:extent cx="5486400" cy="2092325"/>
            <wp:effectExtent l="0" t="0" r="5080" b="15875"/>
            <wp:docPr id="600" name="O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OR6"/>
                    <pic:cNvPicPr>
                      <a:picLocks noChangeAspect="1"/>
                    </pic:cNvPicPr>
                  </pic:nvPicPr>
                  <pic:blipFill>
                    <a:blip r:embed="rId15"/>
                    <a:stretch>
                      <a:fillRect/>
                    </a:stretch>
                  </pic:blipFill>
                  <pic:spPr>
                    <a:xfrm>
                      <a:off x="0" y="0"/>
                      <a:ext cx="5486400" cy="2092699"/>
                    </a:xfrm>
                    <a:prstGeom prst="rect">
                      <a:avLst/>
                    </a:prstGeom>
                  </pic:spPr>
                </pic:pic>
              </a:graphicData>
            </a:graphic>
          </wp:inline>
        </w:drawing>
      </w:r>
    </w:p>
    <w:p w14:paraId="6C6BF04D">
      <w:pPr>
        <w:spacing w:before="0" w:after="0" w:line="240" w:lineRule="auto"/>
        <w:jc w:val="center"/>
        <w:rPr>
          <w:rFonts w:ascii="Times New Roman" w:hAnsi="Times New Roman" w:eastAsia="Times New Roman" w:cs="Times New Roman"/>
          <w:sz w:val="20"/>
        </w:rPr>
      </w:pPr>
    </w:p>
    <w:p w14:paraId="6CB7855B">
      <w:pPr>
        <w:spacing w:before="0" w:after="0" w:line="240" w:lineRule="auto"/>
        <w:jc w:val="center"/>
        <w:rPr>
          <w:rFonts w:ascii="Times New Roman" w:hAnsi="Times New Roman" w:eastAsia="Times New Roman" w:cs="Times New Roman"/>
          <w:sz w:val="20"/>
        </w:rPr>
      </w:pPr>
    </w:p>
    <w:p w14:paraId="386B8625">
      <w:pPr>
        <w:spacing w:before="0" w:after="0" w:line="240" w:lineRule="auto"/>
        <w:jc w:val="center"/>
        <w:rPr>
          <w:rFonts w:ascii="Times New Roman" w:hAnsi="Times New Roman" w:eastAsia="Times New Roman" w:cs="Times New Roman"/>
          <w:sz w:val="20"/>
        </w:rPr>
      </w:pPr>
    </w:p>
    <w:p w14:paraId="287F5F25">
      <w:pPr>
        <w:spacing w:before="0" w:after="0" w:line="240" w:lineRule="auto"/>
        <w:jc w:val="center"/>
        <w:rPr>
          <w:rFonts w:ascii="Times New Roman" w:hAnsi="Times New Roman" w:eastAsia="Times New Roman" w:cs="Times New Roman"/>
          <w:sz w:val="20"/>
        </w:rPr>
      </w:pPr>
    </w:p>
    <w:p w14:paraId="597C4994">
      <w:pPr>
        <w:pStyle w:val="2"/>
        <w:keepNext/>
        <w:spacing w:before="0" w:after="0" w:line="240" w:lineRule="auto"/>
      </w:pPr>
      <w:r>
        <w:rPr>
          <w:rFonts w:ascii="Times New Roman" w:hAnsi="Times New Roman" w:eastAsia="Times New Roman" w:cs="Times New Roman"/>
          <w:sz w:val="20"/>
          <w:szCs w:val="20"/>
        </w:rPr>
        <w:t>Supplementary Table S3. Continuous mean PTV associations and sensitivity analyses</w:t>
      </w:r>
    </w:p>
    <w:tbl>
      <w:tblPr>
        <w:tblStyle w:val="9"/>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592"/>
        <w:gridCol w:w="1943"/>
        <w:gridCol w:w="505"/>
        <w:gridCol w:w="2664"/>
        <w:gridCol w:w="864"/>
      </w:tblGrid>
      <w:tr w14:paraId="1A9EE566">
        <w:trPr>
          <w:cantSplit/>
          <w:tblHeader/>
          <w:jc w:val="center"/>
        </w:trPr>
        <w:tc>
          <w:tcPr>
            <w:tcW w:w="2592" w:type="dxa"/>
            <w:tcBorders>
              <w:top w:val="single" w:color="000000" w:sz="12" w:space="0"/>
              <w:left w:val="nil"/>
              <w:bottom w:val="single" w:color="000000" w:sz="4" w:space="0"/>
              <w:right w:val="nil"/>
              <w:insideH w:val="nil"/>
              <w:insideV w:val="nil"/>
              <w:tl2br w:val="nil"/>
            </w:tcBorders>
            <w:shd w:val="clear" w:color="auto" w:fill="FFFFFF"/>
            <w:tcMar>
              <w:top w:w="18" w:type="dxa"/>
              <w:left w:w="45" w:type="dxa"/>
              <w:bottom w:w="18" w:type="dxa"/>
              <w:right w:w="45" w:type="dxa"/>
            </w:tcMar>
            <w:vAlign w:val="center"/>
          </w:tcPr>
          <w:p w14:paraId="5C37AF8E">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Outcome</w:t>
            </w:r>
          </w:p>
        </w:tc>
        <w:tc>
          <w:tcPr>
            <w:tcW w:w="1943"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601E1041">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Model</w:t>
            </w:r>
          </w:p>
        </w:tc>
        <w:tc>
          <w:tcPr>
            <w:tcW w:w="505"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27DADE49">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righ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N</w:t>
            </w:r>
          </w:p>
        </w:tc>
        <w:tc>
          <w:tcPr>
            <w:tcW w:w="2664"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67C1B475">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OR per 1-s PTV increase (95% CI)</w:t>
            </w:r>
          </w:p>
        </w:tc>
        <w:tc>
          <w:tcPr>
            <w:tcW w:w="864"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5F7521FF">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 value</w:t>
            </w:r>
          </w:p>
        </w:tc>
      </w:tr>
      <w:tr w14:paraId="40922320">
        <w:trPr>
          <w:cantSplit/>
          <w:jc w:val="center"/>
        </w:trPr>
        <w:tc>
          <w:tcPr>
            <w:tcW w:w="2592" w:type="dxa"/>
            <w:vMerge w:val="restart"/>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5595AAD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Favorable outcome (mRS 0-2)</w:t>
            </w:r>
          </w:p>
        </w:tc>
        <w:tc>
          <w:tcPr>
            <w:tcW w:w="1943"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36C37C72">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64735288">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181F98B5">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0.94 (0.904-0.970)</w:t>
            </w:r>
          </w:p>
        </w:tc>
        <w:tc>
          <w:tcPr>
            <w:tcW w:w="864"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1D578BBB">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4988E8A1">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563DFA6">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EEC0B9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15761E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4C3CB1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0.95 (0.902-0.992)</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DD3098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0.022</w:t>
            </w:r>
          </w:p>
        </w:tc>
      </w:tr>
      <w:tr w14:paraId="08671407">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7E23F67">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DD3101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E6A406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384</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77CB7F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0.94 (0.895-0.990)</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F19BB5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0.019</w:t>
            </w:r>
          </w:p>
        </w:tc>
      </w:tr>
      <w:tr w14:paraId="392A2D1B">
        <w:trPr>
          <w:cantSplit/>
          <w:jc w:val="center"/>
        </w:trPr>
        <w:tc>
          <w:tcPr>
            <w:tcW w:w="2592" w:type="dxa"/>
            <w:vMerge w:val="restart"/>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2B8029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Excellent outcome (mRS 0-1)</w:t>
            </w:r>
          </w:p>
          <w:p w14:paraId="3B85B5F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A96FF9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C4C436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CFBFC9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0.96 (0.927-0.999)</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442A2A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0.044</w:t>
            </w:r>
          </w:p>
        </w:tc>
      </w:tr>
      <w:tr w14:paraId="3B0C6386">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6F8867B">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BAC8DC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4155C9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FDC137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0.98 (0.936-1.032)</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348E15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0.489</w:t>
            </w:r>
          </w:p>
        </w:tc>
      </w:tr>
      <w:tr w14:paraId="71B368AE">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94F3385">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5CFE1D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BC4734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384</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CB4248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0.98 (0.934-1.034)</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0A6580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0.505</w:t>
            </w:r>
          </w:p>
        </w:tc>
      </w:tr>
      <w:tr w14:paraId="5D2276B1">
        <w:trPr>
          <w:cantSplit/>
          <w:jc w:val="center"/>
        </w:trPr>
        <w:tc>
          <w:tcPr>
            <w:tcW w:w="2592" w:type="dxa"/>
            <w:vMerge w:val="restart"/>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058006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Functional independence/better</w:t>
            </w:r>
          </w:p>
          <w:p w14:paraId="6C512D7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 xml:space="preserve"> (mRS 0-3)</w:t>
            </w: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781E54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506BA0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52387A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0.95 (0.919-0.984)</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2FD684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0.004</w:t>
            </w:r>
          </w:p>
        </w:tc>
      </w:tr>
      <w:tr w14:paraId="56A70FF8">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CFE06E3">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F1B05A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1B0990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4FBBDE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0.97 (0.931-1.022)</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438CF0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0.298</w:t>
            </w:r>
          </w:p>
        </w:tc>
      </w:tr>
      <w:tr w14:paraId="4B4D2A33">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9F6035E">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5FF9CD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8CEBF6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384</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E6C779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0.98 (0.934-1.031)</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F59F8C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0.448</w:t>
            </w:r>
          </w:p>
        </w:tc>
      </w:tr>
      <w:tr w14:paraId="59B7C432">
        <w:trPr>
          <w:cantSplit/>
          <w:jc w:val="center"/>
        </w:trPr>
        <w:tc>
          <w:tcPr>
            <w:tcW w:w="2592" w:type="dxa"/>
            <w:vMerge w:val="restart"/>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862700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90-day mortality</w:t>
            </w:r>
          </w:p>
          <w:p w14:paraId="2B1B598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EC514C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450311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6705B0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1.06 (1.017-1.100)</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E4C9D4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0.005</w:t>
            </w:r>
          </w:p>
        </w:tc>
      </w:tr>
      <w:tr w14:paraId="6DCF0F56">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CAD873C">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8A0685F">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7076FD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30027B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1.04 (0.989-1.101)</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DA8F5E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0.120</w:t>
            </w:r>
          </w:p>
        </w:tc>
      </w:tr>
      <w:tr w14:paraId="42D7241B">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6453976">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0581BB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411C41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384</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F00440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1.04 (0.983-1.096)</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1FDE6E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0.181</w:t>
            </w:r>
          </w:p>
        </w:tc>
      </w:tr>
      <w:tr w14:paraId="5557F3B5">
        <w:trPr>
          <w:cantSplit/>
          <w:jc w:val="center"/>
        </w:trPr>
        <w:tc>
          <w:tcPr>
            <w:tcW w:w="2592" w:type="dxa"/>
            <w:vMerge w:val="restart"/>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7B572D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Symptomatic intracranial hemorrhage</w:t>
            </w: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0142AE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EC8406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C3306C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1.06 (1.010-1.117)</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12E4FD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0.019</w:t>
            </w:r>
          </w:p>
        </w:tc>
      </w:tr>
      <w:tr w14:paraId="2BA3C3B0">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D86A8CB">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37C6E5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00FA82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D4B70F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D776DB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r>
      <w:tr w14:paraId="07F40A37">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D584921">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F7E240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5CD786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505687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6C98CD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r>
      <w:tr w14:paraId="6CCB3C48">
        <w:trPr>
          <w:cantSplit/>
          <w:jc w:val="center"/>
        </w:trPr>
        <w:tc>
          <w:tcPr>
            <w:tcW w:w="2592" w:type="dxa"/>
            <w:vMerge w:val="restart"/>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5D4EB2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Any intracranial hemorrhage</w:t>
            </w:r>
          </w:p>
          <w:p w14:paraId="7CD412A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2ECEDC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AB95BF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B6B2FE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1.07 (1.035-1.112)</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D4D1C9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14A998CC">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04C0702">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D8B722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78F5C7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408</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0FE15F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1.06 (1.012-1.106)</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38CB79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0.012</w:t>
            </w:r>
          </w:p>
        </w:tc>
      </w:tr>
      <w:tr w14:paraId="64051CB4">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DB26996">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B8A92F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16030E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384</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5B8CEC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1.05 (1.003-1.098)</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51AD20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0.036</w:t>
            </w:r>
          </w:p>
        </w:tc>
      </w:tr>
      <w:tr w14:paraId="1DE0FA61">
        <w:trPr>
          <w:cantSplit/>
          <w:jc w:val="center"/>
        </w:trPr>
        <w:tc>
          <w:tcPr>
            <w:tcW w:w="2592" w:type="dxa"/>
            <w:vMerge w:val="restart"/>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B614FE1">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 xml:space="preserve">Malignant cerebral edema </w:t>
            </w: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380C92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Unadjusted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474764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399</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137C4C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1.04 (0.996-1.080)</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6DEA43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0.076</w:t>
            </w:r>
          </w:p>
        </w:tc>
      </w:tr>
      <w:tr w14:paraId="1409B258">
        <w:trPr>
          <w:cantSplit/>
          <w:jc w:val="center"/>
        </w:trPr>
        <w:tc>
          <w:tcPr>
            <w:tcW w:w="2592" w:type="dxa"/>
            <w:vMerge w:val="continue"/>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B6BF1C9">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1A969B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w:t>
            </w:r>
          </w:p>
        </w:tc>
        <w:tc>
          <w:tcPr>
            <w:tcW w:w="505"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AAC3B9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26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52590B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8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9C8F1C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r>
      <w:tr w14:paraId="291DD888">
        <w:trPr>
          <w:cantSplit/>
          <w:jc w:val="center"/>
        </w:trPr>
        <w:tc>
          <w:tcPr>
            <w:tcW w:w="2592" w:type="dxa"/>
            <w:vMerge w:val="continue"/>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4D1CA88D">
            <w:pPr>
              <w:keepNext w:val="0"/>
              <w:keepLines w:val="0"/>
              <w:widowControl/>
              <w:suppressLineNumbers w:val="0"/>
              <w:spacing w:before="0" w:after="0" w:line="240" w:lineRule="auto"/>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943"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775C82F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Extended</w:t>
            </w:r>
          </w:p>
        </w:tc>
        <w:tc>
          <w:tcPr>
            <w:tcW w:w="505"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077A5D2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2664"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3421DDD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864"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7792B30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r>
    </w:tbl>
    <w:p w14:paraId="1DF2685D">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r>
        <w:rPr>
          <w:rFonts w:ascii="Times New Roman" w:hAnsi="Times New Roman" w:eastAsia="Times New Roman" w:cs="Times New Roman"/>
          <w:b w:val="0"/>
          <w:sz w:val="16"/>
          <w:szCs w:val="20"/>
        </w:rPr>
        <w:t>The adjusted model included age, atrial fibrillation, diabetes, TOAST, occlusion site, baseline ASPECTS, baseline NIHSS, treatment workflow time (TWT), and eTICI score. The extended model additionally included modified Tan collateral status and hypoperfusion intensity ratio (HIR). The unadjusted model included PTV alone. PTV was calculated as the arithmetic mean of two independent blinded reader measurements.</w:t>
      </w:r>
      <w:r>
        <w:rPr>
          <w:rFonts w:hint="eastAsia" w:ascii="Times New Roman" w:hAnsi="Times New Roman" w:eastAsia="Times New Roman" w:cs="Times New Roman"/>
          <w:b w:val="0"/>
          <w:sz w:val="16"/>
          <w:szCs w:val="20"/>
          <w:lang w:val="en-US" w:eastAsia="zh-CN"/>
        </w:rPr>
        <w:t xml:space="preserve"> </w:t>
      </w:r>
      <w:r>
        <w:rPr>
          <w:rFonts w:ascii="Times New Roman" w:hAnsi="Times New Roman" w:eastAsia="Times New Roman" w:cs="Times New Roman"/>
          <w:b w:val="0"/>
          <w:sz w:val="16"/>
          <w:szCs w:val="20"/>
        </w:rPr>
        <w:t>Conventional adjusted and extended logistic regression models were not fitted for sICH and MCE because the numbers of events were limited relative to the number of model parameters. Firth-penalized sensitivity analyses are reported in Supplementary Table S14.</w:t>
      </w:r>
    </w:p>
    <w:p w14:paraId="6FFA1D91">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p>
    <w:p w14:paraId="1AFBA71A">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p>
    <w:p w14:paraId="621A7D2F">
      <w:pPr>
        <w:pStyle w:val="2"/>
        <w:numPr>
          <w:ilvl w:val="0"/>
          <w:numId w:val="0"/>
        </w:numPr>
        <w:spacing w:before="0" w:after="0" w:line="240" w:lineRule="auto"/>
        <w:ind w:leftChars="0"/>
      </w:pPr>
    </w:p>
    <w:p w14:paraId="4DCF465A">
      <w:pPr>
        <w:pStyle w:val="2"/>
        <w:numPr>
          <w:ilvl w:val="0"/>
          <w:numId w:val="0"/>
        </w:numPr>
        <w:spacing w:before="0" w:after="0" w:line="240" w:lineRule="auto"/>
        <w:ind w:leftChars="0"/>
      </w:pPr>
    </w:p>
    <w:p w14:paraId="420A08C9">
      <w:pPr>
        <w:pStyle w:val="2"/>
        <w:keepNext/>
        <w:spacing w:before="0" w:after="0" w:line="240" w:lineRule="auto"/>
      </w:pPr>
      <w:r>
        <w:rPr>
          <w:rFonts w:ascii="Times New Roman" w:hAnsi="Times New Roman" w:eastAsia="Times New Roman" w:cs="Times New Roman"/>
          <w:sz w:val="20"/>
          <w:szCs w:val="20"/>
        </w:rPr>
        <w:t>Supplementary Table S4. Ordinal mRS shift analysis</w:t>
      </w:r>
    </w:p>
    <w:tbl>
      <w:tblPr>
        <w:tblStyle w:val="9"/>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592"/>
        <w:gridCol w:w="4176"/>
        <w:gridCol w:w="1800"/>
      </w:tblGrid>
      <w:tr w14:paraId="0B54F551">
        <w:trPr>
          <w:cantSplit/>
          <w:tblHeader/>
          <w:jc w:val="center"/>
        </w:trPr>
        <w:tc>
          <w:tcPr>
            <w:tcW w:w="2592" w:type="dxa"/>
            <w:tcBorders>
              <w:top w:val="single" w:color="000000" w:sz="12" w:space="0"/>
              <w:left w:val="nil"/>
              <w:bottom w:val="single" w:color="000000" w:sz="4" w:space="0"/>
              <w:right w:val="nil"/>
              <w:insideH w:val="nil"/>
              <w:insideV w:val="nil"/>
              <w:tl2br w:val="nil"/>
            </w:tcBorders>
            <w:shd w:val="clear" w:color="auto" w:fill="FFFFFF"/>
            <w:tcMar>
              <w:top w:w="18" w:type="dxa"/>
              <w:left w:w="45" w:type="dxa"/>
              <w:bottom w:w="18" w:type="dxa"/>
              <w:right w:w="45" w:type="dxa"/>
            </w:tcMar>
            <w:vAlign w:val="center"/>
          </w:tcPr>
          <w:p w14:paraId="7F716838">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Term</w:t>
            </w:r>
          </w:p>
        </w:tc>
        <w:tc>
          <w:tcPr>
            <w:tcW w:w="4176"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6A69AAD8">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Common OR for worse mRS (95% CI)</w:t>
            </w:r>
          </w:p>
        </w:tc>
        <w:tc>
          <w:tcPr>
            <w:tcW w:w="1800"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569492B7">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 value</w:t>
            </w:r>
          </w:p>
        </w:tc>
      </w:tr>
      <w:tr w14:paraId="2E200862">
        <w:trPr>
          <w:cantSplit/>
          <w:jc w:val="center"/>
        </w:trPr>
        <w:tc>
          <w:tcPr>
            <w:tcW w:w="2592"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41B9FBCB">
            <w:pPr>
              <w:keepNext/>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Unadjusted model</w:t>
            </w:r>
          </w:p>
        </w:tc>
        <w:tc>
          <w:tcPr>
            <w:tcW w:w="4176"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2456E3EB">
            <w:pPr>
              <w:keepNext/>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p>
        </w:tc>
        <w:tc>
          <w:tcPr>
            <w:tcW w:w="1800"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06A48228">
            <w:pPr>
              <w:keepNext/>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396EB596">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06203B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Q1</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7C6653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F49096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r>
      <w:tr w14:paraId="3503411F">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1F3D7E5">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Q2</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630F8D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1.13 (0.70-1.84)</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93FD67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0.608</w:t>
            </w:r>
          </w:p>
        </w:tc>
      </w:tr>
      <w:tr w14:paraId="0F9347EE">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F363F7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Q3</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762C5A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1.24 (0.77-2.00)</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FEC9DA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0.383</w:t>
            </w:r>
          </w:p>
        </w:tc>
      </w:tr>
      <w:tr w14:paraId="71E44BDA">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B2E9AF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Q4</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9F49A4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2.02 (1.24-3.31)</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8237F3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0.005</w:t>
            </w:r>
          </w:p>
        </w:tc>
      </w:tr>
      <w:tr w14:paraId="7A69EF7A">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89582C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Per 1-s increase in PTV</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C95145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1.05 (1.02-1.09)</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1E0468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&lt;0.001</w:t>
            </w:r>
          </w:p>
        </w:tc>
      </w:tr>
      <w:tr w14:paraId="21A0AADA">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22B6BAE">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Adjusted model</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418B92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0F2972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p>
        </w:tc>
      </w:tr>
      <w:tr w14:paraId="7A5826EB">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2CDCA0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Q1</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ADC3163">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B250CF0">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Reference</w:t>
            </w:r>
          </w:p>
        </w:tc>
      </w:tr>
      <w:tr w14:paraId="15E23373">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253555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Q2</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A625B9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0.87 (0.53-1.45)</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5C7BDB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0.599</w:t>
            </w:r>
          </w:p>
        </w:tc>
      </w:tr>
      <w:tr w14:paraId="75A7B963">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673BAA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Q3</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72F8A104">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0.81 (0.48-1.36)</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05E7A46">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0.417</w:t>
            </w:r>
          </w:p>
        </w:tc>
      </w:tr>
      <w:tr w14:paraId="7AB21C9F">
        <w:trPr>
          <w:cantSplit/>
          <w:jc w:val="center"/>
        </w:trPr>
        <w:tc>
          <w:tcPr>
            <w:tcW w:w="259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5DEBB0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Q4</w:t>
            </w:r>
          </w:p>
        </w:tc>
        <w:tc>
          <w:tcPr>
            <w:tcW w:w="41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5F55B8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1.31 (0.73-2.36)</w:t>
            </w:r>
          </w:p>
        </w:tc>
        <w:tc>
          <w:tcPr>
            <w:tcW w:w="180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6CB288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0.367</w:t>
            </w:r>
          </w:p>
        </w:tc>
      </w:tr>
      <w:tr w14:paraId="75A5AB22">
        <w:trPr>
          <w:cantSplit/>
          <w:jc w:val="center"/>
        </w:trPr>
        <w:tc>
          <w:tcPr>
            <w:tcW w:w="2592"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783BFFB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Per 1-s increase in PTV</w:t>
            </w:r>
          </w:p>
        </w:tc>
        <w:tc>
          <w:tcPr>
            <w:tcW w:w="4176"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41B3F907">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1.03 (1.00-1.07)</w:t>
            </w:r>
          </w:p>
        </w:tc>
        <w:tc>
          <w:tcPr>
            <w:tcW w:w="1800"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2600DAFB">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0.091</w:t>
            </w:r>
          </w:p>
        </w:tc>
      </w:tr>
    </w:tbl>
    <w:p w14:paraId="7A5BC681">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sz w:val="16"/>
          <w:szCs w:val="20"/>
          <w:lang w:val="en-US" w:eastAsia="zh-CN"/>
        </w:rPr>
        <w:t>Common odds ratios are from proportional-odds ordinal logistic regression across the full 90-day mRS 0-6 range (n = 408; 102 per quartile). An odds ratio greater than 1 denotes a shift toward a worse (higher) mRS score. Adjusted models included age, atrial fibrillation, diabetes, TOAST subtype, occlusion site, baseline ASPECTS, baseline NIHSS, treatment workflow time (TWT) and eTICI score. The proportional-odds assumption was not violated (likelihood-ratio test against an unconstrained multinomial model: quartile model P = 0.24; continuous model P = 0.39).</w:t>
      </w:r>
    </w:p>
    <w:p w14:paraId="45C16662">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p>
    <w:p w14:paraId="383334A9">
      <w:pPr>
        <w:keepNext w:val="0"/>
        <w:keepLines w:val="0"/>
        <w:widowControl/>
        <w:suppressLineNumbers w:val="0"/>
        <w:spacing w:before="0" w:after="0" w:line="240" w:lineRule="auto"/>
        <w:jc w:val="left"/>
        <w:rPr>
          <w:rFonts w:hint="eastAsia" w:ascii="Times New Roman" w:hAnsi="Times New Roman" w:eastAsia="Times New Roman" w:cs="Times New Roman"/>
          <w:b w:val="0"/>
          <w:bCs w:val="0"/>
          <w:color w:val="auto"/>
          <w:lang w:val="en-US" w:eastAsia="zh-CN"/>
        </w:rPr>
      </w:pPr>
    </w:p>
    <w:p w14:paraId="2D9EFDF3">
      <w:pPr>
        <w:keepNext w:val="0"/>
        <w:keepLines w:val="0"/>
        <w:widowControl/>
        <w:suppressLineNumbers w:val="0"/>
        <w:spacing w:before="0" w:after="0" w:line="240" w:lineRule="auto"/>
        <w:jc w:val="left"/>
        <w:rPr>
          <w:rFonts w:hint="eastAsia" w:ascii="Times New Roman" w:hAnsi="Times New Roman" w:eastAsia="Times New Roman" w:cs="Times New Roman"/>
          <w:b w:val="0"/>
          <w:bCs w:val="0"/>
          <w:color w:val="auto"/>
          <w:lang w:val="en-US" w:eastAsia="zh-CN"/>
        </w:rPr>
      </w:pPr>
    </w:p>
    <w:p w14:paraId="771E8041">
      <w:pPr>
        <w:pStyle w:val="2"/>
        <w:keepNext/>
        <w:spacing w:before="400" w:after="0" w:line="240" w:lineRule="auto"/>
      </w:pPr>
      <w:r>
        <w:rPr>
          <w:rFonts w:ascii="Times New Roman" w:hAnsi="Times New Roman" w:eastAsia="Times New Roman" w:cs="Times New Roman"/>
          <w:sz w:val="20"/>
          <w:szCs w:val="20"/>
        </w:rPr>
        <w:t>Supplementary Table S5. Collateral-pattern stratified analyses</w:t>
      </w:r>
    </w:p>
    <w:tbl>
      <w:tblPr>
        <w:tblStyle w:val="9"/>
        <w:tblpPr w:leftFromText="180" w:rightFromText="180" w:vertAnchor="text" w:horzAnchor="page" w:tblpX="1597" w:tblpY="182"/>
        <w:tblOverlap w:val="never"/>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1944"/>
        <w:gridCol w:w="1440"/>
        <w:gridCol w:w="763"/>
        <w:gridCol w:w="1440"/>
        <w:gridCol w:w="763"/>
        <w:gridCol w:w="1440"/>
        <w:gridCol w:w="778"/>
      </w:tblGrid>
      <w:tr w14:paraId="6C25897D">
        <w:trPr>
          <w:cantSplit/>
          <w:tblHeader/>
          <w:jc w:val="center"/>
        </w:trPr>
        <w:tc>
          <w:tcPr>
            <w:tcW w:w="1944" w:type="dxa"/>
            <w:vMerge w:val="restart"/>
            <w:tcBorders>
              <w:top w:val="single" w:color="000000" w:sz="12" w:space="0"/>
              <w:left w:val="nil"/>
              <w:bottom w:val="single" w:color="000000" w:sz="4" w:space="0"/>
              <w:right w:val="nil"/>
              <w:insideH w:val="nil"/>
              <w:insideV w:val="nil"/>
              <w:tl2br w:val="nil"/>
            </w:tcBorders>
            <w:shd w:val="clear" w:color="auto" w:fill="FFFFFF"/>
            <w:noWrap/>
            <w:tcMar>
              <w:top w:w="18" w:type="dxa"/>
              <w:left w:w="45" w:type="dxa"/>
              <w:bottom w:w="18" w:type="dxa"/>
              <w:right w:w="45" w:type="dxa"/>
            </w:tcMar>
            <w:vAlign w:val="center"/>
          </w:tcPr>
          <w:p w14:paraId="3A7624DF">
            <w:pPr>
              <w:keepNext/>
              <w:keepLines/>
              <w:spacing w:before="0" w:after="0" w:line="240" w:lineRule="auto"/>
              <w:ind w:left="0" w:right="0" w:firstLine="0"/>
              <w:jc w:val="center"/>
              <w:rPr>
                <w:rFonts w:hint="eastAsia" w:ascii="Times New Roman" w:hAnsi="Times New Roman" w:eastAsia="Times New Roman" w:cs="Times New Roman"/>
                <w:b w:val="0"/>
                <w:bCs w:val="0"/>
                <w:color w:val="000000"/>
                <w:kern w:val="2"/>
                <w:sz w:val="16"/>
                <w:szCs w:val="16"/>
                <w:vertAlign w:val="baseline"/>
                <w:lang w:val="en-US" w:eastAsia="zh-CN" w:bidi="ar-SA"/>
              </w:rPr>
            </w:pPr>
          </w:p>
        </w:tc>
        <w:tc>
          <w:tcPr>
            <w:tcW w:w="1440"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1CA444DE">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Tan+HIR+</w:t>
            </w:r>
          </w:p>
        </w:tc>
        <w:tc>
          <w:tcPr>
            <w:tcW w:w="763"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55C6AC74">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(n=152)</w:t>
            </w:r>
          </w:p>
        </w:tc>
        <w:tc>
          <w:tcPr>
            <w:tcW w:w="1440"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0938931E">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Tan&amp;HIRmixed</w:t>
            </w:r>
          </w:p>
        </w:tc>
        <w:tc>
          <w:tcPr>
            <w:tcW w:w="763"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08DC28E2">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(n=120)</w:t>
            </w:r>
          </w:p>
        </w:tc>
        <w:tc>
          <w:tcPr>
            <w:tcW w:w="1440"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70A77D3C">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Tan-HIR-</w:t>
            </w:r>
          </w:p>
        </w:tc>
        <w:tc>
          <w:tcPr>
            <w:tcW w:w="778" w:type="dxa"/>
            <w:tcBorders>
              <w:top w:val="single" w:color="000000" w:sz="12" w:space="0"/>
              <w:left w:val="nil"/>
              <w:bottom w:val="single" w:color="000000" w:sz="4" w:space="0"/>
              <w:right w:val="nil"/>
              <w:insideH w:val="nil"/>
              <w:insideV w:val="nil"/>
            </w:tcBorders>
            <w:shd w:val="clear" w:color="auto" w:fill="FFFFFF"/>
            <w:noWrap/>
            <w:tcMar>
              <w:top w:w="18" w:type="dxa"/>
              <w:left w:w="45" w:type="dxa"/>
              <w:bottom w:w="18" w:type="dxa"/>
              <w:right w:w="45" w:type="dxa"/>
            </w:tcMar>
            <w:vAlign w:val="center"/>
          </w:tcPr>
          <w:p w14:paraId="550056ED">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(n=112)</w:t>
            </w:r>
          </w:p>
        </w:tc>
      </w:tr>
      <w:tr w14:paraId="117ACECF">
        <w:trPr>
          <w:cantSplit/>
          <w:tblHeader/>
          <w:jc w:val="center"/>
        </w:trPr>
        <w:tc>
          <w:tcPr>
            <w:tcW w:w="1944" w:type="dxa"/>
            <w:vMerge w:val="continue"/>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4A94A3D0">
            <w:pPr>
              <w:spacing w:before="0" w:after="0" w:line="240" w:lineRule="auto"/>
              <w:jc w:val="center"/>
              <w:rPr>
                <w:rFonts w:hint="eastAsia" w:ascii="Times New Roman" w:hAnsi="Times New Roman" w:eastAsia="Times New Roman" w:cs="Times New Roman"/>
                <w:b w:val="0"/>
                <w:bCs w:val="0"/>
                <w:color w:val="000000"/>
                <w:kern w:val="2"/>
                <w:sz w:val="16"/>
                <w:szCs w:val="16"/>
                <w:vertAlign w:val="baseline"/>
                <w:lang w:val="en-US" w:eastAsia="zh-CN" w:bidi="ar-SA"/>
              </w:rPr>
            </w:pPr>
          </w:p>
        </w:tc>
        <w:tc>
          <w:tcPr>
            <w:tcW w:w="1440"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6FFCED31">
            <w:pPr>
              <w:keepNext/>
              <w:keepLines/>
              <w:widowControl/>
              <w:suppressLineNumbers w:val="0"/>
              <w:spacing w:before="0" w:after="0" w:line="240" w:lineRule="auto"/>
              <w:ind w:left="0" w:right="0" w:firstLine="0"/>
              <w:jc w:val="center"/>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eastAsia" w:ascii="Times New Roman" w:hAnsi="Times New Roman" w:eastAsia="Times New Roman" w:cs="Times New Roman"/>
                <w:b w:val="0"/>
                <w:bCs w:val="0"/>
                <w:color w:val="000000"/>
                <w:sz w:val="16"/>
                <w:szCs w:val="16"/>
                <w:lang w:val="en-US" w:eastAsia="zh-CN"/>
              </w:rPr>
              <w:t>a</w:t>
            </w:r>
            <w:r>
              <w:rPr>
                <w:rFonts w:hint="eastAsia" w:ascii="Times New Roman" w:hAnsi="Times New Roman" w:eastAsia="Times New Roman" w:cs="Times New Roman"/>
                <w:b w:val="0"/>
                <w:bCs w:val="0"/>
                <w:color w:val="000000"/>
                <w:kern w:val="2"/>
                <w:sz w:val="16"/>
                <w:szCs w:val="16"/>
                <w:vertAlign w:val="baseline"/>
                <w:lang w:val="en-US" w:eastAsia="zh-CN" w:bidi="ar-SA"/>
              </w:rPr>
              <w:t>OR</w:t>
            </w:r>
            <w:r>
              <w:rPr>
                <w:rFonts w:ascii="Times New Roman" w:hAnsi="Times New Roman" w:eastAsia="Times New Roman" w:cs="Times New Roman"/>
                <w:b w:val="0"/>
                <w:bCs w:val="0"/>
                <w:color w:val="000000"/>
                <w:sz w:val="16"/>
                <w:szCs w:val="16"/>
              </w:rPr>
              <w:t>(95% CI)</w:t>
            </w:r>
            <w:r>
              <w:rPr>
                <w:rFonts w:hint="eastAsia" w:ascii="Times New Roman" w:hAnsi="Times New Roman" w:eastAsia="Times New Roman" w:cs="Times New Roman"/>
                <w:b w:val="0"/>
                <w:bCs w:val="0"/>
                <w:color w:val="000000"/>
                <w:kern w:val="2"/>
                <w:sz w:val="16"/>
                <w:szCs w:val="16"/>
                <w:vertAlign w:val="baseline"/>
                <w:lang w:val="en-US" w:eastAsia="zh-CN" w:bidi="ar-SA"/>
              </w:rPr>
              <w:t>*</w:t>
            </w:r>
          </w:p>
        </w:tc>
        <w:tc>
          <w:tcPr>
            <w:tcW w:w="763"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2A5ED818">
            <w:pPr>
              <w:keepNext/>
              <w:keepLines/>
              <w:widowControl/>
              <w:suppressLineNumbers w:val="0"/>
              <w:spacing w:before="0" w:after="0" w:line="240" w:lineRule="auto"/>
              <w:ind w:left="0" w:right="0" w:firstLine="0"/>
              <w:jc w:val="center"/>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i/>
                <w:iCs/>
                <w:color w:val="000000"/>
                <w:kern w:val="2"/>
                <w:sz w:val="16"/>
                <w:szCs w:val="16"/>
                <w:vertAlign w:val="baseline"/>
                <w:lang w:val="en-US" w:eastAsia="zh-CN" w:bidi="ar-SA"/>
              </w:rPr>
              <w:t>P value</w:t>
            </w:r>
          </w:p>
        </w:tc>
        <w:tc>
          <w:tcPr>
            <w:tcW w:w="1440"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379A13B8">
            <w:pPr>
              <w:keepNext/>
              <w:keepLines/>
              <w:widowControl/>
              <w:suppressLineNumbers w:val="0"/>
              <w:spacing w:before="0" w:after="0" w:line="240" w:lineRule="auto"/>
              <w:ind w:left="0" w:right="0" w:firstLine="0"/>
              <w:jc w:val="center"/>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eastAsia" w:ascii="Times New Roman" w:hAnsi="Times New Roman" w:eastAsia="Times New Roman" w:cs="Times New Roman"/>
                <w:b w:val="0"/>
                <w:bCs w:val="0"/>
                <w:color w:val="000000"/>
                <w:sz w:val="16"/>
                <w:szCs w:val="16"/>
                <w:lang w:val="en-US" w:eastAsia="zh-CN"/>
              </w:rPr>
              <w:t>a</w:t>
            </w:r>
            <w:r>
              <w:rPr>
                <w:rFonts w:hint="eastAsia" w:ascii="Times New Roman" w:hAnsi="Times New Roman" w:eastAsia="Times New Roman" w:cs="Times New Roman"/>
                <w:b w:val="0"/>
                <w:bCs w:val="0"/>
                <w:color w:val="000000"/>
                <w:kern w:val="2"/>
                <w:sz w:val="16"/>
                <w:szCs w:val="16"/>
                <w:vertAlign w:val="baseline"/>
                <w:lang w:val="en-US" w:eastAsia="zh-CN" w:bidi="ar-SA"/>
              </w:rPr>
              <w:t>OR*</w:t>
            </w:r>
          </w:p>
        </w:tc>
        <w:tc>
          <w:tcPr>
            <w:tcW w:w="763"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158D3514">
            <w:pPr>
              <w:keepNext/>
              <w:keepLines/>
              <w:widowControl/>
              <w:suppressLineNumbers w:val="0"/>
              <w:spacing w:before="0" w:after="0" w:line="240" w:lineRule="auto"/>
              <w:ind w:left="0" w:right="0" w:firstLine="0"/>
              <w:jc w:val="center"/>
              <w:textAlignment w:val="center"/>
              <w:rPr>
                <w:rFonts w:hint="default" w:ascii="Times New Roman" w:hAnsi="Times New Roman" w:eastAsia="Times New Roman" w:cs="Times New Roman"/>
                <w:b w:val="0"/>
                <w:bCs w:val="0"/>
                <w:i/>
                <w:iCs/>
                <w:color w:val="000000"/>
                <w:kern w:val="2"/>
                <w:sz w:val="16"/>
                <w:szCs w:val="16"/>
                <w:vertAlign w:val="baseline"/>
                <w:lang w:val="en-US" w:eastAsia="zh-CN" w:bidi="ar-SA"/>
              </w:rPr>
            </w:pPr>
            <w:r>
              <w:rPr>
                <w:rFonts w:hint="default" w:ascii="Times New Roman" w:hAnsi="Times New Roman" w:eastAsia="Times New Roman" w:cs="Times New Roman"/>
                <w:b w:val="0"/>
                <w:bCs w:val="0"/>
                <w:i/>
                <w:iCs/>
                <w:color w:val="000000"/>
                <w:kern w:val="2"/>
                <w:sz w:val="16"/>
                <w:szCs w:val="16"/>
                <w:vertAlign w:val="baseline"/>
                <w:lang w:val="en-US" w:eastAsia="zh-CN" w:bidi="ar-SA"/>
              </w:rPr>
              <w:t>P value</w:t>
            </w:r>
          </w:p>
        </w:tc>
        <w:tc>
          <w:tcPr>
            <w:tcW w:w="1440"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29C1DA98">
            <w:pPr>
              <w:keepNext/>
              <w:keepLines/>
              <w:widowControl/>
              <w:suppressLineNumbers w:val="0"/>
              <w:spacing w:before="0" w:after="0" w:line="240" w:lineRule="auto"/>
              <w:ind w:left="0" w:right="0" w:firstLine="0"/>
              <w:jc w:val="center"/>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eastAsia" w:ascii="Times New Roman" w:hAnsi="Times New Roman" w:eastAsia="Times New Roman" w:cs="Times New Roman"/>
                <w:b w:val="0"/>
                <w:bCs w:val="0"/>
                <w:color w:val="000000"/>
                <w:kern w:val="2"/>
                <w:sz w:val="16"/>
                <w:szCs w:val="16"/>
                <w:vertAlign w:val="baseline"/>
                <w:lang w:val="en-US" w:eastAsia="zh-CN" w:bidi="ar-SA"/>
              </w:rPr>
              <w:t>aOR*</w:t>
            </w:r>
          </w:p>
        </w:tc>
        <w:tc>
          <w:tcPr>
            <w:tcW w:w="778" w:type="dxa"/>
            <w:tcBorders>
              <w:top w:val="single" w:color="000000" w:sz="4" w:space="0"/>
              <w:left w:val="nil"/>
              <w:bottom w:val="nil"/>
              <w:right w:val="nil"/>
              <w:insideH w:val="nil"/>
              <w:insideV w:val="nil"/>
            </w:tcBorders>
            <w:shd w:val="clear" w:color="auto" w:fill="FFFFFF"/>
            <w:noWrap/>
            <w:tcMar>
              <w:top w:w="18" w:type="dxa"/>
              <w:left w:w="45" w:type="dxa"/>
              <w:bottom w:w="18" w:type="dxa"/>
              <w:right w:w="45" w:type="dxa"/>
            </w:tcMar>
            <w:vAlign w:val="center"/>
          </w:tcPr>
          <w:p w14:paraId="4EDBF9B7">
            <w:pPr>
              <w:keepNext/>
              <w:keepLines/>
              <w:widowControl/>
              <w:suppressLineNumbers w:val="0"/>
              <w:spacing w:before="0" w:after="0" w:line="240" w:lineRule="auto"/>
              <w:ind w:left="0" w:right="0" w:firstLine="0"/>
              <w:jc w:val="center"/>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i/>
                <w:iCs/>
                <w:color w:val="000000"/>
                <w:kern w:val="2"/>
                <w:sz w:val="16"/>
                <w:szCs w:val="16"/>
                <w:vertAlign w:val="baseline"/>
                <w:lang w:val="en-US" w:eastAsia="zh-CN" w:bidi="ar-SA"/>
              </w:rPr>
              <w:t>P value</w:t>
            </w:r>
          </w:p>
        </w:tc>
      </w:tr>
      <w:tr w14:paraId="2D2E5716">
        <w:trPr>
          <w:cantSplit/>
          <w:jc w:val="center"/>
        </w:trPr>
        <w:tc>
          <w:tcPr>
            <w:tcW w:w="8568" w:type="dxa"/>
            <w:gridSpan w:val="7"/>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38A6D62">
            <w:pPr>
              <w:keepNext/>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sz w:val="16"/>
                <w:szCs w:val="16"/>
                <w:lang w:val="en-US" w:eastAsia="zh-CN"/>
              </w:rPr>
              <w:t>Primary Outcome</w:t>
            </w:r>
          </w:p>
        </w:tc>
      </w:tr>
      <w:tr w14:paraId="5010D6DB">
        <w:trPr>
          <w:cantSplit/>
          <w:jc w:val="center"/>
        </w:trPr>
        <w:tc>
          <w:tcPr>
            <w:tcW w:w="194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1E25BCC">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mRS 0-2</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07DC6FA">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0.90 (0.831-0.982)</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05E3725">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0.017</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7DC2C12">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0.96 (0.870-1.055)</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B4118AD">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0.382</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2D8E7A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default" w:ascii="Times New Roman" w:hAnsi="Times New Roman" w:eastAsia="Times New Roman" w:cs="Times New Roman"/>
                <w:b w:val="0"/>
                <w:bCs w:val="0"/>
                <w:color w:val="000000"/>
                <w:sz w:val="16"/>
                <w:szCs w:val="16"/>
                <w:lang w:val="en-US" w:eastAsia="zh-CN"/>
              </w:rPr>
              <w:t>0.89 (0.784-1.017)</w:t>
            </w:r>
          </w:p>
        </w:tc>
        <w:tc>
          <w:tcPr>
            <w:tcW w:w="778"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5DA8AFD">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0.087</w:t>
            </w:r>
          </w:p>
        </w:tc>
      </w:tr>
      <w:tr w14:paraId="41399907">
        <w:trPr>
          <w:cantSplit/>
          <w:jc w:val="center"/>
        </w:trPr>
        <w:tc>
          <w:tcPr>
            <w:tcW w:w="8568" w:type="dxa"/>
            <w:gridSpan w:val="7"/>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D7AE444">
            <w:pPr>
              <w:keepNext/>
              <w:keepLines/>
              <w:widowControl/>
              <w:suppressLineNumbers w:val="0"/>
              <w:spacing w:before="0" w:after="0" w:line="240" w:lineRule="auto"/>
              <w:ind w:left="0" w:right="0" w:firstLine="0"/>
              <w:jc w:val="both"/>
              <w:textAlignment w:val="center"/>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eastAsia" w:ascii="Times New Roman" w:hAnsi="Times New Roman" w:eastAsia="Times New Roman" w:cs="Times New Roman"/>
                <w:b w:val="0"/>
                <w:bCs w:val="0"/>
                <w:color w:val="000000"/>
                <w:kern w:val="2"/>
                <w:sz w:val="16"/>
                <w:szCs w:val="16"/>
                <w:lang w:val="en-US" w:eastAsia="zh-CN" w:bidi="ar-SA"/>
              </w:rPr>
              <w:t>S</w:t>
            </w:r>
            <w:r>
              <w:rPr>
                <w:rFonts w:hint="default" w:ascii="Times New Roman" w:hAnsi="Times New Roman" w:eastAsia="Times New Roman" w:cs="Times New Roman"/>
                <w:b w:val="0"/>
                <w:bCs w:val="0"/>
                <w:color w:val="000000"/>
                <w:kern w:val="2"/>
                <w:sz w:val="16"/>
                <w:szCs w:val="16"/>
                <w:lang w:val="en-US" w:eastAsia="zh-CN" w:bidi="ar-SA"/>
              </w:rPr>
              <w:t>econdary outcomes</w:t>
            </w:r>
          </w:p>
        </w:tc>
      </w:tr>
      <w:tr w14:paraId="233C85FC">
        <w:trPr>
          <w:cantSplit/>
          <w:jc w:val="center"/>
        </w:trPr>
        <w:tc>
          <w:tcPr>
            <w:tcW w:w="194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CB3B7FB">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90 days mRS</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8FF3407">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1.06 (0.999-1.129)</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7D4C1A9">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0.050</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5CDD2F8">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1.05 (0.970-1.131)</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1827AE3">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0.24</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DDFA838">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1.05 (0.983-1.128)</w:t>
            </w:r>
          </w:p>
        </w:tc>
        <w:tc>
          <w:tcPr>
            <w:tcW w:w="778"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756D7B8">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0.140</w:t>
            </w:r>
          </w:p>
        </w:tc>
      </w:tr>
      <w:tr w14:paraId="4CBCBEB7">
        <w:trPr>
          <w:cantSplit/>
          <w:jc w:val="center"/>
        </w:trPr>
        <w:tc>
          <w:tcPr>
            <w:tcW w:w="194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28D44FE">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mRS 0-1</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32D54F5">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0.96 (0.890-1.043)</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BE2EF5A">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0.357</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9CCFC8B">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1.00 (0.903-1.103)</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A8EF5D5">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0.967</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CE066AB">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0.96 (0.845-1.097)</w:t>
            </w:r>
          </w:p>
        </w:tc>
        <w:tc>
          <w:tcPr>
            <w:tcW w:w="778"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318254C">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0.570</w:t>
            </w:r>
          </w:p>
        </w:tc>
      </w:tr>
      <w:tr w14:paraId="31A6304C">
        <w:trPr>
          <w:cantSplit/>
          <w:jc w:val="center"/>
        </w:trPr>
        <w:tc>
          <w:tcPr>
            <w:tcW w:w="194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9216B69">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mRS 0-3</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BC45DCA">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0.93 (0.848-1.026)</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F8C6BD">
            <w:pPr>
              <w:keepNext w:val="0"/>
              <w:keepLines/>
              <w:widowControl/>
              <w:suppressLineNumbers w:val="0"/>
              <w:spacing w:before="0" w:after="0" w:line="240" w:lineRule="auto"/>
              <w:ind w:left="0" w:right="0" w:firstLine="0"/>
              <w:jc w:val="righ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0.150</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69D05DBF">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1.02 (0.918-1.129)</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6FD5D54">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0.74</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7D67803">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0.93 (0.851-1.026)</w:t>
            </w:r>
          </w:p>
        </w:tc>
        <w:tc>
          <w:tcPr>
            <w:tcW w:w="778"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90611DA">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0.153</w:t>
            </w:r>
          </w:p>
        </w:tc>
      </w:tr>
      <w:tr w14:paraId="5DCDCD3B">
        <w:trPr>
          <w:cantSplit/>
          <w:jc w:val="center"/>
        </w:trPr>
        <w:tc>
          <w:tcPr>
            <w:tcW w:w="8568" w:type="dxa"/>
            <w:gridSpan w:val="7"/>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D056C55">
            <w:pPr>
              <w:keepNext/>
              <w:keepLines/>
              <w:spacing w:before="0" w:after="0" w:line="240" w:lineRule="auto"/>
              <w:ind w:left="0" w:right="0" w:firstLine="0"/>
              <w:jc w:val="both"/>
              <w:rPr>
                <w:rFonts w:hint="eastAsia"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sz w:val="16"/>
                <w:szCs w:val="16"/>
                <w:lang w:val="en-US" w:eastAsia="zh-CN"/>
              </w:rPr>
              <w:t>Safety outcome</w:t>
            </w:r>
            <w:r>
              <w:rPr>
                <w:rFonts w:hint="eastAsia" w:ascii="Times New Roman" w:hAnsi="Times New Roman" w:eastAsia="Times New Roman" w:cs="Times New Roman"/>
                <w:b w:val="0"/>
                <w:bCs w:val="0"/>
                <w:color w:val="000000"/>
                <w:sz w:val="16"/>
                <w:szCs w:val="16"/>
                <w:lang w:val="en-US" w:eastAsia="zh-CN"/>
              </w:rPr>
              <w:t>s</w:t>
            </w:r>
          </w:p>
        </w:tc>
      </w:tr>
      <w:tr w14:paraId="5DD25D34">
        <w:trPr>
          <w:cantSplit/>
          <w:jc w:val="center"/>
        </w:trPr>
        <w:tc>
          <w:tcPr>
            <w:tcW w:w="194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4D3623C5">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Mortality</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9528979">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1.11 (0.971-1.264)</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E802292">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0.129</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41D014D">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1.19 (1.037-1.361)</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9A3B843">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0.013</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09B0CFE">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1.05 (0.960-1.150)</w:t>
            </w:r>
          </w:p>
        </w:tc>
        <w:tc>
          <w:tcPr>
            <w:tcW w:w="778"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E93C603">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0.281</w:t>
            </w:r>
          </w:p>
        </w:tc>
      </w:tr>
      <w:tr w14:paraId="1E62CFB8">
        <w:trPr>
          <w:cantSplit/>
          <w:jc w:val="center"/>
        </w:trPr>
        <w:tc>
          <w:tcPr>
            <w:tcW w:w="1944"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593E7F2">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sICH (model not fitted)</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17E54542">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29B79046">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5D22F01A">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763"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0D719BC7">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1440"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7138737B">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c>
          <w:tcPr>
            <w:tcW w:w="778" w:type="dxa"/>
            <w:tcBorders>
              <w:top w:val="nil"/>
              <w:left w:val="nil"/>
              <w:bottom w:val="nil"/>
              <w:right w:val="nil"/>
              <w:insideH w:val="nil"/>
              <w:insideV w:val="nil"/>
            </w:tcBorders>
            <w:shd w:val="clear" w:color="auto" w:fill="FFFFFF"/>
            <w:noWrap/>
            <w:tcMar>
              <w:top w:w="18" w:type="dxa"/>
              <w:left w:w="45" w:type="dxa"/>
              <w:bottom w:w="18" w:type="dxa"/>
              <w:right w:w="45" w:type="dxa"/>
            </w:tcMar>
            <w:vAlign w:val="center"/>
          </w:tcPr>
          <w:p w14:paraId="3B1C6E2B">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w:t>
            </w:r>
          </w:p>
        </w:tc>
      </w:tr>
      <w:tr w14:paraId="266D44A0">
        <w:trPr>
          <w:cantSplit/>
          <w:jc w:val="center"/>
        </w:trPr>
        <w:tc>
          <w:tcPr>
            <w:tcW w:w="1944"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1053D8B3">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anyICH</w:t>
            </w:r>
          </w:p>
        </w:tc>
        <w:tc>
          <w:tcPr>
            <w:tcW w:w="1440"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2A4D0EC1">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1.07 (0.974-1.174)</w:t>
            </w:r>
          </w:p>
        </w:tc>
        <w:tc>
          <w:tcPr>
            <w:tcW w:w="763"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66FD8E34">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0.161</w:t>
            </w:r>
          </w:p>
        </w:tc>
        <w:tc>
          <w:tcPr>
            <w:tcW w:w="1440"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6529EA8D">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1.03 (0.931-1.141)</w:t>
            </w:r>
          </w:p>
        </w:tc>
        <w:tc>
          <w:tcPr>
            <w:tcW w:w="763"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2A71F915">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0.559</w:t>
            </w:r>
          </w:p>
        </w:tc>
        <w:tc>
          <w:tcPr>
            <w:tcW w:w="1440"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66E4B903">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1.01 (0.938-1.093)</w:t>
            </w:r>
          </w:p>
        </w:tc>
        <w:tc>
          <w:tcPr>
            <w:tcW w:w="778" w:type="dxa"/>
            <w:tcBorders>
              <w:top w:val="nil"/>
              <w:left w:val="nil"/>
              <w:bottom w:val="single" w:color="000000" w:sz="12" w:space="0"/>
              <w:right w:val="nil"/>
              <w:insideH w:val="nil"/>
              <w:insideV w:val="nil"/>
            </w:tcBorders>
            <w:shd w:val="clear" w:color="auto" w:fill="FFFFFF"/>
            <w:noWrap/>
            <w:tcMar>
              <w:top w:w="18" w:type="dxa"/>
              <w:left w:w="45" w:type="dxa"/>
              <w:bottom w:w="18" w:type="dxa"/>
              <w:right w:w="45" w:type="dxa"/>
            </w:tcMar>
            <w:vAlign w:val="center"/>
          </w:tcPr>
          <w:p w14:paraId="2BCE0F7C">
            <w:pPr>
              <w:keepNext w:val="0"/>
              <w:keepLines/>
              <w:widowControl/>
              <w:suppressLineNumbers w:val="0"/>
              <w:spacing w:before="0" w:after="0" w:line="240" w:lineRule="auto"/>
              <w:ind w:left="0" w:right="0" w:firstLine="0"/>
              <w:jc w:val="righ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0.751</w:t>
            </w:r>
          </w:p>
        </w:tc>
      </w:tr>
    </w:tbl>
    <w:p w14:paraId="060CC842">
      <w:pPr>
        <w:keepNext w:val="0"/>
        <w:keepLines w:val="0"/>
        <w:widowControl/>
        <w:suppressLineNumbers w:val="0"/>
        <w:spacing w:before="0" w:after="0" w:line="240" w:lineRule="auto"/>
        <w:jc w:val="left"/>
        <w:rPr>
          <w:rFonts w:hint="eastAsia"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sz w:val="16"/>
          <w:szCs w:val="20"/>
          <w:lang w:val="en-US" w:eastAsia="zh-CN"/>
        </w:rPr>
        <w:t xml:space="preserve">*Adjusted for age, atrial fibrillation, diabetes, TOAST, occlusion site, baseline ASPECTS, baseline NIHSS, treatment workflow time, and eTICI score. </w:t>
      </w:r>
      <w:r>
        <w:rPr>
          <w:rFonts w:hint="eastAsia" w:ascii="Times New Roman" w:hAnsi="Times New Roman" w:eastAsia="Times New Roman" w:cs="Times New Roman"/>
          <w:b w:val="0"/>
          <w:bCs w:val="0"/>
          <w:color w:val="auto"/>
          <w:sz w:val="16"/>
          <w:szCs w:val="20"/>
          <w:lang w:val="en-US" w:eastAsia="zh-CN"/>
        </w:rPr>
        <w:t>T</w:t>
      </w:r>
      <w:r>
        <w:rPr>
          <w:rFonts w:hint="default" w:ascii="Times New Roman" w:hAnsi="Times New Roman" w:eastAsia="Times New Roman" w:cs="Times New Roman"/>
          <w:b w:val="0"/>
          <w:bCs w:val="0"/>
          <w:color w:val="auto"/>
          <w:sz w:val="16"/>
          <w:szCs w:val="20"/>
          <w:lang w:val="en-US" w:eastAsia="zh-CN"/>
        </w:rPr>
        <w:t>he sICH model was not fitted within the collateral-pattern strata because of sparse events; this endpoint is exploratory.</w:t>
      </w:r>
    </w:p>
    <w:p w14:paraId="0C85D1A7">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sz w:val="16"/>
          <w:szCs w:val="20"/>
          <w:lang w:val="en-US" w:eastAsia="zh-CN"/>
        </w:rPr>
        <w:t xml:space="preserve">Abbreviations: OR, odds ratio. </w:t>
      </w:r>
    </w:p>
    <w:p w14:paraId="00538C7C">
      <w:pPr>
        <w:spacing w:before="0" w:after="0" w:line="240" w:lineRule="auto"/>
      </w:pPr>
    </w:p>
    <w:p w14:paraId="657BF352">
      <w:pPr>
        <w:spacing w:before="0" w:after="0" w:line="240" w:lineRule="auto"/>
      </w:pPr>
    </w:p>
    <w:p w14:paraId="12FD21EF">
      <w:pPr>
        <w:pStyle w:val="2"/>
        <w:keepNext/>
        <w:spacing w:before="0" w:after="0" w:line="240" w:lineRule="auto"/>
      </w:pPr>
      <w:r>
        <w:rPr>
          <w:rFonts w:hint="eastAsia" w:ascii="Times New Roman" w:hAnsi="Times New Roman" w:eastAsia="Times New Roman" w:cs="Times New Roman"/>
          <w:sz w:val="20"/>
          <w:szCs w:val="20"/>
          <w:lang w:val="en-US" w:eastAsia="zh-CN"/>
        </w:rPr>
        <w:t xml:space="preserve">  </w:t>
      </w:r>
      <w:r>
        <w:rPr>
          <w:rFonts w:ascii="Times New Roman" w:hAnsi="Times New Roman" w:eastAsia="Times New Roman" w:cs="Times New Roman"/>
          <w:sz w:val="20"/>
          <w:szCs w:val="20"/>
        </w:rPr>
        <w:t>Supplementary Table S6. Mean PTV and COVES interobserver agreement</w:t>
      </w:r>
    </w:p>
    <w:tbl>
      <w:tblPr>
        <w:tblStyle w:val="9"/>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4104"/>
        <w:gridCol w:w="3312"/>
        <w:gridCol w:w="1152"/>
      </w:tblGrid>
      <w:tr w14:paraId="7C70A1F0">
        <w:trPr>
          <w:cantSplit/>
          <w:tblHeader/>
          <w:jc w:val="center"/>
        </w:trPr>
        <w:tc>
          <w:tcPr>
            <w:tcW w:w="4104" w:type="dxa"/>
            <w:tcBorders>
              <w:top w:val="single" w:color="000000" w:sz="12" w:space="0"/>
              <w:left w:val="nil"/>
              <w:bottom w:val="single" w:color="000000" w:sz="4" w:space="0"/>
              <w:right w:val="nil"/>
              <w:insideH w:val="nil"/>
              <w:insideV w:val="nil"/>
              <w:tl2br w:val="nil"/>
            </w:tcBorders>
            <w:shd w:val="clear" w:color="auto" w:fill="FFFFFF"/>
            <w:tcMar>
              <w:top w:w="18" w:type="dxa"/>
              <w:left w:w="45" w:type="dxa"/>
              <w:bottom w:w="18" w:type="dxa"/>
              <w:right w:w="45" w:type="dxa"/>
            </w:tcMar>
            <w:vAlign w:val="center"/>
          </w:tcPr>
          <w:p w14:paraId="65CE113A">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Measure</w:t>
            </w:r>
          </w:p>
        </w:tc>
        <w:tc>
          <w:tcPr>
            <w:tcW w:w="3312"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547B43C4">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Value</w:t>
            </w:r>
          </w:p>
        </w:tc>
        <w:tc>
          <w:tcPr>
            <w:tcW w:w="1152"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2FE5430F">
            <w:pPr>
              <w:keepNext/>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kern w:val="2"/>
                <w:sz w:val="16"/>
                <w:szCs w:val="16"/>
                <w:vertAlign w:val="baseline"/>
                <w:lang w:val="en-US" w:eastAsia="zh-CN" w:bidi="ar-SA"/>
              </w:rPr>
            </w:pPr>
            <w:r>
              <w:rPr>
                <w:rFonts w:hint="default" w:ascii="Times New Roman" w:hAnsi="Times New Roman" w:eastAsia="Times New Roman" w:cs="Times New Roman"/>
                <w:b w:val="0"/>
                <w:bCs w:val="0"/>
                <w:color w:val="000000"/>
                <w:kern w:val="2"/>
                <w:sz w:val="16"/>
                <w:szCs w:val="16"/>
                <w:vertAlign w:val="baseline"/>
                <w:lang w:val="en-US" w:eastAsia="zh-CN" w:bidi="ar-SA"/>
              </w:rPr>
              <w:t>N</w:t>
            </w:r>
          </w:p>
        </w:tc>
      </w:tr>
      <w:tr w14:paraId="1D66E7C6">
        <w:trPr>
          <w:cantSplit/>
          <w:jc w:val="center"/>
        </w:trPr>
        <w:tc>
          <w:tcPr>
            <w:tcW w:w="4104"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32AB389F">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Mean PTV interobserver ICC (absolute agreement, single measures)</w:t>
            </w:r>
          </w:p>
        </w:tc>
        <w:tc>
          <w:tcPr>
            <w:tcW w:w="3312"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5833E7DC">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0.956</w:t>
            </w:r>
          </w:p>
        </w:tc>
        <w:tc>
          <w:tcPr>
            <w:tcW w:w="1152"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41A66548">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408.0</w:t>
            </w:r>
          </w:p>
        </w:tc>
      </w:tr>
      <w:tr w14:paraId="4CB20A96">
        <w:trPr>
          <w:cantSplit/>
          <w:jc w:val="center"/>
        </w:trPr>
        <w:tc>
          <w:tcPr>
            <w:tcW w:w="410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255C3AF">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Mean difference reader2-reader1 (s)</w:t>
            </w:r>
          </w:p>
        </w:tc>
        <w:tc>
          <w:tcPr>
            <w:tcW w:w="331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6160F26">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-0.17</w:t>
            </w:r>
          </w:p>
        </w:tc>
        <w:tc>
          <w:tcPr>
            <w:tcW w:w="115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7C29999">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p>
        </w:tc>
      </w:tr>
      <w:tr w14:paraId="5B950026">
        <w:trPr>
          <w:cantSplit/>
          <w:jc w:val="center"/>
        </w:trPr>
        <w:tc>
          <w:tcPr>
            <w:tcW w:w="410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F764EB7">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Mean absolute difference (s)</w:t>
            </w:r>
          </w:p>
        </w:tc>
        <w:tc>
          <w:tcPr>
            <w:tcW w:w="331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4B83ED7">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0.91</w:t>
            </w:r>
          </w:p>
        </w:tc>
        <w:tc>
          <w:tcPr>
            <w:tcW w:w="115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142315E">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p>
        </w:tc>
      </w:tr>
      <w:tr w14:paraId="700F79F4">
        <w:trPr>
          <w:cantSplit/>
          <w:jc w:val="center"/>
        </w:trPr>
        <w:tc>
          <w:tcPr>
            <w:tcW w:w="410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7FD2345">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Pearson correlation</w:t>
            </w:r>
          </w:p>
        </w:tc>
        <w:tc>
          <w:tcPr>
            <w:tcW w:w="331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6A7424BA">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0.957</w:t>
            </w:r>
          </w:p>
        </w:tc>
        <w:tc>
          <w:tcPr>
            <w:tcW w:w="1152"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56BED24">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p>
        </w:tc>
      </w:tr>
      <w:tr w14:paraId="45A2FCDF">
        <w:trPr>
          <w:cantSplit/>
          <w:jc w:val="center"/>
        </w:trPr>
        <w:tc>
          <w:tcPr>
            <w:tcW w:w="4104"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4AB0C5C4">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COVES interobserver agreement</w:t>
            </w:r>
          </w:p>
        </w:tc>
        <w:tc>
          <w:tcPr>
            <w:tcW w:w="3312"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0151FBEB">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quadratic-weighted kappa=0.95; ICC 0.95</w:t>
            </w:r>
          </w:p>
        </w:tc>
        <w:tc>
          <w:tcPr>
            <w:tcW w:w="1152"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12BB44F1">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387</w:t>
            </w:r>
          </w:p>
        </w:tc>
      </w:tr>
    </w:tbl>
    <w:p w14:paraId="5431FE8F">
      <w:pPr>
        <w:pStyle w:val="2"/>
        <w:numPr>
          <w:ilvl w:val="0"/>
          <w:numId w:val="0"/>
        </w:numPr>
        <w:spacing w:before="0" w:after="0" w:line="240" w:lineRule="auto"/>
        <w:ind w:leftChars="0"/>
      </w:pPr>
    </w:p>
    <w:p w14:paraId="75A26DE4">
      <w:pPr>
        <w:pStyle w:val="2"/>
        <w:keepNext/>
        <w:spacing w:before="0" w:after="0" w:line="240" w:lineRule="auto"/>
      </w:pPr>
      <w:r>
        <w:rPr>
          <w:rFonts w:ascii="Times New Roman" w:hAnsi="Times New Roman" w:eastAsia="Times New Roman" w:cs="Times New Roman"/>
          <w:sz w:val="20"/>
          <w:szCs w:val="20"/>
        </w:rPr>
        <w:t>Supplementary Table S7. Sensitivity analysis using arterially normalized mean PTV (mean venous peak time minus arterial peak time; 382 technically measurable values ranged from -2.330 to 22.900 s; the primary analysis excluded 9 values &lt;1 s and included 373 patients with a range of 1.005 to 22.900 s)</w:t>
      </w:r>
    </w:p>
    <w:tbl>
      <w:tblPr>
        <w:tblStyle w:val="9"/>
        <w:tblW w:w="8568"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4464"/>
        <w:gridCol w:w="720"/>
        <w:gridCol w:w="2376"/>
        <w:gridCol w:w="1008"/>
      </w:tblGrid>
      <w:tr w14:paraId="6C54A8EF">
        <w:trPr>
          <w:cantSplit/>
          <w:tblHeader/>
          <w:jc w:val="center"/>
        </w:trPr>
        <w:tc>
          <w:tcPr>
            <w:tcW w:w="4464" w:type="dxa"/>
            <w:tcBorders>
              <w:top w:val="single" w:color="000000" w:sz="12" w:space="0"/>
              <w:left w:val="nil"/>
              <w:bottom w:val="single" w:color="000000" w:sz="4" w:space="0"/>
              <w:right w:val="nil"/>
              <w:insideH w:val="nil"/>
              <w:insideV w:val="nil"/>
              <w:tl2br w:val="nil"/>
            </w:tcBorders>
            <w:shd w:val="clear" w:color="auto" w:fill="FFFFFF"/>
            <w:tcMar>
              <w:top w:w="18" w:type="dxa"/>
              <w:left w:w="45" w:type="dxa"/>
              <w:bottom w:w="18" w:type="dxa"/>
              <w:right w:w="45" w:type="dxa"/>
            </w:tcMar>
            <w:vAlign w:val="center"/>
          </w:tcPr>
          <w:p w14:paraId="20E1B8B0">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Model</w:t>
            </w:r>
          </w:p>
        </w:tc>
        <w:tc>
          <w:tcPr>
            <w:tcW w:w="720"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5D36CDD7">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righ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N</w:t>
            </w:r>
          </w:p>
        </w:tc>
        <w:tc>
          <w:tcPr>
            <w:tcW w:w="2376"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7C4BB141">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OR (95% CI)</w:t>
            </w:r>
          </w:p>
        </w:tc>
        <w:tc>
          <w:tcPr>
            <w:tcW w:w="1008" w:type="dxa"/>
            <w:tcBorders>
              <w:top w:val="single" w:color="000000" w:sz="12" w:space="0"/>
              <w:left w:val="nil"/>
              <w:bottom w:val="single" w:color="000000" w:sz="4" w:space="0"/>
              <w:right w:val="nil"/>
              <w:insideH w:val="nil"/>
              <w:insideV w:val="nil"/>
            </w:tcBorders>
            <w:shd w:val="clear" w:color="auto" w:fill="FFFFFF"/>
            <w:tcMar>
              <w:top w:w="18" w:type="dxa"/>
              <w:left w:w="45" w:type="dxa"/>
              <w:bottom w:w="18" w:type="dxa"/>
              <w:right w:w="45" w:type="dxa"/>
            </w:tcMar>
            <w:vAlign w:val="center"/>
          </w:tcPr>
          <w:p w14:paraId="510BD338">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 value</w:t>
            </w:r>
          </w:p>
        </w:tc>
      </w:tr>
      <w:tr w14:paraId="2A04E0EC">
        <w:trPr>
          <w:cantSplit/>
          <w:jc w:val="center"/>
        </w:trPr>
        <w:tc>
          <w:tcPr>
            <w:tcW w:w="4464"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760BCAA1">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Unadjusted</w:t>
            </w:r>
          </w:p>
        </w:tc>
        <w:tc>
          <w:tcPr>
            <w:tcW w:w="720"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6ED725CC">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373</w:t>
            </w:r>
          </w:p>
        </w:tc>
        <w:tc>
          <w:tcPr>
            <w:tcW w:w="2376"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68AAB845">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0.93 (0.875-0.978)</w:t>
            </w:r>
          </w:p>
        </w:tc>
        <w:tc>
          <w:tcPr>
            <w:tcW w:w="1008" w:type="dxa"/>
            <w:tcBorders>
              <w:top w:val="single" w:color="000000" w:sz="4" w:space="0"/>
              <w:left w:val="nil"/>
              <w:bottom w:val="nil"/>
              <w:right w:val="nil"/>
              <w:insideH w:val="nil"/>
              <w:insideV w:val="nil"/>
            </w:tcBorders>
            <w:shd w:val="clear" w:color="auto" w:fill="FFFFFF"/>
            <w:tcMar>
              <w:top w:w="18" w:type="dxa"/>
              <w:left w:w="45" w:type="dxa"/>
              <w:bottom w:w="18" w:type="dxa"/>
              <w:right w:w="45" w:type="dxa"/>
            </w:tcMar>
            <w:vAlign w:val="center"/>
          </w:tcPr>
          <w:p w14:paraId="23B995D0">
            <w:pPr>
              <w:keepNext/>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0.006</w:t>
            </w:r>
          </w:p>
        </w:tc>
      </w:tr>
      <w:tr w14:paraId="54A54508">
        <w:trPr>
          <w:cantSplit/>
          <w:jc w:val="center"/>
        </w:trPr>
        <w:tc>
          <w:tcPr>
            <w:tcW w:w="44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2343B693">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Main adjusted</w:t>
            </w:r>
          </w:p>
        </w:tc>
        <w:tc>
          <w:tcPr>
            <w:tcW w:w="72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98D51C7">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373</w:t>
            </w:r>
          </w:p>
        </w:tc>
        <w:tc>
          <w:tcPr>
            <w:tcW w:w="23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B4AFF45">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0.91 (0.848-0.982)</w:t>
            </w:r>
          </w:p>
        </w:tc>
        <w:tc>
          <w:tcPr>
            <w:tcW w:w="1008"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427388C3">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0.015</w:t>
            </w:r>
          </w:p>
        </w:tc>
      </w:tr>
      <w:tr w14:paraId="23D47ACA">
        <w:trPr>
          <w:cantSplit/>
          <w:jc w:val="center"/>
        </w:trPr>
        <w:tc>
          <w:tcPr>
            <w:tcW w:w="4464"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33BEF59F">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Extended model (additionally adjusted for Tan and HIR)</w:t>
            </w:r>
          </w:p>
        </w:tc>
        <w:tc>
          <w:tcPr>
            <w:tcW w:w="720"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5B38407B">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360</w:t>
            </w:r>
          </w:p>
        </w:tc>
        <w:tc>
          <w:tcPr>
            <w:tcW w:w="2376"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17960391">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0.91 (0.843-0.984)</w:t>
            </w:r>
          </w:p>
        </w:tc>
        <w:tc>
          <w:tcPr>
            <w:tcW w:w="1008" w:type="dxa"/>
            <w:tcBorders>
              <w:top w:val="nil"/>
              <w:left w:val="nil"/>
              <w:bottom w:val="nil"/>
              <w:right w:val="nil"/>
              <w:insideH w:val="nil"/>
              <w:insideV w:val="nil"/>
            </w:tcBorders>
            <w:shd w:val="clear" w:color="auto" w:fill="FFFFFF"/>
            <w:tcMar>
              <w:top w:w="18" w:type="dxa"/>
              <w:left w:w="45" w:type="dxa"/>
              <w:bottom w:w="18" w:type="dxa"/>
              <w:right w:w="45" w:type="dxa"/>
            </w:tcMar>
            <w:vAlign w:val="center"/>
          </w:tcPr>
          <w:p w14:paraId="0DDEE0E2">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0.017</w:t>
            </w:r>
          </w:p>
        </w:tc>
      </w:tr>
      <w:tr w14:paraId="3802A820">
        <w:trPr>
          <w:cantSplit/>
          <w:jc w:val="center"/>
        </w:trPr>
        <w:tc>
          <w:tcPr>
            <w:tcW w:w="4464"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68903920">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Adjusted Q4 vs Q1</w:t>
            </w:r>
          </w:p>
        </w:tc>
        <w:tc>
          <w:tcPr>
            <w:tcW w:w="720"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2863D0E2">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373</w:t>
            </w:r>
          </w:p>
        </w:tc>
        <w:tc>
          <w:tcPr>
            <w:tcW w:w="2376"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55FADA1A">
            <w:pPr>
              <w:keepNext w:val="0"/>
              <w:keepLines/>
              <w:widowControl/>
              <w:suppressLineNumbers w:val="0"/>
              <w:spacing w:before="0" w:after="0" w:line="240" w:lineRule="auto"/>
              <w:ind w:left="0" w:right="0" w:firstLine="0"/>
              <w:jc w:val="left"/>
              <w:textAlignment w:val="center"/>
              <w:rPr>
                <w:rFonts w:hint="eastAsia"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0.36 (0.167-0.786)</w:t>
            </w:r>
          </w:p>
        </w:tc>
        <w:tc>
          <w:tcPr>
            <w:tcW w:w="1008" w:type="dxa"/>
            <w:tcBorders>
              <w:top w:val="nil"/>
              <w:left w:val="nil"/>
              <w:bottom w:val="single" w:color="000000" w:sz="12" w:space="0"/>
              <w:right w:val="nil"/>
              <w:insideH w:val="nil"/>
              <w:insideV w:val="nil"/>
            </w:tcBorders>
            <w:shd w:val="clear" w:color="auto" w:fill="FFFFFF"/>
            <w:tcMar>
              <w:top w:w="18" w:type="dxa"/>
              <w:left w:w="45" w:type="dxa"/>
              <w:bottom w:w="18" w:type="dxa"/>
              <w:right w:w="45" w:type="dxa"/>
            </w:tcMar>
            <w:vAlign w:val="center"/>
          </w:tcPr>
          <w:p w14:paraId="60CA3D62">
            <w:pPr>
              <w:keepNext w:val="0"/>
              <w:keepLines/>
              <w:widowControl/>
              <w:suppressLineNumbers w:val="0"/>
              <w:spacing w:before="0" w:after="0" w:line="240" w:lineRule="auto"/>
              <w:ind w:left="0" w:right="0" w:firstLine="0"/>
              <w:jc w:val="left"/>
              <w:textAlignment w:val="center"/>
              <w:rPr>
                <w:rFonts w:hint="default" w:ascii="Times New Roman" w:hAnsi="Times New Roman" w:eastAsia="Times New Roman" w:cs="Times New Roman"/>
                <w:b w:val="0"/>
                <w:bCs w:val="0"/>
                <w:color w:val="000000"/>
                <w:sz w:val="16"/>
                <w:szCs w:val="16"/>
                <w:lang w:val="en-US" w:eastAsia="zh-CN"/>
              </w:rPr>
            </w:pPr>
            <w:r>
              <w:rPr>
                <w:rFonts w:hint="eastAsia" w:ascii="Times New Roman" w:hAnsi="Times New Roman" w:eastAsia="Times New Roman" w:cs="Times New Roman"/>
                <w:b w:val="0"/>
                <w:bCs w:val="0"/>
                <w:color w:val="000000"/>
                <w:sz w:val="16"/>
                <w:szCs w:val="16"/>
                <w:lang w:val="en-US" w:eastAsia="zh-CN"/>
              </w:rPr>
              <w:t>0.010</w:t>
            </w:r>
          </w:p>
        </w:tc>
      </w:tr>
    </w:tbl>
    <w:p w14:paraId="68FF74FF">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sz w:val="16"/>
          <w:szCs w:val="20"/>
          <w:lang w:val="en-US" w:eastAsia="zh-CN"/>
        </w:rPr>
        <w:t>Adjusted models included age, atrial fibrillation, diabetes, TOAST subtype, occlusion site, baseline ASPECTS, baseline NIHSS, treatment workflow time (TWT), and eTICI score.</w:t>
      </w:r>
    </w:p>
    <w:p w14:paraId="30A58B19">
      <w:pPr>
        <w:spacing w:before="0" w:after="0" w:line="240" w:lineRule="auto"/>
        <w:sectPr>
          <w:type w:val="continuous"/>
          <w:pgSz w:w="11900" w:h="16840"/>
          <w:pgMar w:top="1417" w:right="1417" w:bottom="1417" w:left="1417" w:header="708" w:footer="708" w:gutter="0"/>
          <w:cols w:space="708" w:num="1"/>
          <w:docGrid w:linePitch="360" w:charSpace="0"/>
        </w:sectPr>
      </w:pPr>
      <w:r>
        <w:rPr>
          <w:rFonts w:ascii="Times New Roman" w:hAnsi="Times New Roman" w:eastAsia="Times New Roman" w:cs="Times New Roman"/>
          <w:sz w:val="20"/>
          <w:szCs w:val="20"/>
        </w:rPr>
        <w:br w:type="page"/>
      </w:r>
    </w:p>
    <w:p w14:paraId="6DDE3FAF">
      <w:pPr>
        <w:spacing w:before="0" w:after="0" w:line="240" w:lineRule="auto"/>
      </w:pPr>
    </w:p>
    <w:p w14:paraId="48559C73">
      <w:pPr>
        <w:pStyle w:val="2"/>
        <w:keepNext/>
        <w:spacing w:before="0" w:after="0" w:line="240" w:lineRule="auto"/>
      </w:pPr>
      <w:r>
        <w:rPr>
          <w:rFonts w:ascii="Times New Roman" w:hAnsi="Times New Roman" w:eastAsia="Times New Roman" w:cs="Times New Roman"/>
          <w:sz w:val="20"/>
          <w:szCs w:val="20"/>
        </w:rPr>
        <w:t>Supplementary Table S8. Progressive adjustment analyses for the primary outcome (mRS 0-2 at 90 days) using arithmetic-mean PTV</w:t>
      </w:r>
    </w:p>
    <w:tbl>
      <w:tblPr>
        <w:tblStyle w:val="9"/>
        <w:tblW w:w="13537"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864"/>
        <w:gridCol w:w="1008"/>
        <w:gridCol w:w="1796"/>
        <w:gridCol w:w="599"/>
        <w:gridCol w:w="1666"/>
        <w:gridCol w:w="605"/>
        <w:gridCol w:w="1728"/>
        <w:gridCol w:w="605"/>
        <w:gridCol w:w="1728"/>
        <w:gridCol w:w="605"/>
        <w:gridCol w:w="1728"/>
        <w:gridCol w:w="605"/>
      </w:tblGrid>
      <w:tr w14:paraId="1447F084">
        <w:trPr>
          <w:cantSplit/>
          <w:tblHeader/>
          <w:jc w:val="center"/>
        </w:trPr>
        <w:tc>
          <w:tcPr>
            <w:tcW w:w="86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B4AC95F">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Outcomes</w:t>
            </w:r>
          </w:p>
        </w:tc>
        <w:tc>
          <w:tcPr>
            <w:tcW w:w="100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7D39A73F">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PTV levels</w:t>
            </w:r>
          </w:p>
        </w:tc>
        <w:tc>
          <w:tcPr>
            <w:tcW w:w="1796"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6333ADA5">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Unadjusted OR (95% CI)</w:t>
            </w:r>
          </w:p>
        </w:tc>
        <w:tc>
          <w:tcPr>
            <w:tcW w:w="599"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10CEFF66">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w:t>
            </w:r>
          </w:p>
        </w:tc>
        <w:tc>
          <w:tcPr>
            <w:tcW w:w="1666"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266400A">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sz w:val="16"/>
                <w:szCs w:val="16"/>
              </w:rPr>
              <w:t>Model 1 OR (95% CI)</w:t>
            </w:r>
            <w:r>
              <w:rPr>
                <w:rFonts w:ascii="Times New Roman" w:hAnsi="Times New Roman" w:eastAsia="Times New Roman" w:cs="Times New Roman"/>
                <w:sz w:val="16"/>
                <w:szCs w:val="16"/>
                <w:vertAlign w:val="superscript"/>
              </w:rPr>
              <w:t>a</w:t>
            </w:r>
          </w:p>
        </w:tc>
        <w:tc>
          <w:tcPr>
            <w:tcW w:w="605"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67499086">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w:t>
            </w:r>
          </w:p>
        </w:tc>
        <w:tc>
          <w:tcPr>
            <w:tcW w:w="172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30F712F3">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Model 2 OR (95% CI)</w:t>
            </w:r>
            <w:r>
              <w:rPr>
                <w:rFonts w:ascii="Times New Roman" w:hAnsi="Times New Roman" w:eastAsia="Times New Roman" w:cs="Times New Roman"/>
                <w:b w:val="0"/>
                <w:color w:val="000000"/>
                <w:sz w:val="16"/>
                <w:szCs w:val="16"/>
                <w:vertAlign w:val="superscript"/>
              </w:rPr>
              <w:t>b</w:t>
            </w:r>
          </w:p>
        </w:tc>
        <w:tc>
          <w:tcPr>
            <w:tcW w:w="605"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1A2D8DFE">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w:t>
            </w:r>
          </w:p>
        </w:tc>
        <w:tc>
          <w:tcPr>
            <w:tcW w:w="172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C8B3E36">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Model 3 OR (95% CI)</w:t>
            </w:r>
            <w:r>
              <w:rPr>
                <w:rFonts w:ascii="Times New Roman" w:hAnsi="Times New Roman" w:eastAsia="Times New Roman" w:cs="Times New Roman"/>
                <w:b w:val="0"/>
                <w:color w:val="000000"/>
                <w:sz w:val="16"/>
                <w:szCs w:val="16"/>
                <w:vertAlign w:val="superscript"/>
              </w:rPr>
              <w:t>c</w:t>
            </w:r>
          </w:p>
        </w:tc>
        <w:tc>
          <w:tcPr>
            <w:tcW w:w="605"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2B8033E">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w:t>
            </w:r>
          </w:p>
        </w:tc>
        <w:tc>
          <w:tcPr>
            <w:tcW w:w="172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3FBA319C">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Model 4 OR (95% CI)</w:t>
            </w:r>
            <w:r>
              <w:rPr>
                <w:rFonts w:ascii="Times New Roman" w:hAnsi="Times New Roman" w:eastAsia="Times New Roman" w:cs="Times New Roman"/>
                <w:b w:val="0"/>
                <w:color w:val="000000"/>
                <w:sz w:val="16"/>
                <w:szCs w:val="16"/>
                <w:vertAlign w:val="superscript"/>
              </w:rPr>
              <w:t>d</w:t>
            </w:r>
          </w:p>
        </w:tc>
        <w:tc>
          <w:tcPr>
            <w:tcW w:w="605"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4095DC5E">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P</w:t>
            </w:r>
          </w:p>
        </w:tc>
      </w:tr>
      <w:tr w14:paraId="25E8ED8D">
        <w:trPr>
          <w:cantSplit/>
          <w:jc w:val="center"/>
        </w:trPr>
        <w:tc>
          <w:tcPr>
            <w:tcW w:w="864" w:type="dxa"/>
            <w:tcBorders>
              <w:top w:val="nil"/>
              <w:left w:val="nil"/>
              <w:bottom w:val="nil"/>
              <w:right w:val="nil"/>
              <w:insideH w:val="nil"/>
              <w:insideV w:val="nil"/>
            </w:tcBorders>
            <w:tcMar>
              <w:top w:w="18" w:type="dxa"/>
              <w:left w:w="45" w:type="dxa"/>
              <w:bottom w:w="18" w:type="dxa"/>
              <w:right w:w="45" w:type="dxa"/>
            </w:tcMar>
            <w:vAlign w:val="center"/>
          </w:tcPr>
          <w:p w14:paraId="00EB24B6">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mRS 0-2</w:t>
            </w:r>
          </w:p>
        </w:tc>
        <w:tc>
          <w:tcPr>
            <w:tcW w:w="1008" w:type="dxa"/>
            <w:tcBorders>
              <w:top w:val="nil"/>
              <w:left w:val="nil"/>
              <w:bottom w:val="nil"/>
              <w:right w:val="nil"/>
              <w:insideH w:val="nil"/>
              <w:insideV w:val="nil"/>
            </w:tcBorders>
            <w:tcMar>
              <w:top w:w="18" w:type="dxa"/>
              <w:left w:w="45" w:type="dxa"/>
              <w:bottom w:w="18" w:type="dxa"/>
              <w:right w:w="45" w:type="dxa"/>
            </w:tcMar>
            <w:vAlign w:val="center"/>
          </w:tcPr>
          <w:p w14:paraId="1D0214E9">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Continuous</w:t>
            </w:r>
          </w:p>
        </w:tc>
        <w:tc>
          <w:tcPr>
            <w:tcW w:w="1796" w:type="dxa"/>
            <w:tcBorders>
              <w:top w:val="nil"/>
              <w:left w:val="nil"/>
              <w:bottom w:val="nil"/>
              <w:right w:val="nil"/>
              <w:insideH w:val="nil"/>
              <w:insideV w:val="nil"/>
            </w:tcBorders>
            <w:tcMar>
              <w:top w:w="18" w:type="dxa"/>
              <w:left w:w="45" w:type="dxa"/>
              <w:bottom w:w="18" w:type="dxa"/>
              <w:right w:w="45" w:type="dxa"/>
            </w:tcMar>
            <w:vAlign w:val="center"/>
          </w:tcPr>
          <w:p w14:paraId="0BA033E9">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0.94 (0.904-0.970)</w:t>
            </w:r>
          </w:p>
        </w:tc>
        <w:tc>
          <w:tcPr>
            <w:tcW w:w="599" w:type="dxa"/>
            <w:tcBorders>
              <w:top w:val="nil"/>
              <w:left w:val="nil"/>
              <w:bottom w:val="nil"/>
              <w:right w:val="nil"/>
              <w:insideH w:val="nil"/>
              <w:insideV w:val="nil"/>
            </w:tcBorders>
            <w:tcMar>
              <w:top w:w="18" w:type="dxa"/>
              <w:left w:w="45" w:type="dxa"/>
              <w:bottom w:w="18" w:type="dxa"/>
              <w:right w:w="45" w:type="dxa"/>
            </w:tcMar>
            <w:vAlign w:val="center"/>
          </w:tcPr>
          <w:p w14:paraId="654342CB">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&lt;0.001</w:t>
            </w:r>
          </w:p>
        </w:tc>
        <w:tc>
          <w:tcPr>
            <w:tcW w:w="1666" w:type="dxa"/>
            <w:tcBorders>
              <w:top w:val="nil"/>
              <w:left w:val="nil"/>
              <w:bottom w:val="nil"/>
              <w:right w:val="nil"/>
              <w:insideH w:val="nil"/>
              <w:insideV w:val="nil"/>
            </w:tcBorders>
            <w:tcMar>
              <w:top w:w="18" w:type="dxa"/>
              <w:left w:w="45" w:type="dxa"/>
              <w:bottom w:w="18" w:type="dxa"/>
              <w:right w:w="45" w:type="dxa"/>
            </w:tcMar>
            <w:vAlign w:val="center"/>
          </w:tcPr>
          <w:p w14:paraId="3A0E1D88">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0.95 (0.911-0.989)</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142EFC6E">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0.013</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5E24F24F">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0.95 (0.909-0.996)</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3E7487CC">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0.035</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46F7584F">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0.95 (0.902-0.992)</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5D0AE29C">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0.022</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25A8E11D">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0.94 (0.895-0.990)</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3944402D">
            <w:pPr>
              <w:keepNext/>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0.019</w:t>
            </w:r>
          </w:p>
        </w:tc>
      </w:tr>
      <w:tr w14:paraId="71325327">
        <w:trPr>
          <w:cantSplit/>
          <w:jc w:val="center"/>
        </w:trPr>
        <w:tc>
          <w:tcPr>
            <w:tcW w:w="864" w:type="dxa"/>
            <w:tcBorders>
              <w:top w:val="nil"/>
              <w:left w:val="nil"/>
              <w:bottom w:val="nil"/>
              <w:right w:val="nil"/>
              <w:insideH w:val="nil"/>
              <w:insideV w:val="nil"/>
            </w:tcBorders>
            <w:tcMar>
              <w:top w:w="18" w:type="dxa"/>
              <w:left w:w="45" w:type="dxa"/>
              <w:bottom w:w="18" w:type="dxa"/>
              <w:right w:w="45" w:type="dxa"/>
            </w:tcMar>
            <w:vAlign w:val="center"/>
          </w:tcPr>
          <w:p w14:paraId="40ACDAD0">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008" w:type="dxa"/>
            <w:tcBorders>
              <w:top w:val="nil"/>
              <w:left w:val="nil"/>
              <w:bottom w:val="nil"/>
              <w:right w:val="nil"/>
              <w:insideH w:val="nil"/>
              <w:insideV w:val="nil"/>
            </w:tcBorders>
            <w:tcMar>
              <w:top w:w="18" w:type="dxa"/>
              <w:left w:w="45" w:type="dxa"/>
              <w:bottom w:w="18" w:type="dxa"/>
              <w:right w:w="45" w:type="dxa"/>
            </w:tcMar>
            <w:vAlign w:val="center"/>
          </w:tcPr>
          <w:p w14:paraId="473795C3">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Quartile 1</w:t>
            </w:r>
          </w:p>
        </w:tc>
        <w:tc>
          <w:tcPr>
            <w:tcW w:w="1796" w:type="dxa"/>
            <w:tcBorders>
              <w:top w:val="nil"/>
              <w:left w:val="nil"/>
              <w:bottom w:val="nil"/>
              <w:right w:val="nil"/>
              <w:insideH w:val="nil"/>
              <w:insideV w:val="nil"/>
            </w:tcBorders>
            <w:tcMar>
              <w:top w:w="18" w:type="dxa"/>
              <w:left w:w="45" w:type="dxa"/>
              <w:bottom w:w="18" w:type="dxa"/>
              <w:right w:w="45" w:type="dxa"/>
            </w:tcMar>
            <w:vAlign w:val="center"/>
          </w:tcPr>
          <w:p w14:paraId="175E4D8E">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Reference</w:t>
            </w:r>
          </w:p>
        </w:tc>
        <w:tc>
          <w:tcPr>
            <w:tcW w:w="599" w:type="dxa"/>
            <w:tcBorders>
              <w:top w:val="nil"/>
              <w:left w:val="nil"/>
              <w:bottom w:val="nil"/>
              <w:right w:val="nil"/>
              <w:insideH w:val="nil"/>
              <w:insideV w:val="nil"/>
            </w:tcBorders>
            <w:tcMar>
              <w:top w:w="18" w:type="dxa"/>
              <w:left w:w="45" w:type="dxa"/>
              <w:bottom w:w="18" w:type="dxa"/>
              <w:right w:w="45" w:type="dxa"/>
            </w:tcMar>
            <w:vAlign w:val="center"/>
          </w:tcPr>
          <w:p w14:paraId="0797735F">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666" w:type="dxa"/>
            <w:tcBorders>
              <w:top w:val="nil"/>
              <w:left w:val="nil"/>
              <w:bottom w:val="nil"/>
              <w:right w:val="nil"/>
              <w:insideH w:val="nil"/>
              <w:insideV w:val="nil"/>
            </w:tcBorders>
            <w:tcMar>
              <w:top w:w="18" w:type="dxa"/>
              <w:left w:w="45" w:type="dxa"/>
              <w:bottom w:w="18" w:type="dxa"/>
              <w:right w:w="45" w:type="dxa"/>
            </w:tcMar>
            <w:vAlign w:val="center"/>
          </w:tcPr>
          <w:p w14:paraId="7BE3E2E2">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Reference</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6C0ED044">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00598F7">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Reference</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2C3EF663">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24D3CCB9">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Reference</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2C9E082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5828E6FB">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Reference</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51E8FE0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r>
      <w:tr w14:paraId="7C3040BA">
        <w:trPr>
          <w:cantSplit/>
          <w:jc w:val="center"/>
        </w:trPr>
        <w:tc>
          <w:tcPr>
            <w:tcW w:w="864" w:type="dxa"/>
            <w:tcBorders>
              <w:top w:val="nil"/>
              <w:left w:val="nil"/>
              <w:bottom w:val="nil"/>
              <w:right w:val="nil"/>
              <w:insideH w:val="nil"/>
              <w:insideV w:val="nil"/>
            </w:tcBorders>
            <w:tcMar>
              <w:top w:w="18" w:type="dxa"/>
              <w:left w:w="45" w:type="dxa"/>
              <w:bottom w:w="18" w:type="dxa"/>
              <w:right w:w="45" w:type="dxa"/>
            </w:tcMar>
            <w:vAlign w:val="center"/>
          </w:tcPr>
          <w:p w14:paraId="109DCE61">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008" w:type="dxa"/>
            <w:tcBorders>
              <w:top w:val="nil"/>
              <w:left w:val="nil"/>
              <w:bottom w:val="nil"/>
              <w:right w:val="nil"/>
              <w:insideH w:val="nil"/>
              <w:insideV w:val="nil"/>
            </w:tcBorders>
            <w:tcMar>
              <w:top w:w="18" w:type="dxa"/>
              <w:left w:w="45" w:type="dxa"/>
              <w:bottom w:w="18" w:type="dxa"/>
              <w:right w:w="45" w:type="dxa"/>
            </w:tcMar>
            <w:vAlign w:val="center"/>
          </w:tcPr>
          <w:p w14:paraId="7FF86C03">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Quartile 2</w:t>
            </w:r>
          </w:p>
        </w:tc>
        <w:tc>
          <w:tcPr>
            <w:tcW w:w="1796" w:type="dxa"/>
            <w:tcBorders>
              <w:top w:val="nil"/>
              <w:left w:val="nil"/>
              <w:bottom w:val="nil"/>
              <w:right w:val="nil"/>
              <w:insideH w:val="nil"/>
              <w:insideV w:val="nil"/>
            </w:tcBorders>
            <w:tcMar>
              <w:top w:w="18" w:type="dxa"/>
              <w:left w:w="45" w:type="dxa"/>
              <w:bottom w:w="18" w:type="dxa"/>
              <w:right w:w="45" w:type="dxa"/>
            </w:tcMar>
            <w:vAlign w:val="center"/>
          </w:tcPr>
          <w:p w14:paraId="79CA3D51">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0.60 (0.344-1.041)</w:t>
            </w:r>
          </w:p>
        </w:tc>
        <w:tc>
          <w:tcPr>
            <w:tcW w:w="599" w:type="dxa"/>
            <w:tcBorders>
              <w:top w:val="nil"/>
              <w:left w:val="nil"/>
              <w:bottom w:val="nil"/>
              <w:right w:val="nil"/>
              <w:insideH w:val="nil"/>
              <w:insideV w:val="nil"/>
            </w:tcBorders>
            <w:tcMar>
              <w:top w:w="18" w:type="dxa"/>
              <w:left w:w="45" w:type="dxa"/>
              <w:bottom w:w="18" w:type="dxa"/>
              <w:right w:w="45" w:type="dxa"/>
            </w:tcMar>
            <w:vAlign w:val="center"/>
          </w:tcPr>
          <w:p w14:paraId="082F72AF">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0.069</w:t>
            </w:r>
          </w:p>
        </w:tc>
        <w:tc>
          <w:tcPr>
            <w:tcW w:w="1666" w:type="dxa"/>
            <w:tcBorders>
              <w:top w:val="nil"/>
              <w:left w:val="nil"/>
              <w:bottom w:val="nil"/>
              <w:right w:val="nil"/>
              <w:insideH w:val="nil"/>
              <w:insideV w:val="nil"/>
            </w:tcBorders>
            <w:tcMar>
              <w:top w:w="18" w:type="dxa"/>
              <w:left w:w="45" w:type="dxa"/>
              <w:bottom w:w="18" w:type="dxa"/>
              <w:right w:w="45" w:type="dxa"/>
            </w:tcMar>
            <w:vAlign w:val="center"/>
          </w:tcPr>
          <w:p w14:paraId="5993F3B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0.67 (0.379-1.200)</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39E8112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hint="eastAsia" w:ascii="Times New Roman" w:hAnsi="Times New Roman" w:eastAsia="Times New Roman" w:cs="Times New Roman"/>
                <w:b w:val="0"/>
                <w:i w:val="0"/>
                <w:strike w:val="0"/>
                <w:color w:val="000000"/>
                <w:sz w:val="16"/>
                <w:szCs w:val="16"/>
                <w:u w:val="none"/>
                <w:lang w:val="en-US" w:eastAsia="zh-CN"/>
              </w:rPr>
            </w:pPr>
            <w:r>
              <w:rPr>
                <w:rFonts w:ascii="Times New Roman" w:hAnsi="Times New Roman" w:eastAsia="Times New Roman" w:cs="Times New Roman"/>
                <w:b w:val="0"/>
                <w:i w:val="0"/>
                <w:strike w:val="0"/>
                <w:color w:val="000000"/>
                <w:sz w:val="16"/>
                <w:szCs w:val="16"/>
                <w:u w:val="none"/>
              </w:rPr>
              <w:t>0.18</w:t>
            </w:r>
            <w:r>
              <w:rPr>
                <w:rFonts w:hint="eastAsia" w:ascii="Times New Roman" w:hAnsi="Times New Roman" w:eastAsia="Times New Roman" w:cs="Times New Roman"/>
                <w:b w:val="0"/>
                <w:i w:val="0"/>
                <w:strike w:val="0"/>
                <w:color w:val="000000"/>
                <w:sz w:val="16"/>
                <w:szCs w:val="16"/>
                <w:u w:val="none"/>
                <w:lang w:val="en-US" w:eastAsia="zh-CN"/>
              </w:rPr>
              <w:t>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719F9340">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0.64 (0.333-1.213)</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45ABBBE8">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0.169</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13C711FA">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0.66 (0.338-1.301)</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3124F5CC">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0.232</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031AA7CD">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0.61 (0.304-1.238)</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3D25320D">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0.173</w:t>
            </w:r>
          </w:p>
        </w:tc>
      </w:tr>
      <w:tr w14:paraId="272F8AC0">
        <w:trPr>
          <w:cantSplit/>
          <w:jc w:val="center"/>
        </w:trPr>
        <w:tc>
          <w:tcPr>
            <w:tcW w:w="864" w:type="dxa"/>
            <w:tcBorders>
              <w:top w:val="nil"/>
              <w:left w:val="nil"/>
              <w:bottom w:val="nil"/>
              <w:right w:val="nil"/>
              <w:insideH w:val="nil"/>
              <w:insideV w:val="nil"/>
            </w:tcBorders>
            <w:tcMar>
              <w:top w:w="18" w:type="dxa"/>
              <w:left w:w="45" w:type="dxa"/>
              <w:bottom w:w="18" w:type="dxa"/>
              <w:right w:w="45" w:type="dxa"/>
            </w:tcMar>
            <w:vAlign w:val="center"/>
          </w:tcPr>
          <w:p w14:paraId="78D470CE">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008" w:type="dxa"/>
            <w:tcBorders>
              <w:top w:val="nil"/>
              <w:left w:val="nil"/>
              <w:bottom w:val="nil"/>
              <w:right w:val="nil"/>
              <w:insideH w:val="nil"/>
              <w:insideV w:val="nil"/>
            </w:tcBorders>
            <w:tcMar>
              <w:top w:w="18" w:type="dxa"/>
              <w:left w:w="45" w:type="dxa"/>
              <w:bottom w:w="18" w:type="dxa"/>
              <w:right w:w="45" w:type="dxa"/>
            </w:tcMar>
            <w:vAlign w:val="center"/>
          </w:tcPr>
          <w:p w14:paraId="20925499">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Quartile 3</w:t>
            </w:r>
          </w:p>
        </w:tc>
        <w:tc>
          <w:tcPr>
            <w:tcW w:w="1796" w:type="dxa"/>
            <w:tcBorders>
              <w:top w:val="nil"/>
              <w:left w:val="nil"/>
              <w:bottom w:val="nil"/>
              <w:right w:val="nil"/>
              <w:insideH w:val="nil"/>
              <w:insideV w:val="nil"/>
            </w:tcBorders>
            <w:tcMar>
              <w:top w:w="18" w:type="dxa"/>
              <w:left w:w="45" w:type="dxa"/>
              <w:bottom w:w="18" w:type="dxa"/>
              <w:right w:w="45" w:type="dxa"/>
            </w:tcMar>
            <w:vAlign w:val="center"/>
          </w:tcPr>
          <w:p w14:paraId="7768575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0.65 (0.372-1.126)</w:t>
            </w:r>
          </w:p>
        </w:tc>
        <w:tc>
          <w:tcPr>
            <w:tcW w:w="599" w:type="dxa"/>
            <w:tcBorders>
              <w:top w:val="nil"/>
              <w:left w:val="nil"/>
              <w:bottom w:val="nil"/>
              <w:right w:val="nil"/>
              <w:insideH w:val="nil"/>
              <w:insideV w:val="nil"/>
            </w:tcBorders>
            <w:tcMar>
              <w:top w:w="18" w:type="dxa"/>
              <w:left w:w="45" w:type="dxa"/>
              <w:bottom w:w="18" w:type="dxa"/>
              <w:right w:w="45" w:type="dxa"/>
            </w:tcMar>
            <w:vAlign w:val="center"/>
          </w:tcPr>
          <w:p w14:paraId="4CADD212">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0.123</w:t>
            </w:r>
          </w:p>
        </w:tc>
        <w:tc>
          <w:tcPr>
            <w:tcW w:w="1666" w:type="dxa"/>
            <w:tcBorders>
              <w:top w:val="nil"/>
              <w:left w:val="nil"/>
              <w:bottom w:val="nil"/>
              <w:right w:val="nil"/>
              <w:insideH w:val="nil"/>
              <w:insideV w:val="nil"/>
            </w:tcBorders>
            <w:tcMar>
              <w:top w:w="18" w:type="dxa"/>
              <w:left w:w="45" w:type="dxa"/>
              <w:bottom w:w="18" w:type="dxa"/>
              <w:right w:w="45" w:type="dxa"/>
            </w:tcMar>
            <w:vAlign w:val="center"/>
          </w:tcPr>
          <w:p w14:paraId="476D9588">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0.75 (0.415-1.350)</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339204F4">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0.336</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30B680B0">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0.91 (0.473-1.742)</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55B1BAA6">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0.771</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35EAF07E">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0.85 (0.430-1.674)</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5CF51FB3">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0.636</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4E51E618">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0.66 (0.321-1.338)</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072849AF">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0.246</w:t>
            </w:r>
          </w:p>
        </w:tc>
      </w:tr>
      <w:tr w14:paraId="40AED6A7">
        <w:trPr>
          <w:cantSplit/>
          <w:jc w:val="center"/>
        </w:trPr>
        <w:tc>
          <w:tcPr>
            <w:tcW w:w="864" w:type="dxa"/>
            <w:tcBorders>
              <w:top w:val="nil"/>
              <w:left w:val="nil"/>
              <w:bottom w:val="nil"/>
              <w:right w:val="nil"/>
              <w:insideH w:val="nil"/>
              <w:insideV w:val="nil"/>
            </w:tcBorders>
            <w:tcMar>
              <w:top w:w="18" w:type="dxa"/>
              <w:left w:w="45" w:type="dxa"/>
              <w:bottom w:w="18" w:type="dxa"/>
              <w:right w:w="45" w:type="dxa"/>
            </w:tcMar>
            <w:vAlign w:val="center"/>
          </w:tcPr>
          <w:p w14:paraId="7E1C4C90">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008" w:type="dxa"/>
            <w:tcBorders>
              <w:top w:val="nil"/>
              <w:left w:val="nil"/>
              <w:bottom w:val="nil"/>
              <w:right w:val="nil"/>
              <w:insideH w:val="nil"/>
              <w:insideV w:val="nil"/>
            </w:tcBorders>
            <w:tcMar>
              <w:top w:w="18" w:type="dxa"/>
              <w:left w:w="45" w:type="dxa"/>
              <w:bottom w:w="18" w:type="dxa"/>
              <w:right w:w="45" w:type="dxa"/>
            </w:tcMar>
            <w:vAlign w:val="center"/>
          </w:tcPr>
          <w:p w14:paraId="282084BB">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Quartile 4</w:t>
            </w:r>
          </w:p>
        </w:tc>
        <w:tc>
          <w:tcPr>
            <w:tcW w:w="1796" w:type="dxa"/>
            <w:tcBorders>
              <w:top w:val="nil"/>
              <w:left w:val="nil"/>
              <w:bottom w:val="nil"/>
              <w:right w:val="nil"/>
              <w:insideH w:val="nil"/>
              <w:insideV w:val="nil"/>
            </w:tcBorders>
            <w:tcMar>
              <w:top w:w="18" w:type="dxa"/>
              <w:left w:w="45" w:type="dxa"/>
              <w:bottom w:w="18" w:type="dxa"/>
              <w:right w:w="45" w:type="dxa"/>
            </w:tcMar>
            <w:vAlign w:val="center"/>
          </w:tcPr>
          <w:p w14:paraId="7484C5AB">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0.38 (0.217-0.672)</w:t>
            </w:r>
          </w:p>
        </w:tc>
        <w:tc>
          <w:tcPr>
            <w:tcW w:w="599" w:type="dxa"/>
            <w:tcBorders>
              <w:top w:val="nil"/>
              <w:left w:val="nil"/>
              <w:bottom w:val="nil"/>
              <w:right w:val="nil"/>
              <w:insideH w:val="nil"/>
              <w:insideV w:val="nil"/>
            </w:tcBorders>
            <w:tcMar>
              <w:top w:w="18" w:type="dxa"/>
              <w:left w:w="45" w:type="dxa"/>
              <w:bottom w:w="18" w:type="dxa"/>
              <w:right w:w="45" w:type="dxa"/>
            </w:tcMar>
            <w:vAlign w:val="center"/>
          </w:tcPr>
          <w:p w14:paraId="2DAC10DA">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&lt;0.001</w:t>
            </w:r>
          </w:p>
        </w:tc>
        <w:tc>
          <w:tcPr>
            <w:tcW w:w="1666" w:type="dxa"/>
            <w:tcBorders>
              <w:top w:val="nil"/>
              <w:left w:val="nil"/>
              <w:bottom w:val="nil"/>
              <w:right w:val="nil"/>
              <w:insideH w:val="nil"/>
              <w:insideV w:val="nil"/>
            </w:tcBorders>
            <w:tcMar>
              <w:top w:w="18" w:type="dxa"/>
              <w:left w:w="45" w:type="dxa"/>
              <w:bottom w:w="18" w:type="dxa"/>
              <w:right w:w="45" w:type="dxa"/>
            </w:tcMar>
            <w:vAlign w:val="center"/>
          </w:tcPr>
          <w:p w14:paraId="1B9E2F6B">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0.50 (0.258-0.966)</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096BB102">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0.039</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3C753EF6">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0.49 (0.232-1.019)</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77AC21A9">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0.056</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7CDD74A9">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0.45 (0.208-0.967)</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1AE6700A">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0.041</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1378F326">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0.41 (0.183-0.911)</w:t>
            </w:r>
          </w:p>
        </w:tc>
        <w:tc>
          <w:tcPr>
            <w:tcW w:w="605" w:type="dxa"/>
            <w:tcBorders>
              <w:top w:val="nil"/>
              <w:left w:val="nil"/>
              <w:bottom w:val="nil"/>
              <w:right w:val="nil"/>
              <w:insideH w:val="nil"/>
              <w:insideV w:val="nil"/>
            </w:tcBorders>
            <w:tcMar>
              <w:top w:w="18" w:type="dxa"/>
              <w:left w:w="45" w:type="dxa"/>
              <w:bottom w:w="18" w:type="dxa"/>
              <w:right w:w="45" w:type="dxa"/>
            </w:tcMar>
            <w:vAlign w:val="center"/>
          </w:tcPr>
          <w:p w14:paraId="2CB600AF">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r>
              <w:rPr>
                <w:rFonts w:ascii="Times New Roman" w:hAnsi="Times New Roman" w:eastAsia="Times New Roman" w:cs="Times New Roman"/>
                <w:b w:val="0"/>
                <w:i w:val="0"/>
                <w:strike w:val="0"/>
                <w:color w:val="000000"/>
                <w:sz w:val="16"/>
                <w:szCs w:val="16"/>
                <w:u w:val="none"/>
              </w:rPr>
              <w:t>0.029</w:t>
            </w:r>
          </w:p>
        </w:tc>
      </w:tr>
      <w:tr w14:paraId="2BCDEAD2">
        <w:trPr>
          <w:cantSplit/>
          <w:jc w:val="center"/>
        </w:trPr>
        <w:tc>
          <w:tcPr>
            <w:tcW w:w="864"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40249AEA">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00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93F3D96">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96"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5F94D62">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599"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7B50DEAB">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666"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A4B342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605"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C3FE4AC">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2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2F6D54B">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605"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AA7BE01">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2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0A84B422">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605"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410FC5A5">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172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4589E976">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c>
          <w:tcPr>
            <w:tcW w:w="605"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20A4ACCE">
            <w:pPr>
              <w:keepNext w:val="0"/>
              <w:keepLines/>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left"/>
              <w:rPr>
                <w:rFonts w:ascii="Times New Roman" w:hAnsi="Times New Roman" w:eastAsia="Times New Roman" w:cs="Times New Roman"/>
                <w:b w:val="0"/>
                <w:i w:val="0"/>
                <w:strike w:val="0"/>
                <w:color w:val="000000"/>
                <w:sz w:val="16"/>
                <w:szCs w:val="16"/>
                <w:u w:val="none"/>
              </w:rPr>
            </w:pPr>
          </w:p>
        </w:tc>
      </w:tr>
    </w:tbl>
    <w:p w14:paraId="7FE9E09B">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bCs/>
          <w:sz w:val="16"/>
          <w:szCs w:val="20"/>
          <w:vertAlign w:val="superscript"/>
        </w:rPr>
        <w:t>a</w:t>
      </w:r>
      <w:r>
        <w:rPr>
          <w:rFonts w:hint="default" w:ascii="Times New Roman" w:hAnsi="Times New Roman" w:eastAsia="Times New Roman" w:cs="Times New Roman"/>
          <w:b/>
          <w:bCs/>
          <w:sz w:val="16"/>
          <w:szCs w:val="20"/>
        </w:rPr>
        <w:t xml:space="preserve"> </w:t>
      </w:r>
      <w:r>
        <w:rPr>
          <w:rFonts w:hint="default" w:ascii="Times New Roman" w:hAnsi="Times New Roman" w:eastAsia="Times New Roman" w:cs="Times New Roman"/>
          <w:sz w:val="16"/>
          <w:szCs w:val="20"/>
        </w:rPr>
        <w:t>A</w:t>
      </w:r>
      <w:r>
        <w:rPr>
          <w:rFonts w:hint="default" w:ascii="Times New Roman" w:hAnsi="Times New Roman" w:eastAsia="Times New Roman" w:cs="Times New Roman"/>
          <w:b w:val="0"/>
          <w:bCs w:val="0"/>
          <w:color w:val="auto"/>
          <w:sz w:val="16"/>
          <w:szCs w:val="20"/>
          <w:lang w:val="en-US" w:eastAsia="zh-CN"/>
        </w:rPr>
        <w:t>djusted for age, atrial fibrillation, diabetes</w:t>
      </w:r>
    </w:p>
    <w:p w14:paraId="34649C90">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bCs/>
          <w:sz w:val="16"/>
          <w:szCs w:val="20"/>
          <w:vertAlign w:val="superscript"/>
        </w:rPr>
        <w:t>b</w:t>
      </w:r>
      <w:r>
        <w:rPr>
          <w:rFonts w:ascii="Times New Roman" w:hAnsi="Times New Roman" w:eastAsia="Times New Roman" w:cs="Times New Roman"/>
          <w:sz w:val="16"/>
          <w:szCs w:val="20"/>
          <w:vertAlign w:val="superscript"/>
        </w:rPr>
        <w:t xml:space="preserve"> </w:t>
      </w:r>
      <w:r>
        <w:rPr>
          <w:rFonts w:hint="default" w:ascii="Times New Roman" w:hAnsi="Times New Roman" w:eastAsia="Times New Roman" w:cs="Times New Roman"/>
          <w:b w:val="0"/>
          <w:bCs w:val="0"/>
          <w:color w:val="auto"/>
          <w:sz w:val="16"/>
          <w:szCs w:val="20"/>
          <w:lang w:val="en-US" w:eastAsia="zh-CN"/>
        </w:rPr>
        <w:t>Adjusted for age, atrial fibrillation, diabetes, TOAST, occlusion, ASPECTS, NIHSS</w:t>
      </w:r>
    </w:p>
    <w:p w14:paraId="41633077">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bCs/>
          <w:sz w:val="16"/>
          <w:szCs w:val="20"/>
          <w:vertAlign w:val="superscript"/>
        </w:rPr>
        <w:t xml:space="preserve">c </w:t>
      </w:r>
      <w:r>
        <w:rPr>
          <w:rFonts w:hint="eastAsia" w:ascii="Times New Roman" w:hAnsi="Times New Roman" w:eastAsia="Times New Roman" w:cs="Times New Roman"/>
          <w:b/>
          <w:bCs/>
          <w:sz w:val="16"/>
          <w:szCs w:val="20"/>
          <w:vertAlign w:val="superscript"/>
          <w:lang w:val="en-US" w:eastAsia="zh-CN"/>
        </w:rPr>
        <w:t xml:space="preserve"> </w:t>
      </w:r>
      <w:r>
        <w:rPr>
          <w:rFonts w:hint="default" w:ascii="Times New Roman" w:hAnsi="Times New Roman" w:eastAsia="Times New Roman" w:cs="Times New Roman"/>
          <w:b w:val="0"/>
          <w:bCs w:val="0"/>
          <w:color w:val="auto"/>
          <w:sz w:val="16"/>
          <w:szCs w:val="20"/>
          <w:lang w:val="en-US" w:eastAsia="zh-CN"/>
        </w:rPr>
        <w:t>Adjusted for age, atrial fibrillation, diabetes, TOAST, occlusion, ASPECTS, NIHSS, TWT, eTICI</w:t>
      </w:r>
    </w:p>
    <w:p w14:paraId="0C0D747D">
      <w:pPr>
        <w:keepNext w:val="0"/>
        <w:keepLines w:val="0"/>
        <w:pageBreakBefore w:val="0"/>
        <w:widowControl/>
        <w:suppressLineNumbers w:val="0"/>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bCs/>
          <w:sz w:val="16"/>
          <w:szCs w:val="20"/>
          <w:vertAlign w:val="superscript"/>
        </w:rPr>
        <w:t>d</w:t>
      </w:r>
      <w:r>
        <w:rPr>
          <w:rFonts w:hint="default" w:ascii="Times New Roman" w:hAnsi="Times New Roman" w:eastAsia="Times New Roman" w:cs="Times New Roman"/>
          <w:b/>
          <w:bCs/>
          <w:color w:val="auto"/>
          <w:sz w:val="16"/>
          <w:szCs w:val="20"/>
          <w:vertAlign w:val="superscript"/>
          <w:lang w:val="en-US" w:eastAsia="zh-CN"/>
        </w:rPr>
        <w:t xml:space="preserve"> </w:t>
      </w:r>
      <w:r>
        <w:rPr>
          <w:rFonts w:hint="default" w:ascii="Times New Roman" w:hAnsi="Times New Roman" w:eastAsia="Times New Roman" w:cs="Times New Roman"/>
          <w:b w:val="0"/>
          <w:bCs w:val="0"/>
          <w:color w:val="auto"/>
          <w:sz w:val="16"/>
          <w:szCs w:val="20"/>
          <w:lang w:val="en-US" w:eastAsia="zh-CN"/>
        </w:rPr>
        <w:t>Adjusted for age</w:t>
      </w:r>
      <w:bookmarkStart w:id="0" w:name="_GoBack"/>
      <w:bookmarkEnd w:id="0"/>
      <w:r>
        <w:rPr>
          <w:rFonts w:hint="default" w:ascii="Times New Roman" w:hAnsi="Times New Roman" w:eastAsia="Times New Roman" w:cs="Times New Roman"/>
          <w:b w:val="0"/>
          <w:bCs w:val="0"/>
          <w:color w:val="auto"/>
          <w:sz w:val="16"/>
          <w:szCs w:val="20"/>
          <w:lang w:val="en-US" w:eastAsia="zh-CN"/>
        </w:rPr>
        <w:t>, atrial fibrillation, diabetes, TOAST, occlusion, ASPECTS, NIHSS, TWT, eTICI, Tan ≥ 50%, HIR ≤ 0.4</w:t>
      </w:r>
    </w:p>
    <w:p w14:paraId="5D3DDB63">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val="0"/>
          <w:bCs w:val="0"/>
          <w:color w:val="auto"/>
          <w:sz w:val="16"/>
          <w:szCs w:val="20"/>
          <w:lang w:val="en-US" w:eastAsia="zh-CN"/>
        </w:rPr>
        <w:t>Abbreviations: OR, odds ratio; PTV = peak time of venous outflow; NIHSS = National Institutes of Health Stroke Scale; ASPECTS = Alberta Stroke Program Early CT Score; TOAST = Trial of ORG 10172 in Acute Stroke Treatment; eTICI = expanded Treatment in Cerebral Infarction. In the full cohort, treatment workflow time (TWT) was measured from symptom onset to the first angiographic demonstration of successful reperfusion for patients with eTICI ≥2b (n=378), or to the final angiographic run, used as the procedure-completion time, for patients with final eTICI &lt;2b (n=30). The latter values do not represent successful reperfusion times.</w:t>
      </w:r>
    </w:p>
    <w:p w14:paraId="2D84CBCD">
      <w:pPr>
        <w:spacing w:before="0" w:after="0" w:line="240" w:lineRule="auto"/>
      </w:pPr>
    </w:p>
    <w:p w14:paraId="45980819">
      <w:pPr>
        <w:spacing w:before="0" w:after="0" w:line="240" w:lineRule="auto"/>
      </w:pPr>
    </w:p>
    <w:p w14:paraId="27F9D225">
      <w:pPr>
        <w:pStyle w:val="2"/>
        <w:keepNext/>
        <w:bidi w:val="0"/>
        <w:spacing w:before="0" w:after="0" w:line="240" w:lineRule="auto"/>
        <w:ind w:left="360" w:leftChars="0" w:hanging="360" w:firstLineChars="0"/>
        <w:rPr>
          <w:rFonts w:hint="eastAsia" w:ascii="Times New Roman" w:hAnsi="Times New Roman" w:eastAsia="Times New Roman" w:cs="Times New Roman"/>
          <w:lang w:eastAsia="zh-CN"/>
        </w:rPr>
      </w:pPr>
      <w:r>
        <w:rPr>
          <w:rFonts w:ascii="Times New Roman" w:hAnsi="Times New Roman" w:eastAsia="Times New Roman" w:cs="Times New Roman"/>
          <w:sz w:val="20"/>
          <w:szCs w:val="20"/>
        </w:rPr>
        <w:t>Supplementary Figure S5. Subgroup analyses of the association between the peak time of venous outflow and mRS 0-2 at 90 days.</w:t>
      </w:r>
    </w:p>
    <w:p w14:paraId="05009878">
      <w:pPr>
        <w:keepNext/>
        <w:spacing w:before="0" w:after="0" w:line="240" w:lineRule="auto"/>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sz w:val="20"/>
          <w:szCs w:val="20"/>
          <w:lang w:eastAsia="zh-CN"/>
        </w:rPr>
        <w:drawing>
          <wp:inline distT="0" distB="0" distL="114300" distR="114300">
            <wp:extent cx="8138160" cy="4371975"/>
            <wp:effectExtent l="0" t="0" r="16510" b="4445"/>
            <wp:docPr id="1" name="图片 1" descr="Rplot01_副本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plot01_副本_00"/>
                    <pic:cNvPicPr>
                      <a:picLocks noChangeAspect="1"/>
                    </pic:cNvPicPr>
                  </pic:nvPicPr>
                  <pic:blipFill>
                    <a:blip r:embed="rId16"/>
                    <a:stretch>
                      <a:fillRect/>
                    </a:stretch>
                  </pic:blipFill>
                  <pic:spPr>
                    <a:xfrm>
                      <a:off x="0" y="0"/>
                      <a:ext cx="8138160" cy="4371975"/>
                    </a:xfrm>
                    <a:prstGeom prst="rect">
                      <a:avLst/>
                    </a:prstGeom>
                  </pic:spPr>
                </pic:pic>
              </a:graphicData>
            </a:graphic>
          </wp:inline>
        </w:drawing>
      </w:r>
    </w:p>
    <w:p w14:paraId="3D88A73B">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ascii="Times New Roman" w:hAnsi="Times New Roman" w:eastAsia="Times New Roman" w:cs="Times New Roman"/>
          <w:b w:val="0"/>
          <w:sz w:val="16"/>
          <w:szCs w:val="20"/>
        </w:rPr>
        <w:t>Adjusted for age, atrial fibrillation, diabetes, TOAST, occlusion, ASPECTS, NIHSS, TWT, eTICI</w:t>
      </w:r>
    </w:p>
    <w:p w14:paraId="61318879">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sz w:val="20"/>
          <w:szCs w:val="20"/>
          <w:lang w:val="en-US" w:eastAsia="zh-CN"/>
        </w:rPr>
        <w:t>Forest plot showing adjusted odds ratios (ORs) with 95% confidence intervals (CIs) for the association between PTV (analyzed as a continuous variable)</w:t>
      </w:r>
      <w:r>
        <w:rPr>
          <w:rFonts w:hint="eastAsia" w:ascii="Times New Roman" w:hAnsi="Times New Roman" w:eastAsia="Times New Roman" w:cs="Times New Roman"/>
          <w:b w:val="0"/>
          <w:bCs w:val="0"/>
          <w:color w:val="auto"/>
          <w:sz w:val="20"/>
          <w:szCs w:val="20"/>
          <w:lang w:val="en-US" w:eastAsia="zh-CN"/>
        </w:rPr>
        <w:t xml:space="preserve"> </w:t>
      </w:r>
      <w:r>
        <w:rPr>
          <w:rFonts w:hint="default" w:ascii="Times New Roman" w:hAnsi="Times New Roman" w:eastAsia="Times New Roman" w:cs="Times New Roman"/>
          <w:b w:val="0"/>
          <w:bCs w:val="0"/>
          <w:color w:val="auto"/>
          <w:sz w:val="20"/>
          <w:szCs w:val="20"/>
          <w:lang w:val="en-US" w:eastAsia="zh-CN"/>
        </w:rPr>
        <w:t xml:space="preserve">and favorable functional outcome (90-day mRS 0-2) across different subgroups. </w:t>
      </w:r>
    </w:p>
    <w:p w14:paraId="21776E75">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val="0"/>
          <w:bCs w:val="0"/>
          <w:color w:val="auto"/>
          <w:sz w:val="16"/>
          <w:szCs w:val="20"/>
          <w:lang w:val="en-US" w:eastAsia="zh-CN"/>
        </w:rPr>
        <w:t>Abbreviations: NIHSS = National Institutes of Health Stroke Scale; ASPECTS = Alberta Stroke Program Early CT Score; TOAST = Trial of ORG 10172 in Acute Stroke Treatment; LAA = large-artery atherosclerosis; CE = cardioembolism; ICA = internal carotid artery; MCA = middle cerebral artery; TWT = treatment workflow time.</w:t>
      </w:r>
    </w:p>
    <w:p w14:paraId="3BD7FEED">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p>
    <w:p w14:paraId="58A90C15">
      <w:pPr>
        <w:spacing w:before="0" w:after="0" w:line="240" w:lineRule="auto"/>
        <w:rPr>
          <w:rFonts w:ascii="Times New Roman" w:hAnsi="Times New Roman" w:eastAsia="Times New Roman" w:cs="Times New Roman"/>
          <w:sz w:val="20"/>
          <w:szCs w:val="20"/>
        </w:rPr>
      </w:pPr>
    </w:p>
    <w:p w14:paraId="75EF375E">
      <w:pPr>
        <w:keepNext/>
        <w:spacing w:before="0" w:after="0" w:line="240" w:lineRule="auto"/>
        <w:rPr>
          <w:rFonts w:ascii="Times New Roman" w:hAnsi="Times New Roman" w:eastAsia="Times New Roman" w:cs="Times New Roman"/>
          <w:b/>
          <w:sz w:val="20"/>
          <w:szCs w:val="20"/>
        </w:rPr>
      </w:pPr>
      <w:r>
        <w:rPr>
          <w:rFonts w:hint="eastAsia" w:ascii="Times New Roman" w:hAnsi="Times New Roman" w:eastAsia="Times New Roman" w:cs="Times New Roman"/>
          <w:b/>
          <w:sz w:val="20"/>
          <w:szCs w:val="20"/>
          <w:lang w:val="en-US" w:eastAsia="zh-CN"/>
        </w:rPr>
        <w:t>14.</w:t>
      </w:r>
      <w:r>
        <w:rPr>
          <w:rFonts w:ascii="Times New Roman" w:hAnsi="Times New Roman" w:eastAsia="Times New Roman" w:cs="Times New Roman"/>
          <w:b/>
          <w:sz w:val="20"/>
          <w:szCs w:val="20"/>
        </w:rPr>
        <w:t>Supplementary Table S9. Full distribution of the 90-day modified Rankin Scale (mRS 0-6) by mean PTV quartile</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1584"/>
        <w:gridCol w:w="1440"/>
        <w:gridCol w:w="1440"/>
        <w:gridCol w:w="1440"/>
        <w:gridCol w:w="1440"/>
        <w:gridCol w:w="1440"/>
        <w:gridCol w:w="1440"/>
        <w:gridCol w:w="1440"/>
        <w:gridCol w:w="1440"/>
      </w:tblGrid>
      <w:tr w14:paraId="1FD14F47">
        <w:trPr>
          <w:cantSplit/>
          <w:tblHeader/>
          <w:jc w:val="center"/>
        </w:trPr>
        <w:tc>
          <w:tcPr>
            <w:tcW w:w="158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51FAC4F2">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PTV quartile</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5D957B0A">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0</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476BC4E2">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1</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44028013">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2</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34FB9E59">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3</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7796D91">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4</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750561B9">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5</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653800BB">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mRS 6</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1E24B5B5">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Total</w:t>
            </w:r>
          </w:p>
        </w:tc>
      </w:tr>
      <w:tr w14:paraId="356F415A">
        <w:trPr>
          <w:cantSplit/>
          <w:jc w:val="center"/>
        </w:trPr>
        <w:tc>
          <w:tcPr>
            <w:tcW w:w="1584" w:type="dxa"/>
            <w:tcBorders>
              <w:top w:val="nil"/>
              <w:left w:val="nil"/>
              <w:bottom w:val="nil"/>
              <w:right w:val="nil"/>
              <w:insideH w:val="nil"/>
              <w:insideV w:val="nil"/>
            </w:tcBorders>
            <w:tcMar>
              <w:top w:w="18" w:type="dxa"/>
              <w:left w:w="45" w:type="dxa"/>
              <w:bottom w:w="18" w:type="dxa"/>
              <w:right w:w="45" w:type="dxa"/>
            </w:tcMar>
            <w:vAlign w:val="center"/>
          </w:tcPr>
          <w:p w14:paraId="58E79617">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Q1</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42D232E8">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15 (14.7)</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527E76AE">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21 (20.6)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196A668C">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24 (23.5)</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4743B763">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 (6.9)</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30A6C168">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13 (12.7)</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5D7F6652">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4 (3.9)</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0BFE8C5D">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18 (17.6)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B901039">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102</w:t>
            </w:r>
          </w:p>
        </w:tc>
      </w:tr>
      <w:tr w14:paraId="3C08287C">
        <w:trPr>
          <w:cantSplit/>
          <w:jc w:val="center"/>
        </w:trPr>
        <w:tc>
          <w:tcPr>
            <w:tcW w:w="1584" w:type="dxa"/>
            <w:tcBorders>
              <w:top w:val="nil"/>
              <w:left w:val="nil"/>
              <w:bottom w:val="nil"/>
              <w:right w:val="nil"/>
              <w:insideH w:val="nil"/>
              <w:insideV w:val="nil"/>
            </w:tcBorders>
            <w:tcMar>
              <w:top w:w="18" w:type="dxa"/>
              <w:left w:w="45" w:type="dxa"/>
              <w:bottom w:w="18" w:type="dxa"/>
              <w:right w:w="45" w:type="dxa"/>
            </w:tcMar>
            <w:vAlign w:val="center"/>
          </w:tcPr>
          <w:p w14:paraId="4378A51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Q2</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D10B56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16 (15.7)</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3AB642B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19 (18.6)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40E4F22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12 (11.8)</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931967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21 (20.6)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6293A14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9 (8.8)</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144B69F3">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8 (7.8)</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0DFEE0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17 (16.7)</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9EC3EE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102</w:t>
            </w:r>
          </w:p>
        </w:tc>
      </w:tr>
      <w:tr w14:paraId="1CCDEDBA">
        <w:trPr>
          <w:cantSplit/>
          <w:jc w:val="center"/>
        </w:trPr>
        <w:tc>
          <w:tcPr>
            <w:tcW w:w="1584" w:type="dxa"/>
            <w:tcBorders>
              <w:top w:val="nil"/>
              <w:left w:val="nil"/>
              <w:bottom w:val="nil"/>
              <w:right w:val="nil"/>
              <w:insideH w:val="nil"/>
              <w:insideV w:val="nil"/>
            </w:tcBorders>
            <w:tcMar>
              <w:top w:w="18" w:type="dxa"/>
              <w:left w:w="45" w:type="dxa"/>
              <w:bottom w:w="18" w:type="dxa"/>
              <w:right w:w="45" w:type="dxa"/>
            </w:tcMar>
            <w:vAlign w:val="center"/>
          </w:tcPr>
          <w:p w14:paraId="3AA9346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Q3</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1AFFF45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12 (11.8)</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7E4A87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18 (17.6)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08DE877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19 (18.6)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7431AD3">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20 (19.6)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807AC1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8 (7.8)</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4D15061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5 (4.9)</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5E65FE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20 (19.6)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C0E570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102</w:t>
            </w:r>
          </w:p>
        </w:tc>
      </w:tr>
      <w:tr w14:paraId="05EE1DC0">
        <w:trPr>
          <w:cantSplit/>
          <w:jc w:val="center"/>
        </w:trPr>
        <w:tc>
          <w:tcPr>
            <w:tcW w:w="1584"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397927C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Q4</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C3AE95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 (9.8)</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F5A094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16 (15.7)</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239B7BC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 (9.8)</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71AD4A4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16 (15.7)</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476716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12 (11.8)</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01134E2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 (6.9)</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312460C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31 (30.4)</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71A2DB85">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102</w:t>
            </w:r>
          </w:p>
        </w:tc>
      </w:tr>
    </w:tbl>
    <w:p w14:paraId="5BE43F6B">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val="0"/>
          <w:bCs w:val="0"/>
          <w:color w:val="auto"/>
          <w:sz w:val="16"/>
          <w:szCs w:val="20"/>
          <w:lang w:val="en-US" w:eastAsia="zh-CN"/>
        </w:rPr>
        <w:t>Data are n (%) within each quartile; percentages are row-wise and may not sum to 100.0 because of rounding. Quartiles were defined on the two-reader arithmetic-mean PTV using dplyr::ntile(PTV_mean, 4) after ranking values in ascending order. Tied values, if any, were resolved sequentially by ascending original source-file number (the locked CSV row order). Q1 comprised ranks 1–102, Q2 ranks 103–204, Q3 ranks 205–306, and Q4 ranks 307–408. No tied value occurred at an observed transition; the observed group-transition pairs were 23.375/23.390, 26.450/26.460, and 30.910/31.000 s. The interpolated sample quartile positions were 23.38625, 26.45500, and 30.93250 s; these were descriptive only and were not used as overlapping cut points. Higher mRS scores denote worse outcome. No 90-day mRS values were missing. This table accompanies the ordinal shift analysis in Supplementary Table S4.</w:t>
      </w:r>
    </w:p>
    <w:p w14:paraId="6222A6F3">
      <w:pPr>
        <w:keepNext w:val="0"/>
        <w:keepLines w:val="0"/>
        <w:widowControl/>
        <w:suppressLineNumbers w:val="0"/>
        <w:spacing w:before="0" w:after="0" w:line="240" w:lineRule="auto"/>
        <w:jc w:val="left"/>
        <w:rPr>
          <w:rFonts w:hint="default" w:ascii="Times New Roman" w:hAnsi="Times New Roman" w:eastAsia="Times New Roman" w:cs="Times New Roman"/>
          <w:b w:val="0"/>
          <w:bCs w:val="0"/>
          <w:color w:val="auto"/>
          <w:sz w:val="20"/>
          <w:lang w:val="en-US" w:eastAsia="zh-CN"/>
        </w:rPr>
      </w:pPr>
      <w:r>
        <w:rPr>
          <w:rFonts w:hint="default" w:ascii="Times New Roman" w:hAnsi="Times New Roman" w:eastAsia="Times New Roman" w:cs="Times New Roman"/>
          <w:b w:val="0"/>
          <w:bCs w:val="0"/>
          <w:color w:val="auto"/>
          <w:sz w:val="16"/>
          <w:szCs w:val="20"/>
          <w:lang w:val="en-US" w:eastAsia="zh-CN"/>
        </w:rPr>
        <w:t>Abbreviations: PTV = peak time of venous outflow; mRS = modified Rankin Scale.</w:t>
      </w:r>
    </w:p>
    <w:p w14:paraId="5DED6D28">
      <w:pPr>
        <w:spacing w:before="0" w:after="0" w:line="240" w:lineRule="auto"/>
        <w:rPr>
          <w:rFonts w:ascii="Times New Roman" w:hAnsi="Times New Roman" w:eastAsia="Times New Roman" w:cs="Times New Roman"/>
          <w:sz w:val="20"/>
          <w:szCs w:val="20"/>
        </w:rPr>
      </w:pPr>
    </w:p>
    <w:p w14:paraId="3F05ADC1">
      <w:pPr>
        <w:spacing w:before="0" w:after="0" w:line="240" w:lineRule="auto"/>
        <w:rPr>
          <w:rFonts w:ascii="Times New Roman" w:hAnsi="Times New Roman" w:eastAsia="Times New Roman" w:cs="Times New Roman"/>
          <w:sz w:val="20"/>
          <w:szCs w:val="20"/>
        </w:rPr>
      </w:pPr>
    </w:p>
    <w:p w14:paraId="1402FC57">
      <w:pPr>
        <w:spacing w:before="0" w:after="0" w:line="240" w:lineRule="auto"/>
        <w:rPr>
          <w:rFonts w:ascii="Times New Roman" w:hAnsi="Times New Roman" w:eastAsia="Times New Roman" w:cs="Times New Roman"/>
          <w:sz w:val="20"/>
          <w:szCs w:val="20"/>
        </w:rPr>
      </w:pPr>
    </w:p>
    <w:p w14:paraId="1FA37AC0">
      <w:pPr>
        <w:keepNext/>
        <w:spacing w:before="0" w:after="0" w:line="240" w:lineRule="auto"/>
        <w:rPr>
          <w:rFonts w:ascii="Times New Roman" w:hAnsi="Times New Roman" w:eastAsia="Times New Roman" w:cs="Times New Roman"/>
          <w:b/>
          <w:sz w:val="20"/>
          <w:szCs w:val="20"/>
        </w:rPr>
      </w:pPr>
      <w:r>
        <w:rPr>
          <w:rFonts w:hint="eastAsia" w:ascii="Times New Roman" w:hAnsi="Times New Roman" w:eastAsia="Times New Roman" w:cs="Times New Roman"/>
          <w:b/>
          <w:sz w:val="20"/>
          <w:szCs w:val="20"/>
          <w:lang w:val="en-US" w:eastAsia="zh-CN"/>
        </w:rPr>
        <w:t>15.</w:t>
      </w:r>
      <w:r>
        <w:rPr>
          <w:rFonts w:ascii="Times New Roman" w:hAnsi="Times New Roman" w:eastAsia="Times New Roman" w:cs="Times New Roman"/>
          <w:b/>
          <w:sz w:val="20"/>
          <w:szCs w:val="20"/>
        </w:rPr>
        <w:t>Supplementary Table S10. Collinearity diagnostics for the main adjusted model</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4320"/>
        <w:gridCol w:w="2880"/>
        <w:gridCol w:w="1440"/>
        <w:gridCol w:w="4464"/>
      </w:tblGrid>
      <w:tr w14:paraId="033CD783">
        <w:trPr>
          <w:cantSplit/>
          <w:tblHeader/>
          <w:jc w:val="center"/>
        </w:trPr>
        <w:tc>
          <w:tcPr>
            <w:tcW w:w="432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35F8895E">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Covariate</w:t>
            </w:r>
          </w:p>
        </w:tc>
        <w:tc>
          <w:tcPr>
            <w:tcW w:w="288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376AE753">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GVIF</w:t>
            </w:r>
          </w:p>
        </w:tc>
        <w:tc>
          <w:tcPr>
            <w:tcW w:w="144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10847C15">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df</w:t>
            </w:r>
          </w:p>
        </w:tc>
        <w:tc>
          <w:tcPr>
            <w:tcW w:w="446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3D27500B">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GVIF^(1/(2·df))</w:t>
            </w:r>
          </w:p>
        </w:tc>
      </w:tr>
      <w:tr w14:paraId="7226847F">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7C8997E0">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Mean PTV</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19B50E00">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1.376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5EC4D433">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2BB4B2CA">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1.173</w:t>
            </w:r>
          </w:p>
        </w:tc>
      </w:tr>
      <w:tr w14:paraId="3EC64D77">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2BEBFF8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Age</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1651C49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1.237</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CEDA985">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5E290183">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1.112</w:t>
            </w:r>
          </w:p>
        </w:tc>
      </w:tr>
      <w:tr w14:paraId="23FC8FB2">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00A4C33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Atrial fibrillation</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2C25BE1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2.401</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2EBFEA1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69C071B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1.550</w:t>
            </w:r>
          </w:p>
        </w:tc>
      </w:tr>
      <w:tr w14:paraId="6F2BC667">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7CDFBA18">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Diabetes</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3C7D652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1.068</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0A400FB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0F785448">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1.034</w:t>
            </w:r>
          </w:p>
        </w:tc>
      </w:tr>
      <w:tr w14:paraId="1C744AF0">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2C78CBF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TOAST subtype</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58819C3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2.627</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3CC1759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05CEE2C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1.273</w:t>
            </w:r>
          </w:p>
        </w:tc>
      </w:tr>
      <w:tr w14:paraId="0D2BF43B">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5E4B2D5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Occlusion site</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24ECAE5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1.086</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83E811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19681F7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1.021</w:t>
            </w:r>
          </w:p>
        </w:tc>
      </w:tr>
      <w:tr w14:paraId="06AF8DDA">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621F7BC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Baseline ASPECTS</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1A89600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1.164</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5D290F7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203840C8">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1.079</w:t>
            </w:r>
          </w:p>
        </w:tc>
      </w:tr>
      <w:tr w14:paraId="35BF0E23">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0D9A224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Baseline NIHSS</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29F591F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1.159</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5352E8D3">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4C24E32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1.076</w:t>
            </w:r>
          </w:p>
        </w:tc>
      </w:tr>
      <w:tr w14:paraId="2397C2C0">
        <w:trPr>
          <w:cantSplit/>
          <w:jc w:val="center"/>
        </w:trPr>
        <w:tc>
          <w:tcPr>
            <w:tcW w:w="4320" w:type="dxa"/>
            <w:tcBorders>
              <w:top w:val="nil"/>
              <w:left w:val="nil"/>
              <w:bottom w:val="nil"/>
              <w:right w:val="nil"/>
              <w:insideH w:val="nil"/>
              <w:insideV w:val="nil"/>
            </w:tcBorders>
            <w:tcMar>
              <w:top w:w="18" w:type="dxa"/>
              <w:left w:w="45" w:type="dxa"/>
              <w:bottom w:w="18" w:type="dxa"/>
              <w:right w:w="45" w:type="dxa"/>
            </w:tcMar>
            <w:vAlign w:val="center"/>
          </w:tcPr>
          <w:p w14:paraId="14D4DEF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TWT</w:t>
            </w:r>
          </w:p>
        </w:tc>
        <w:tc>
          <w:tcPr>
            <w:tcW w:w="2880" w:type="dxa"/>
            <w:tcBorders>
              <w:top w:val="nil"/>
              <w:left w:val="nil"/>
              <w:bottom w:val="nil"/>
              <w:right w:val="nil"/>
              <w:insideH w:val="nil"/>
              <w:insideV w:val="nil"/>
            </w:tcBorders>
            <w:tcMar>
              <w:top w:w="18" w:type="dxa"/>
              <w:left w:w="45" w:type="dxa"/>
              <w:bottom w:w="18" w:type="dxa"/>
              <w:right w:w="45" w:type="dxa"/>
            </w:tcMar>
            <w:vAlign w:val="center"/>
          </w:tcPr>
          <w:p w14:paraId="7087712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1.185</w:t>
            </w:r>
          </w:p>
        </w:tc>
        <w:tc>
          <w:tcPr>
            <w:tcW w:w="1440" w:type="dxa"/>
            <w:tcBorders>
              <w:top w:val="nil"/>
              <w:left w:val="nil"/>
              <w:bottom w:val="nil"/>
              <w:right w:val="nil"/>
              <w:insideH w:val="nil"/>
              <w:insideV w:val="nil"/>
            </w:tcBorders>
            <w:tcMar>
              <w:top w:w="18" w:type="dxa"/>
              <w:left w:w="45" w:type="dxa"/>
              <w:bottom w:w="18" w:type="dxa"/>
              <w:right w:w="45" w:type="dxa"/>
            </w:tcMar>
            <w:vAlign w:val="center"/>
          </w:tcPr>
          <w:p w14:paraId="77C84331">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nil"/>
              <w:right w:val="nil"/>
              <w:insideH w:val="nil"/>
              <w:insideV w:val="nil"/>
            </w:tcBorders>
            <w:tcMar>
              <w:top w:w="18" w:type="dxa"/>
              <w:left w:w="45" w:type="dxa"/>
              <w:bottom w:w="18" w:type="dxa"/>
              <w:right w:w="45" w:type="dxa"/>
            </w:tcMar>
            <w:vAlign w:val="center"/>
          </w:tcPr>
          <w:p w14:paraId="4B93285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1.089</w:t>
            </w:r>
          </w:p>
        </w:tc>
      </w:tr>
      <w:tr w14:paraId="30A179BC">
        <w:trPr>
          <w:cantSplit/>
          <w:jc w:val="center"/>
        </w:trPr>
        <w:tc>
          <w:tcPr>
            <w:tcW w:w="432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2A39C91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eTICI</w:t>
            </w:r>
          </w:p>
        </w:tc>
        <w:tc>
          <w:tcPr>
            <w:tcW w:w="288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61396A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1.034</w:t>
            </w:r>
          </w:p>
        </w:tc>
        <w:tc>
          <w:tcPr>
            <w:tcW w:w="1440"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39400B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w:t>
            </w:r>
          </w:p>
        </w:tc>
        <w:tc>
          <w:tcPr>
            <w:tcW w:w="4464"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A1C8C21">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1.017</w:t>
            </w:r>
          </w:p>
        </w:tc>
      </w:tr>
    </w:tbl>
    <w:p w14:paraId="646914BD">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16"/>
          <w:szCs w:val="20"/>
        </w:rPr>
        <w:t>Generalised variance inflation factors (GVIF) for the main adjusted model of favorable outcome (mRS 0-2 at 90 days; n = 408, 192 events). For multi-category variables the adjusted measure GVIF^(1/(2·df)) is comparable to the square root of a conventional VIF, so a value of 1.00 indicates no inflation. All adjusted values were below 1.60, including the atrial fibrillation and TOAST subtype terms queried during review (1.550 and 1.273, respectively). No evidence of problematic collinearity was found.</w:t>
      </w:r>
    </w:p>
    <w:p w14:paraId="1032D3CC">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16"/>
          <w:szCs w:val="20"/>
        </w:rPr>
        <w:t>Abbreviations: PTV = peak time of venous outflow; ASPECTS = Alberta Stroke Program Early CT Score; NIHSS = National Institutes of Health Stroke Scale; TWT = treatment workflow time; eTICI = expanded Treatment in Cerebral Infarction; GVIF = generalised variance inflation factor; df = degrees of freedom.</w:t>
      </w:r>
    </w:p>
    <w:p w14:paraId="6FAE8D61">
      <w:pPr>
        <w:spacing w:before="0" w:after="0" w:line="240" w:lineRule="auto"/>
        <w:rPr>
          <w:rFonts w:ascii="Times New Roman" w:hAnsi="Times New Roman" w:eastAsia="Times New Roman" w:cs="Times New Roman"/>
          <w:sz w:val="20"/>
          <w:szCs w:val="20"/>
        </w:rPr>
      </w:pPr>
    </w:p>
    <w:p w14:paraId="62BE9254">
      <w:pPr>
        <w:spacing w:before="0" w:after="0" w:line="240" w:lineRule="auto"/>
        <w:rPr>
          <w:rFonts w:ascii="Times New Roman" w:hAnsi="Times New Roman" w:eastAsia="Times New Roman" w:cs="Times New Roman"/>
          <w:sz w:val="20"/>
          <w:szCs w:val="20"/>
        </w:rPr>
      </w:pPr>
    </w:p>
    <w:p w14:paraId="59D8C7BB">
      <w:pPr>
        <w:spacing w:before="0" w:after="0" w:line="240" w:lineRule="auto"/>
        <w:rPr>
          <w:rFonts w:ascii="Times New Roman" w:hAnsi="Times New Roman" w:eastAsia="Times New Roman" w:cs="Times New Roman"/>
          <w:sz w:val="20"/>
          <w:szCs w:val="20"/>
        </w:rPr>
      </w:pPr>
    </w:p>
    <w:p w14:paraId="55BAEE1A">
      <w:pPr>
        <w:keepNext/>
        <w:spacing w:before="0" w:after="0" w:line="240" w:lineRule="auto"/>
        <w:rPr>
          <w:rFonts w:ascii="Times New Roman" w:hAnsi="Times New Roman" w:eastAsia="Times New Roman" w:cs="Times New Roman"/>
          <w:b/>
          <w:sz w:val="20"/>
          <w:szCs w:val="20"/>
        </w:rPr>
      </w:pPr>
      <w:r>
        <w:rPr>
          <w:rFonts w:hint="eastAsia" w:ascii="Times New Roman" w:hAnsi="Times New Roman" w:eastAsia="Times New Roman" w:cs="Times New Roman"/>
          <w:b/>
          <w:sz w:val="20"/>
          <w:szCs w:val="20"/>
          <w:lang w:val="en-US" w:eastAsia="zh-CN"/>
        </w:rPr>
        <w:t>16.</w:t>
      </w:r>
      <w:r>
        <w:rPr>
          <w:rFonts w:ascii="Times New Roman" w:hAnsi="Times New Roman" w:eastAsia="Times New Roman" w:cs="Times New Roman"/>
          <w:b/>
          <w:sz w:val="20"/>
          <w:szCs w:val="20"/>
        </w:rPr>
        <w:t>Supplementary Table S11. Baseline, treatment, and outcome comparison of patients included in versus excluded from the arterially normalized mean PTV analysis</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5328"/>
        <w:gridCol w:w="3024"/>
        <w:gridCol w:w="3024"/>
        <w:gridCol w:w="1728"/>
      </w:tblGrid>
      <w:tr w14:paraId="3AD228A7">
        <w:trPr>
          <w:cantSplit/>
          <w:tblHeader/>
          <w:jc w:val="center"/>
        </w:trPr>
        <w:tc>
          <w:tcPr>
            <w:tcW w:w="532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37CE101">
            <w:pPr>
              <w:keepNext/>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Variable</w:t>
            </w:r>
          </w:p>
        </w:tc>
        <w:tc>
          <w:tcPr>
            <w:tcW w:w="302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6FE90C35">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Included (n=373)</w:t>
            </w:r>
          </w:p>
        </w:tc>
        <w:tc>
          <w:tcPr>
            <w:tcW w:w="302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13519AC3">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Excluded (n=35)</w:t>
            </w:r>
          </w:p>
        </w:tc>
        <w:tc>
          <w:tcPr>
            <w:tcW w:w="172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2B7D484A">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P value</w:t>
            </w:r>
          </w:p>
        </w:tc>
      </w:tr>
      <w:tr w14:paraId="4AAEB553">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40589009">
            <w:pPr>
              <w:keepNext/>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Age, years,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1FBCBA92">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68.0 (58.0, 76.0)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747FBB0F">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66.0 (58.5, 74.0)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2C17D367">
            <w:pPr>
              <w:keepNext/>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0.478</w:t>
            </w:r>
          </w:p>
        </w:tc>
      </w:tr>
      <w:tr w14:paraId="69D86981">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2B531F10">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Baseline SBP, mmHg,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5DB4FA1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141.0 (127.0, 160.0)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1C6052A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142.0 (131.5, 160.0)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DBE327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0.738</w:t>
            </w:r>
          </w:p>
        </w:tc>
      </w:tr>
      <w:tr w14:paraId="0D8CBDF5">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23AFA9CC">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Baseline DBP, mmHg,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133022E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84.0 (74.0, 95.0)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7810F0E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81.0 (80.0, 97.5)</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131242B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0.509</w:t>
            </w:r>
          </w:p>
        </w:tc>
      </w:tr>
      <w:tr w14:paraId="6F80E7A8">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57E85210">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Baseline NIHSS,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1338296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14.0 (10.0, 19.0)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38B3465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15.0 (9.5, 17.0)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1C6AD5E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0.761</w:t>
            </w:r>
          </w:p>
        </w:tc>
      </w:tr>
      <w:tr w14:paraId="67199523">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76A34C3C">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Baseline ASPECTS,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0CF43898">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7.0 (6.0, 8.0)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72BAF30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7.0 (6.0, 9.0)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43E1F668">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0.921</w:t>
            </w:r>
          </w:p>
        </w:tc>
      </w:tr>
      <w:tr w14:paraId="07CEE766">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7228C896">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Onset to puncture time, min,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1C3C3B3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375.0 (227.0, 580.0)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514EE7FA">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530.0 (296.0, 740.0)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358B6BB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0.015</w:t>
            </w:r>
          </w:p>
        </w:tc>
      </w:tr>
      <w:tr w14:paraId="5E2293A2">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438766FF">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Treatment workflow time, min,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0B35133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496.0 (345.0, 722.0)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609B22A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605.0 (414.0, 808.5)</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142818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0.104</w:t>
            </w:r>
          </w:p>
        </w:tc>
      </w:tr>
      <w:tr w14:paraId="41E36E53">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78895844">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Mean PTV, s, median (IQR)</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5632CD3">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26.6 (23.5, 31.0)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6CAB3835">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25.7 (21.9, 30.2)</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78270D0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0.152</w:t>
            </w:r>
          </w:p>
        </w:tc>
      </w:tr>
      <w:tr w14:paraId="510A882C">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11FF4160">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Male sex,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83FEC0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228/373 (61.1)</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3465F4A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21/35 (60.0)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015E360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0.896</w:t>
            </w:r>
          </w:p>
        </w:tc>
      </w:tr>
      <w:tr w14:paraId="5E77FBEC">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076594E6">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Hypertension,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2BEF82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210/373 (56.3)</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53D8B53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26/35 (74.3)</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1D7D263">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0.039</w:t>
            </w:r>
          </w:p>
        </w:tc>
      </w:tr>
      <w:tr w14:paraId="146C8E6F">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41361185">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Diabetes,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4452A57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68/373 (18.2)</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0E236D3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10/35 (28.6)</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036E63F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0.137</w:t>
            </w:r>
          </w:p>
        </w:tc>
      </w:tr>
      <w:tr w14:paraId="6804E386">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49789F8D">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Atrial fibrillation,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7A46AA0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133/373 (35.7)</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474F4A4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10/35 (28.6)</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24AE5A85">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0.401</w:t>
            </w:r>
          </w:p>
        </w:tc>
      </w:tr>
      <w:tr w14:paraId="61F66BEB">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0CD92A1D">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Previous ischemic stroke,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44A48FE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59/373 (15.8)</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2584A8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3/35 (8.6)</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45CBE7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0.254</w:t>
            </w:r>
          </w:p>
        </w:tc>
      </w:tr>
      <w:tr w14:paraId="43614D73">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57D042BA">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Intravenous thrombolysis,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0CCA602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132/373 (35.4)</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7B49C4F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9/35 (25.7)</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5B41B6C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0.250</w:t>
            </w:r>
          </w:p>
        </w:tc>
      </w:tr>
      <w:tr w14:paraId="17C0D870">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623A08ED">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eTICI ≥2b,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336A46D2">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346/373 (92.8)</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976948D">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32/35 (91.4)</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39A10F0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0.773</w:t>
            </w:r>
          </w:p>
        </w:tc>
      </w:tr>
      <w:tr w14:paraId="018C8D26">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26696F1D">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Favorable outcome (mRS 0-2),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4DA830E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177/373 (47.5)</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5AE267E1">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15/35 (42.9)</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3CC03E7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0.602</w:t>
            </w:r>
          </w:p>
        </w:tc>
      </w:tr>
      <w:tr w14:paraId="5A6F59EE">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4905FCB2">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Any intracranial hemorrhage,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7B0AD64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122/373 (32.7)</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31E7408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9/35 (25.7)</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9AF8F5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0.397</w:t>
            </w:r>
          </w:p>
        </w:tc>
      </w:tr>
      <w:tr w14:paraId="1CC06927">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771F34DF">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90-day death,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F7BBC7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79/373 (21.2)</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43D48D2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7/35 (20.0)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0367F47B">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0.870</w:t>
            </w:r>
          </w:p>
        </w:tc>
      </w:tr>
      <w:tr w14:paraId="42EAA931">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7A6DBC97">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Occlusion site, n (%)</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1F580735">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58275A38">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2B61A321">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0.286</w:t>
            </w:r>
          </w:p>
        </w:tc>
      </w:tr>
      <w:tr w14:paraId="1F4BD2B8">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45EAFA29">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 xml:space="preserve">  ICA</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35914C16">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97/373 (26.0)</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68A2ED59">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7/35 (20.0)</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666356A0">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p>
        </w:tc>
      </w:tr>
      <w:tr w14:paraId="52D4BCF2">
        <w:trPr>
          <w:cantSplit/>
          <w:jc w:val="center"/>
        </w:trPr>
        <w:tc>
          <w:tcPr>
            <w:tcW w:w="5328" w:type="dxa"/>
            <w:tcBorders>
              <w:top w:val="nil"/>
              <w:left w:val="nil"/>
              <w:bottom w:val="nil"/>
              <w:right w:val="nil"/>
              <w:insideH w:val="nil"/>
              <w:insideV w:val="nil"/>
            </w:tcBorders>
            <w:tcMar>
              <w:top w:w="18" w:type="dxa"/>
              <w:left w:w="45" w:type="dxa"/>
              <w:bottom w:w="18" w:type="dxa"/>
              <w:right w:w="45" w:type="dxa"/>
            </w:tcMar>
            <w:vAlign w:val="center"/>
          </w:tcPr>
          <w:p w14:paraId="0B38F0EB">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 xml:space="preserve">  MCA-M1</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2991E1BC">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217/373 (58.2)</w:t>
            </w:r>
          </w:p>
        </w:tc>
        <w:tc>
          <w:tcPr>
            <w:tcW w:w="3024" w:type="dxa"/>
            <w:tcBorders>
              <w:top w:val="nil"/>
              <w:left w:val="nil"/>
              <w:bottom w:val="nil"/>
              <w:right w:val="nil"/>
              <w:insideH w:val="nil"/>
              <w:insideV w:val="nil"/>
            </w:tcBorders>
            <w:tcMar>
              <w:top w:w="18" w:type="dxa"/>
              <w:left w:w="45" w:type="dxa"/>
              <w:bottom w:w="18" w:type="dxa"/>
              <w:right w:w="45" w:type="dxa"/>
            </w:tcMar>
            <w:vAlign w:val="center"/>
          </w:tcPr>
          <w:p w14:paraId="3D83732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25/35 (71.4)</w:t>
            </w:r>
          </w:p>
        </w:tc>
        <w:tc>
          <w:tcPr>
            <w:tcW w:w="1728" w:type="dxa"/>
            <w:tcBorders>
              <w:top w:val="nil"/>
              <w:left w:val="nil"/>
              <w:bottom w:val="nil"/>
              <w:right w:val="nil"/>
              <w:insideH w:val="nil"/>
              <w:insideV w:val="nil"/>
            </w:tcBorders>
            <w:tcMar>
              <w:top w:w="18" w:type="dxa"/>
              <w:left w:w="45" w:type="dxa"/>
              <w:bottom w:w="18" w:type="dxa"/>
              <w:right w:w="45" w:type="dxa"/>
            </w:tcMar>
            <w:vAlign w:val="center"/>
          </w:tcPr>
          <w:p w14:paraId="519B1F17">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p>
        </w:tc>
      </w:tr>
      <w:tr w14:paraId="670F654C">
        <w:trPr>
          <w:cantSplit/>
          <w:jc w:val="center"/>
        </w:trPr>
        <w:tc>
          <w:tcPr>
            <w:tcW w:w="532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49C603F3">
            <w:pPr>
              <w:keepNext w:val="0"/>
              <w:keepLines/>
              <w:spacing w:before="0" w:after="0" w:line="240" w:lineRule="auto"/>
              <w:ind w:left="0" w:right="0" w:firstLine="0"/>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 xml:space="preserve">  MCA-M2</w:t>
            </w:r>
          </w:p>
        </w:tc>
        <w:tc>
          <w:tcPr>
            <w:tcW w:w="3024"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12A1CAFE">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59/373 (15.8)</w:t>
            </w:r>
          </w:p>
        </w:tc>
        <w:tc>
          <w:tcPr>
            <w:tcW w:w="3024"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5CBD791F">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r>
              <w:rPr>
                <w:rFonts w:ascii="Times New Roman" w:hAnsi="Times New Roman" w:eastAsia="Times New Roman" w:cs="Times New Roman"/>
                <w:b w:val="0"/>
                <w:color w:val="000000"/>
                <w:sz w:val="16"/>
                <w:szCs w:val="16"/>
              </w:rPr>
              <w:t>3/35 (8.6)</w:t>
            </w:r>
          </w:p>
        </w:tc>
        <w:tc>
          <w:tcPr>
            <w:tcW w:w="172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3894E454">
            <w:pPr>
              <w:keepNext w:val="0"/>
              <w:keepLines/>
              <w:spacing w:before="0" w:after="0" w:line="240" w:lineRule="auto"/>
              <w:ind w:left="0" w:right="0" w:firstLine="0"/>
              <w:jc w:val="center"/>
              <w:rPr>
                <w:rFonts w:ascii="Times New Roman" w:hAnsi="Times New Roman" w:eastAsia="Times New Roman" w:cs="Times New Roman"/>
                <w:b w:val="0"/>
                <w:color w:val="000000"/>
                <w:sz w:val="16"/>
                <w:szCs w:val="16"/>
              </w:rPr>
            </w:pPr>
          </w:p>
        </w:tc>
      </w:tr>
    </w:tbl>
    <w:p w14:paraId="20101DC9">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16"/>
          <w:szCs w:val="20"/>
        </w:rPr>
        <w:t>Of 408 patients, arterial peak time (ATV) was unavailable in 26 and a further 9 had an arterially normalized value below the 1-second technical plausibility threshold, leaving 373 patients in the primary normalized analysis and 35 excluded. The 382 technically measurable normalized values ranged from -2.330 to 22.900 s; the 373-value primary analysis ranged from 1.005 to 22.900 s (median 7.700 s; IQR 5.045-9.995 s). The 1-s rule was a pragmatic, post hoc technical-plausibility convention for flagging very small or negative arterial-to-venous peak-time differences in data acquired at 1.5-s intervals. The acquisition interval provides context for timing uncertainty but does not uniquely justify a 1-s cutoff; the threshold was not prospectively specified or physiologically validated. Among the 26 patients without a recorded ATV, 24 achieved eTICI ≥2b reperfusion and the occlusion sites were 5 internal carotid artery, 20 MCA-M1, and 1 MCA-M2, so the missingness was not confined to proximal occlusion or to unsuccessful reperfusion. Continuous variables were compared with the Mann-Whitney U test and categorical variables with the Pearson chi-square test; no correction for multiple comparisons was applied and these comparisons are descriptive.</w:t>
      </w:r>
    </w:p>
    <w:p w14:paraId="640886DD">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16"/>
          <w:szCs w:val="20"/>
        </w:rPr>
        <w:t>The two groups were similar for demographic, clinical-severity, imaging, reperfusion, and 90-day outcome variables. Two differences reached nominal significance: excluded patients had a longer onset-to-puncture time (median 530.0 vs 375.0 minutes; P=0.015) and a higher prevalence of hypertension (74.3% vs 56.3%; P=0.039). Because ATV availability reflects whether the arterial time-density-curve output was preserved and exported rather than any clinical criterion, and because the missingness mechanism cannot be reconstructed retrospectively, residual selection bias in the normalized analysis cannot be excluded.</w:t>
      </w:r>
    </w:p>
    <w:p w14:paraId="4087B297">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16"/>
          <w:szCs w:val="20"/>
        </w:rPr>
        <w:t>Abbreviations: ASPECTS = Alberta Stroke Program Early CT Score; ATV = arterial peak time; DBP = diastolic blood pressure; eTICI = expanded Treatment in Cerebral Infarction; ICA = internal carotid artery; IQR = interquartile range; MCA = middle cerebral artery; mRS = modified Rankin Scale; NIHSS = National Institutes of Health Stroke Scale; PTV = peak time of venous outflow; SBP = systolic blood pressure.</w:t>
      </w:r>
    </w:p>
    <w:p w14:paraId="10957B00">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Endpoint assessment and adjudication: eTICI was taken from the routine angiographic grade documented by the treating neurointerventional team in the source DSA procedural record and was abstracted by study investigators; no independent central re-adjudication was performed. Any ICH and sICH were determined from routine post-treatment imaging and clinical documentation according to the modified Heidelberg classification, and MCE was determined from routine follow-up imaging using the study criteria; these endpoints were abstracted by investigators. The PTV readers were blinded to clinical outcomes and did not participate in 90-day outcome assessment. Modified Tan collateral status was independently assessed by Chen Gong and Liping Huang on admission CTA/CTP source images, with both assessors blinded to 90-day clinical outcomes and PTV measurements. Routine clinical graders were separate from the imaging assessors.</w:t>
      </w:r>
    </w:p>
    <w:p w14:paraId="3341D944">
      <w:pPr>
        <w:spacing w:before="0" w:after="0" w:line="240" w:lineRule="auto"/>
        <w:rPr>
          <w:rFonts w:ascii="Times New Roman" w:hAnsi="Times New Roman" w:eastAsia="Times New Roman" w:cs="Times New Roman"/>
          <w:sz w:val="18"/>
        </w:rPr>
      </w:pPr>
    </w:p>
    <w:p w14:paraId="0AF187DD">
      <w:pPr>
        <w:spacing w:before="0" w:after="0" w:line="240" w:lineRule="auto"/>
        <w:rPr>
          <w:rFonts w:ascii="Times New Roman" w:hAnsi="Times New Roman" w:eastAsia="Times New Roman" w:cs="Times New Roman"/>
          <w:sz w:val="18"/>
        </w:rPr>
      </w:pPr>
    </w:p>
    <w:p w14:paraId="17CB7CA2">
      <w:pPr>
        <w:keepNext/>
        <w:spacing w:before="0" w:after="0" w:line="240" w:lineRule="auto"/>
        <w:rPr>
          <w:rFonts w:ascii="Times New Roman" w:hAnsi="Times New Roman" w:eastAsia="Times New Roman" w:cs="Times New Roman"/>
          <w:b/>
          <w:sz w:val="20"/>
          <w:szCs w:val="20"/>
        </w:rPr>
      </w:pPr>
      <w:r>
        <w:rPr>
          <w:rFonts w:hint="eastAsia" w:ascii="Times New Roman" w:hAnsi="Times New Roman" w:eastAsia="Times New Roman" w:cs="Times New Roman"/>
          <w:b/>
          <w:sz w:val="20"/>
          <w:szCs w:val="20"/>
          <w:lang w:val="en-US" w:eastAsia="zh-CN"/>
        </w:rPr>
        <w:t>17.</w:t>
      </w:r>
      <w:r>
        <w:rPr>
          <w:rFonts w:ascii="Times New Roman" w:hAnsi="Times New Roman" w:eastAsia="Times New Roman" w:cs="Times New Roman"/>
          <w:b/>
          <w:sz w:val="20"/>
          <w:szCs w:val="20"/>
        </w:rPr>
        <w:t>Supplementary Table S12. Bootstrap internal validation and calibration of incremental models for favorable outcome (mRS 0–2 at 90 days)</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3888"/>
        <w:gridCol w:w="6624"/>
        <w:gridCol w:w="2592"/>
      </w:tblGrid>
      <w:tr w14:paraId="35A2B8D1">
        <w:trPr>
          <w:cantSplit/>
          <w:tblHeader/>
          <w:jc w:val="center"/>
        </w:trPr>
        <w:tc>
          <w:tcPr>
            <w:tcW w:w="388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59C92A61">
            <w:pPr>
              <w:keepNext/>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Model</w:t>
            </w:r>
          </w:p>
        </w:tc>
        <w:tc>
          <w:tcPr>
            <w:tcW w:w="662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40A4DBAD">
            <w:pPr>
              <w:keepNext/>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Measure</w:t>
            </w:r>
          </w:p>
        </w:tc>
        <w:tc>
          <w:tcPr>
            <w:tcW w:w="2592" w:type="dxa"/>
            <w:tcBorders>
              <w:top w:val="single" w:color="000000" w:sz="8" w:space="0"/>
              <w:left w:val="nil"/>
              <w:bottom w:val="single" w:color="000000" w:sz="4" w:space="0"/>
              <w:right w:val="nil"/>
              <w:insideH w:val="nil"/>
              <w:insideV w:val="nil"/>
            </w:tcBorders>
            <w:tcMar>
              <w:top w:w="18" w:type="dxa"/>
              <w:left w:w="45" w:type="dxa"/>
              <w:bottom w:w="18" w:type="dxa"/>
              <w:right w:w="45" w:type="dxa"/>
            </w:tcMar>
            <w:vAlign w:val="center"/>
          </w:tcPr>
          <w:p w14:paraId="01414C7A">
            <w:pPr>
              <w:keepNext/>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Estimate</w:t>
            </w:r>
          </w:p>
        </w:tc>
      </w:tr>
      <w:tr w14:paraId="2E48156D">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534A6098">
            <w:pPr>
              <w:keepNext/>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model (without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55213F45">
            <w:pPr>
              <w:keepNext/>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Apparent AUC</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46A17377">
            <w:pPr>
              <w:keepNext/>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0.800</w:t>
            </w:r>
          </w:p>
        </w:tc>
      </w:tr>
      <w:tr w14:paraId="7195D03A">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06C7C86E">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model (without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17AA546A">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Optimism-corrected AUC; bootstrap test-performance distribution (2.5th–97.5th percentile)</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095344CE">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0.777; 0.779–0.798</w:t>
            </w:r>
          </w:p>
        </w:tc>
      </w:tr>
      <w:tr w14:paraId="245AA523">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448D4CBC">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model (without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31A4A335">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Apparent / optimism-corrected Brier score</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31989FA1">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0.181 / 0.193</w:t>
            </w:r>
          </w:p>
        </w:tc>
      </w:tr>
      <w:tr w14:paraId="3EBD605E">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3569E037">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model (without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687DB576">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Optimism-corrected calibration intercept / slope</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387C755B">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0.005 / 0.880</w:t>
            </w:r>
          </w:p>
        </w:tc>
      </w:tr>
      <w:tr w14:paraId="30CF44FF">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7BC8D3A5">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 mean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0CA3A7FA">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Apparent AUC</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34FC38FD">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0.807</w:t>
            </w:r>
          </w:p>
        </w:tc>
      </w:tr>
      <w:tr w14:paraId="568AA32D">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08D7B8D6">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 mean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5077D7FA">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Optimism-corrected AUC; bootstrap test-performance distribution (2.5th–97.5th percentile)</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61825E89">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0.784; 0.784–0.804</w:t>
            </w:r>
          </w:p>
        </w:tc>
      </w:tr>
      <w:tr w14:paraId="44CF62EC">
        <w:trPr>
          <w:cantSplit/>
          <w:jc w:val="center"/>
        </w:trPr>
        <w:tc>
          <w:tcPr>
            <w:tcW w:w="3888" w:type="dxa"/>
            <w:tcBorders>
              <w:top w:val="nil"/>
              <w:left w:val="nil"/>
              <w:bottom w:val="nil"/>
              <w:right w:val="nil"/>
              <w:insideH w:val="nil"/>
              <w:insideV w:val="nil"/>
            </w:tcBorders>
            <w:tcMar>
              <w:top w:w="18" w:type="dxa"/>
              <w:left w:w="45" w:type="dxa"/>
              <w:bottom w:w="18" w:type="dxa"/>
              <w:right w:w="45" w:type="dxa"/>
            </w:tcMar>
            <w:vAlign w:val="center"/>
          </w:tcPr>
          <w:p w14:paraId="08F96B30">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 mean PTV</w:t>
            </w:r>
          </w:p>
        </w:tc>
        <w:tc>
          <w:tcPr>
            <w:tcW w:w="6624" w:type="dxa"/>
            <w:tcBorders>
              <w:top w:val="nil"/>
              <w:left w:val="nil"/>
              <w:bottom w:val="nil"/>
              <w:right w:val="nil"/>
              <w:insideH w:val="nil"/>
              <w:insideV w:val="nil"/>
            </w:tcBorders>
            <w:tcMar>
              <w:top w:w="18" w:type="dxa"/>
              <w:left w:w="45" w:type="dxa"/>
              <w:bottom w:w="18" w:type="dxa"/>
              <w:right w:w="45" w:type="dxa"/>
            </w:tcMar>
            <w:vAlign w:val="center"/>
          </w:tcPr>
          <w:p w14:paraId="5012BD5E">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Apparent / optimism-corrected Brier score</w:t>
            </w:r>
          </w:p>
        </w:tc>
        <w:tc>
          <w:tcPr>
            <w:tcW w:w="2592" w:type="dxa"/>
            <w:tcBorders>
              <w:top w:val="nil"/>
              <w:left w:val="nil"/>
              <w:bottom w:val="nil"/>
              <w:right w:val="nil"/>
              <w:insideH w:val="nil"/>
              <w:insideV w:val="nil"/>
            </w:tcBorders>
            <w:tcMar>
              <w:top w:w="18" w:type="dxa"/>
              <w:left w:w="45" w:type="dxa"/>
              <w:bottom w:w="18" w:type="dxa"/>
              <w:right w:w="45" w:type="dxa"/>
            </w:tcMar>
            <w:vAlign w:val="center"/>
          </w:tcPr>
          <w:p w14:paraId="7B0BEE07">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0.179 / 0.191</w:t>
            </w:r>
          </w:p>
        </w:tc>
      </w:tr>
      <w:tr w14:paraId="76A8A999">
        <w:trPr>
          <w:cantSplit/>
          <w:jc w:val="center"/>
        </w:trPr>
        <w:tc>
          <w:tcPr>
            <w:tcW w:w="3888"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7D170191">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Clinical-imaging + mean PTV</w:t>
            </w:r>
          </w:p>
        </w:tc>
        <w:tc>
          <w:tcPr>
            <w:tcW w:w="6624"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452007B4">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Optimism-corrected calibration intercept / slope</w:t>
            </w:r>
          </w:p>
        </w:tc>
        <w:tc>
          <w:tcPr>
            <w:tcW w:w="2592" w:type="dxa"/>
            <w:tcBorders>
              <w:top w:val="nil"/>
              <w:left w:val="nil"/>
              <w:bottom w:val="single" w:color="000000" w:sz="8" w:space="0"/>
              <w:right w:val="nil"/>
              <w:insideH w:val="nil"/>
              <w:insideV w:val="nil"/>
            </w:tcBorders>
            <w:tcMar>
              <w:top w:w="18" w:type="dxa"/>
              <w:left w:w="45" w:type="dxa"/>
              <w:bottom w:w="18" w:type="dxa"/>
              <w:right w:w="45" w:type="dxa"/>
            </w:tcMar>
            <w:vAlign w:val="center"/>
          </w:tcPr>
          <w:p w14:paraId="61FEA3EB">
            <w:pPr>
              <w:keepNext w:val="0"/>
              <w:keepLines/>
              <w:spacing w:before="0" w:after="0" w:line="240" w:lineRule="auto"/>
              <w:ind w:left="0" w:right="0" w:firstLine="0"/>
              <w:rPr>
                <w:b w:val="0"/>
                <w:color w:val="000000"/>
              </w:rPr>
            </w:pPr>
            <w:r>
              <w:rPr>
                <w:rFonts w:ascii="Times New Roman" w:hAnsi="Times New Roman" w:eastAsia="Times New Roman" w:cs="Times New Roman"/>
                <w:b w:val="0"/>
                <w:color w:val="000000"/>
                <w:sz w:val="16"/>
                <w:szCs w:val="16"/>
              </w:rPr>
              <w:t>0.004 / 0.874</w:t>
            </w:r>
          </w:p>
        </w:tc>
      </w:tr>
    </w:tbl>
    <w:p w14:paraId="73788AC9">
      <w:pPr>
        <w:spacing w:before="0" w:after="0" w:line="240" w:lineRule="auto"/>
        <w:rPr>
          <w:rFonts w:ascii="Times New Roman" w:hAnsi="Times New Roman" w:eastAsia="Times New Roman" w:cs="Times New Roman"/>
          <w:sz w:val="20"/>
          <w:szCs w:val="20"/>
        </w:rPr>
      </w:pPr>
      <w:r>
        <w:rPr>
          <w:rFonts w:ascii="Times New Roman" w:hAnsi="Times New Roman" w:eastAsia="Times New Roman" w:cs="Times New Roman"/>
          <w:sz w:val="16"/>
          <w:szCs w:val="20"/>
        </w:rPr>
        <w:t>Abbreviations: AUC = area under the receiver-operating-characteristic curve; Brier score = mean squared probabilistic prediction error; PTV = peak time of venous outflow. Values are based on 2,000 bootstrap resamples with replacement from the complete 408-patient cohort. Each model was refitted in each resample. Optimism-corrected estimates equal the original apparent estimate minus mean bootstrap optimism; for Brier score, this increases the score because bootstrap apparent error is lower than test error. The listed AUC ranges are the 2.5th–97.5th percentiles of bootstrap-refitted model test performance and are not confidence intervals for the optimism-corrected point estimates. Calibration intercept and slope were evaluated using the same bootstrap optimism-correction procedure. Supplementary Fig. S6 is an apparent decile-based calibration plot from the original fitted models.</w:t>
      </w:r>
    </w:p>
    <w:p w14:paraId="31E6099E">
      <w:pPr>
        <w:keepNext/>
        <w:pageBreakBefore/>
        <w:spacing w:before="0" w:after="0" w:line="240" w:lineRule="auto"/>
        <w:rPr>
          <w:rFonts w:ascii="Times New Roman" w:hAnsi="Times New Roman" w:eastAsia="Times New Roman" w:cs="Times New Roman"/>
          <w:b/>
          <w:sz w:val="20"/>
          <w:szCs w:val="20"/>
        </w:rPr>
      </w:pPr>
      <w:r>
        <w:rPr>
          <w:rFonts w:hint="eastAsia" w:ascii="Times New Roman" w:hAnsi="Times New Roman" w:eastAsia="Times New Roman" w:cs="Times New Roman"/>
          <w:b/>
          <w:sz w:val="20"/>
          <w:szCs w:val="20"/>
          <w:lang w:val="en-US" w:eastAsia="zh-CN"/>
        </w:rPr>
        <w:t>18.</w:t>
      </w:r>
      <w:r>
        <w:rPr>
          <w:rFonts w:ascii="Times New Roman" w:hAnsi="Times New Roman" w:eastAsia="Times New Roman" w:cs="Times New Roman"/>
          <w:b/>
          <w:sz w:val="20"/>
          <w:szCs w:val="20"/>
        </w:rPr>
        <w:t>Supplementary Figure S6. Apparent decile-based calibration plot for the clinical-imaging model with and without arithmetic-mean PTV.</w:t>
      </w:r>
    </w:p>
    <w:p w14:paraId="791F57DD">
      <w:pPr>
        <w:keepNext/>
        <w:spacing w:before="0" w:after="0" w:line="240" w:lineRule="auto"/>
        <w:jc w:val="center"/>
      </w:pPr>
      <w:r>
        <w:rPr>
          <w:rFonts w:ascii="Times New Roman" w:hAnsi="Times New Roman" w:eastAsia="Times New Roman" w:cs="Times New Roman"/>
          <w:sz w:val="20"/>
          <w:szCs w:val="20"/>
        </w:rPr>
        <w:drawing>
          <wp:inline distT="0" distB="0" distL="114300" distR="114300">
            <wp:extent cx="5486400" cy="4700905"/>
            <wp:effectExtent l="0" t="0" r="5080" b="127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Picture 601"/>
                    <pic:cNvPicPr>
                      <a:picLocks noChangeAspect="1"/>
                    </pic:cNvPicPr>
                  </pic:nvPicPr>
                  <pic:blipFill>
                    <a:blip r:embed="rId17"/>
                    <a:stretch>
                      <a:fillRect/>
                    </a:stretch>
                  </pic:blipFill>
                  <pic:spPr>
                    <a:xfrm>
                      <a:off x="0" y="0"/>
                      <a:ext cx="5486400" cy="4701073"/>
                    </a:xfrm>
                    <a:prstGeom prst="rect">
                      <a:avLst/>
                    </a:prstGeom>
                  </pic:spPr>
                </pic:pic>
              </a:graphicData>
            </a:graphic>
          </wp:inline>
        </w:drawing>
      </w:r>
    </w:p>
    <w:p w14:paraId="249E08E4">
      <w:pPr>
        <w:spacing w:before="0" w:after="0" w:line="240" w:lineRule="auto"/>
        <w:rPr>
          <w:rFonts w:ascii="Times New Roman" w:hAnsi="Times New Roman" w:eastAsia="Times New Roman" w:cs="Times New Roman"/>
          <w:sz w:val="16"/>
        </w:rPr>
      </w:pPr>
      <w:r>
        <w:rPr>
          <w:rFonts w:ascii="Times New Roman" w:hAnsi="Times New Roman" w:eastAsia="Times New Roman" w:cs="Times New Roman"/>
          <w:sz w:val="20"/>
          <w:szCs w:val="20"/>
        </w:rPr>
        <w:t>The dashed line denotes perfect calibration. Points show observed proportions within deciles of model-predicted risk; numerical optimism-corrected calibration intercepts and slopes are reported in Supplementary Table S12.</w:t>
      </w:r>
    </w:p>
    <w:p w14:paraId="08C4BB8C">
      <w:pPr>
        <w:keepNext/>
        <w:pageBreakBefore/>
        <w:spacing w:before="0"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lang w:val="en-US" w:eastAsia="zh-CN"/>
        </w:rPr>
        <w:t>19.</w:t>
      </w:r>
      <w:r>
        <w:rPr>
          <w:rFonts w:ascii="Times New Roman" w:hAnsi="Times New Roman" w:eastAsia="Times New Roman" w:cs="Times New Roman"/>
          <w:b/>
          <w:sz w:val="20"/>
          <w:szCs w:val="20"/>
        </w:rPr>
        <w:t>Supplementary Table S13. Multiple-imputation model specification and diagnostics</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880"/>
        <w:gridCol w:w="5616"/>
        <w:gridCol w:w="4608"/>
      </w:tblGrid>
      <w:tr w14:paraId="1659CA48">
        <w:trPr>
          <w:cantSplit/>
          <w:tblHeader/>
          <w:jc w:val="center"/>
        </w:trPr>
        <w:tc>
          <w:tcPr>
            <w:tcW w:w="2880"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5631FF40">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Item</w:t>
            </w:r>
          </w:p>
        </w:tc>
        <w:tc>
          <w:tcPr>
            <w:tcW w:w="5616"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159B8FF5">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Specification</w:t>
            </w:r>
          </w:p>
        </w:tc>
        <w:tc>
          <w:tcPr>
            <w:tcW w:w="460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71050020">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Result</w:t>
            </w:r>
          </w:p>
        </w:tc>
      </w:tr>
      <w:tr w14:paraId="759841F9">
        <w:trPr>
          <w:cantSplit/>
          <w:jc w:val="center"/>
        </w:trPr>
        <w:tc>
          <w:tcPr>
            <w:tcW w:w="2880" w:type="dxa"/>
            <w:tcBorders>
              <w:top w:val="nil"/>
              <w:left w:val="nil"/>
              <w:bottom w:val="nil"/>
              <w:right w:val="nil"/>
              <w:insideH w:val="nil"/>
              <w:insideV w:val="nil"/>
            </w:tcBorders>
            <w:tcMar>
              <w:top w:w="18" w:type="dxa"/>
              <w:left w:w="45" w:type="dxa"/>
              <w:bottom w:w="18" w:type="dxa"/>
              <w:right w:w="45" w:type="dxa"/>
            </w:tcMar>
          </w:tcPr>
          <w:p w14:paraId="21B68BCF">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Incomplete variables</w:t>
            </w:r>
          </w:p>
        </w:tc>
        <w:tc>
          <w:tcPr>
            <w:tcW w:w="5616" w:type="dxa"/>
            <w:tcBorders>
              <w:top w:val="nil"/>
              <w:left w:val="nil"/>
              <w:bottom w:val="nil"/>
              <w:right w:val="nil"/>
              <w:insideH w:val="nil"/>
              <w:insideV w:val="nil"/>
            </w:tcBorders>
            <w:tcMar>
              <w:top w:w="18" w:type="dxa"/>
              <w:left w:w="45" w:type="dxa"/>
              <w:bottom w:w="18" w:type="dxa"/>
              <w:right w:w="45" w:type="dxa"/>
            </w:tcMar>
          </w:tcPr>
          <w:p w14:paraId="631A3F92">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Modified Tan collateral status; HIR</w:t>
            </w:r>
          </w:p>
        </w:tc>
        <w:tc>
          <w:tcPr>
            <w:tcW w:w="4608" w:type="dxa"/>
            <w:tcBorders>
              <w:top w:val="nil"/>
              <w:left w:val="nil"/>
              <w:bottom w:val="nil"/>
              <w:right w:val="nil"/>
              <w:insideH w:val="nil"/>
              <w:insideV w:val="nil"/>
            </w:tcBorders>
            <w:tcMar>
              <w:top w:w="18" w:type="dxa"/>
              <w:left w:w="45" w:type="dxa"/>
              <w:bottom w:w="18" w:type="dxa"/>
              <w:right w:w="45" w:type="dxa"/>
            </w:tcMar>
          </w:tcPr>
          <w:p w14:paraId="0D6EC9F4">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1 and 23 missing values, respectively</w:t>
            </w:r>
          </w:p>
        </w:tc>
      </w:tr>
      <w:tr w14:paraId="3A6C7028">
        <w:trPr>
          <w:cantSplit/>
          <w:jc w:val="center"/>
        </w:trPr>
        <w:tc>
          <w:tcPr>
            <w:tcW w:w="2880" w:type="dxa"/>
            <w:tcBorders>
              <w:top w:val="nil"/>
              <w:left w:val="nil"/>
              <w:bottom w:val="nil"/>
              <w:right w:val="nil"/>
              <w:insideH w:val="nil"/>
              <w:insideV w:val="nil"/>
            </w:tcBorders>
            <w:tcMar>
              <w:top w:w="18" w:type="dxa"/>
              <w:left w:w="45" w:type="dxa"/>
              <w:bottom w:w="18" w:type="dxa"/>
              <w:right w:w="45" w:type="dxa"/>
            </w:tcMar>
          </w:tcPr>
          <w:p w14:paraId="639F9D00">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Imputation method</w:t>
            </w:r>
          </w:p>
        </w:tc>
        <w:tc>
          <w:tcPr>
            <w:tcW w:w="5616" w:type="dxa"/>
            <w:tcBorders>
              <w:top w:val="nil"/>
              <w:left w:val="nil"/>
              <w:bottom w:val="nil"/>
              <w:right w:val="nil"/>
              <w:insideH w:val="nil"/>
              <w:insideV w:val="nil"/>
            </w:tcBorders>
            <w:tcMar>
              <w:top w:w="18" w:type="dxa"/>
              <w:left w:w="45" w:type="dxa"/>
              <w:bottom w:w="18" w:type="dxa"/>
              <w:right w:w="45" w:type="dxa"/>
            </w:tcMar>
          </w:tcPr>
          <w:p w14:paraId="2EF79232">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Logistic regression for each binary variable</w:t>
            </w:r>
          </w:p>
        </w:tc>
        <w:tc>
          <w:tcPr>
            <w:tcW w:w="4608" w:type="dxa"/>
            <w:tcBorders>
              <w:top w:val="nil"/>
              <w:left w:val="nil"/>
              <w:bottom w:val="nil"/>
              <w:right w:val="nil"/>
              <w:insideH w:val="nil"/>
              <w:insideV w:val="nil"/>
            </w:tcBorders>
            <w:tcMar>
              <w:top w:w="18" w:type="dxa"/>
              <w:left w:w="45" w:type="dxa"/>
              <w:bottom w:w="18" w:type="dxa"/>
              <w:right w:w="45" w:type="dxa"/>
            </w:tcMar>
          </w:tcPr>
          <w:p w14:paraId="3BA9CC94">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20 imputations; 20 iterations</w:t>
            </w:r>
          </w:p>
        </w:tc>
      </w:tr>
      <w:tr w14:paraId="42AD0900">
        <w:trPr>
          <w:cantSplit/>
          <w:jc w:val="center"/>
        </w:trPr>
        <w:tc>
          <w:tcPr>
            <w:tcW w:w="2880" w:type="dxa"/>
            <w:tcBorders>
              <w:top w:val="nil"/>
              <w:left w:val="nil"/>
              <w:bottom w:val="nil"/>
              <w:right w:val="nil"/>
              <w:insideH w:val="nil"/>
              <w:insideV w:val="nil"/>
            </w:tcBorders>
            <w:tcMar>
              <w:top w:w="18" w:type="dxa"/>
              <w:left w:w="45" w:type="dxa"/>
              <w:bottom w:w="18" w:type="dxa"/>
              <w:right w:w="45" w:type="dxa"/>
            </w:tcMar>
          </w:tcPr>
          <w:p w14:paraId="52255AC7">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Variables not imputed</w:t>
            </w:r>
          </w:p>
        </w:tc>
        <w:tc>
          <w:tcPr>
            <w:tcW w:w="5616" w:type="dxa"/>
            <w:tcBorders>
              <w:top w:val="nil"/>
              <w:left w:val="nil"/>
              <w:bottom w:val="nil"/>
              <w:right w:val="nil"/>
              <w:insideH w:val="nil"/>
              <w:insideV w:val="nil"/>
            </w:tcBorders>
            <w:tcMar>
              <w:top w:w="18" w:type="dxa"/>
              <w:left w:w="45" w:type="dxa"/>
              <w:bottom w:w="18" w:type="dxa"/>
              <w:right w:w="45" w:type="dxa"/>
            </w:tcMar>
          </w:tcPr>
          <w:p w14:paraId="0024DBC3">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Outcome, PTV, age, atrial fibrillation, diabetes, TOAST, occlusion, ASPECTS, NIHSS, TWT, eTICI</w:t>
            </w:r>
          </w:p>
        </w:tc>
        <w:tc>
          <w:tcPr>
            <w:tcW w:w="4608" w:type="dxa"/>
            <w:tcBorders>
              <w:top w:val="nil"/>
              <w:left w:val="nil"/>
              <w:bottom w:val="nil"/>
              <w:right w:val="nil"/>
              <w:insideH w:val="nil"/>
              <w:insideV w:val="nil"/>
            </w:tcBorders>
            <w:tcMar>
              <w:top w:w="18" w:type="dxa"/>
              <w:left w:w="45" w:type="dxa"/>
              <w:bottom w:w="18" w:type="dxa"/>
              <w:right w:w="45" w:type="dxa"/>
            </w:tcMar>
          </w:tcPr>
          <w:p w14:paraId="6E06198B">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Retained as observed and used as predictors</w:t>
            </w:r>
          </w:p>
        </w:tc>
      </w:tr>
      <w:tr w14:paraId="3FA8F7A9">
        <w:trPr>
          <w:cantSplit/>
          <w:jc w:val="center"/>
        </w:trPr>
        <w:tc>
          <w:tcPr>
            <w:tcW w:w="2880" w:type="dxa"/>
            <w:tcBorders>
              <w:top w:val="nil"/>
              <w:left w:val="nil"/>
              <w:bottom w:val="nil"/>
              <w:right w:val="nil"/>
              <w:insideH w:val="nil"/>
              <w:insideV w:val="nil"/>
            </w:tcBorders>
            <w:tcMar>
              <w:top w:w="18" w:type="dxa"/>
              <w:left w:w="45" w:type="dxa"/>
              <w:bottom w:w="18" w:type="dxa"/>
              <w:right w:w="45" w:type="dxa"/>
            </w:tcMar>
          </w:tcPr>
          <w:p w14:paraId="4FB0867F">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Pooling</w:t>
            </w:r>
          </w:p>
        </w:tc>
        <w:tc>
          <w:tcPr>
            <w:tcW w:w="5616" w:type="dxa"/>
            <w:tcBorders>
              <w:top w:val="nil"/>
              <w:left w:val="nil"/>
              <w:bottom w:val="nil"/>
              <w:right w:val="nil"/>
              <w:insideH w:val="nil"/>
              <w:insideV w:val="nil"/>
            </w:tcBorders>
            <w:tcMar>
              <w:top w:w="18" w:type="dxa"/>
              <w:left w:w="45" w:type="dxa"/>
              <w:bottom w:w="18" w:type="dxa"/>
              <w:right w:w="45" w:type="dxa"/>
            </w:tcMar>
          </w:tcPr>
          <w:p w14:paraId="62881984">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Rubin’s rules</w:t>
            </w:r>
          </w:p>
        </w:tc>
        <w:tc>
          <w:tcPr>
            <w:tcW w:w="4608" w:type="dxa"/>
            <w:tcBorders>
              <w:top w:val="nil"/>
              <w:left w:val="nil"/>
              <w:bottom w:val="nil"/>
              <w:right w:val="nil"/>
              <w:insideH w:val="nil"/>
              <w:insideV w:val="nil"/>
            </w:tcBorders>
            <w:tcMar>
              <w:top w:w="18" w:type="dxa"/>
              <w:left w:w="45" w:type="dxa"/>
              <w:bottom w:w="18" w:type="dxa"/>
              <w:right w:w="45" w:type="dxa"/>
            </w:tcMar>
          </w:tcPr>
          <w:p w14:paraId="5F318300">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PTV OR 0.947 (95% CI 0.902–0.994), P=0.028</w:t>
            </w:r>
          </w:p>
        </w:tc>
      </w:tr>
      <w:tr w14:paraId="4287AAE7">
        <w:trPr>
          <w:cantSplit/>
          <w:jc w:val="center"/>
        </w:trPr>
        <w:tc>
          <w:tcPr>
            <w:tcW w:w="2880" w:type="dxa"/>
            <w:tcBorders>
              <w:top w:val="nil"/>
              <w:left w:val="nil"/>
              <w:bottom w:val="single" w:color="000000" w:sz="8" w:space="0"/>
              <w:right w:val="nil"/>
              <w:insideH w:val="nil"/>
              <w:insideV w:val="nil"/>
            </w:tcBorders>
            <w:tcMar>
              <w:top w:w="18" w:type="dxa"/>
              <w:left w:w="45" w:type="dxa"/>
              <w:bottom w:w="18" w:type="dxa"/>
              <w:right w:w="45" w:type="dxa"/>
            </w:tcMar>
          </w:tcPr>
          <w:p w14:paraId="693B3D0D">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Diagnostics</w:t>
            </w:r>
          </w:p>
        </w:tc>
        <w:tc>
          <w:tcPr>
            <w:tcW w:w="5616" w:type="dxa"/>
            <w:tcBorders>
              <w:top w:val="nil"/>
              <w:left w:val="nil"/>
              <w:bottom w:val="single" w:color="000000" w:sz="8" w:space="0"/>
              <w:right w:val="nil"/>
              <w:insideH w:val="nil"/>
              <w:insideV w:val="nil"/>
            </w:tcBorders>
            <w:tcMar>
              <w:top w:w="18" w:type="dxa"/>
              <w:left w:w="45" w:type="dxa"/>
              <w:bottom w:w="18" w:type="dxa"/>
              <w:right w:w="45" w:type="dxa"/>
            </w:tcMar>
          </w:tcPr>
          <w:p w14:paraId="1351BEC9">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Chain trace plots and mice convergence diagnostics</w:t>
            </w:r>
          </w:p>
        </w:tc>
        <w:tc>
          <w:tcPr>
            <w:tcW w:w="4608" w:type="dxa"/>
            <w:tcBorders>
              <w:top w:val="nil"/>
              <w:left w:val="nil"/>
              <w:bottom w:val="single" w:color="000000" w:sz="8" w:space="0"/>
              <w:right w:val="nil"/>
              <w:insideH w:val="nil"/>
              <w:insideV w:val="nil"/>
            </w:tcBorders>
            <w:tcMar>
              <w:top w:w="18" w:type="dxa"/>
              <w:left w:w="45" w:type="dxa"/>
              <w:bottom w:w="18" w:type="dxa"/>
              <w:right w:w="45" w:type="dxa"/>
            </w:tcMar>
          </w:tcPr>
          <w:p w14:paraId="1A81E02C">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No material drift or convergence concern identified</w:t>
            </w:r>
          </w:p>
        </w:tc>
      </w:tr>
    </w:tbl>
    <w:p w14:paraId="62D43A9C">
      <w:pPr>
        <w:spacing w:before="0" w:after="0" w:line="240" w:lineRule="auto"/>
        <w:rPr>
          <w:rFonts w:hint="default" w:ascii="Times New Roman" w:hAnsi="Times New Roman" w:cs="Times New Roman"/>
        </w:rPr>
      </w:pPr>
      <w:r>
        <w:rPr>
          <w:rFonts w:ascii="Times New Roman" w:hAnsi="Times New Roman" w:eastAsia="Times New Roman" w:cs="Times New Roman"/>
          <w:sz w:val="16"/>
          <w:szCs w:val="20"/>
        </w:rPr>
        <w:t>The imputation model included the outcome and all analysis covariates as predictors; the outcome was not imputed. The trace plot and convergence output are archived in the reproducibility folder.</w:t>
      </w:r>
    </w:p>
    <w:p w14:paraId="4434404C">
      <w:pPr>
        <w:spacing w:before="0" w:after="0" w:line="240" w:lineRule="auto"/>
        <w:rPr>
          <w:rFonts w:hint="default" w:ascii="Times New Roman" w:hAnsi="Times New Roman" w:cs="Times New Roman"/>
        </w:rPr>
      </w:pPr>
    </w:p>
    <w:p w14:paraId="7FA73638">
      <w:pPr>
        <w:spacing w:before="0" w:after="0" w:line="240" w:lineRule="auto"/>
        <w:rPr>
          <w:rFonts w:hint="default" w:ascii="Times New Roman" w:hAnsi="Times New Roman" w:cs="Times New Roman"/>
        </w:rPr>
      </w:pPr>
    </w:p>
    <w:p w14:paraId="4D3F2ED8">
      <w:pPr>
        <w:spacing w:before="0" w:after="0" w:line="240" w:lineRule="auto"/>
        <w:rPr>
          <w:rFonts w:hint="default" w:ascii="Times New Roman" w:hAnsi="Times New Roman" w:cs="Times New Roman"/>
        </w:rPr>
      </w:pPr>
    </w:p>
    <w:p w14:paraId="3C043D67">
      <w:pPr>
        <w:keepNext/>
        <w:spacing w:before="0" w:after="0" w:line="240" w:lineRule="auto"/>
        <w:rPr>
          <w:rFonts w:hint="default" w:ascii="Times New Roman" w:hAnsi="Times New Roman" w:eastAsia="Times New Roman" w:cs="Times New Roman"/>
          <w:b/>
          <w:sz w:val="20"/>
          <w:szCs w:val="20"/>
        </w:rPr>
      </w:pPr>
      <w:r>
        <w:rPr>
          <w:rFonts w:ascii="Times New Roman" w:hAnsi="Times New Roman" w:eastAsia="Times New Roman" w:cs="Times New Roman"/>
          <w:b/>
          <w:sz w:val="20"/>
          <w:szCs w:val="20"/>
          <w:lang w:val="en-US" w:eastAsia="zh-CN"/>
        </w:rPr>
        <w:t>20.</w:t>
      </w:r>
      <w:r>
        <w:rPr>
          <w:rFonts w:ascii="Times New Roman" w:hAnsi="Times New Roman" w:eastAsia="Times New Roman" w:cs="Times New Roman"/>
          <w:b/>
          <w:sz w:val="20"/>
          <w:szCs w:val="20"/>
        </w:rPr>
        <w:t>Supplementary Table S14. Firth-penalized sensitivity analyses for sparse safety endpoints (sICH and MCE)</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3024"/>
        <w:gridCol w:w="4608"/>
        <w:gridCol w:w="1008"/>
        <w:gridCol w:w="3168"/>
        <w:gridCol w:w="1296"/>
      </w:tblGrid>
      <w:tr w14:paraId="7C14609A">
        <w:trPr>
          <w:cantSplit/>
          <w:tblHeader/>
          <w:jc w:val="center"/>
        </w:trPr>
        <w:tc>
          <w:tcPr>
            <w:tcW w:w="3024"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3A897BD8">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Model</w:t>
            </w:r>
          </w:p>
        </w:tc>
        <w:tc>
          <w:tcPr>
            <w:tcW w:w="460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130D1C1F">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PTV level</w:t>
            </w:r>
          </w:p>
        </w:tc>
        <w:tc>
          <w:tcPr>
            <w:tcW w:w="100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4AB55BF6">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N</w:t>
            </w:r>
          </w:p>
        </w:tc>
        <w:tc>
          <w:tcPr>
            <w:tcW w:w="3168"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67D706B8">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OR (95% CI)</w:t>
            </w:r>
          </w:p>
        </w:tc>
        <w:tc>
          <w:tcPr>
            <w:tcW w:w="1296" w:type="dxa"/>
            <w:tcBorders>
              <w:top w:val="single" w:color="000000" w:sz="8" w:space="0"/>
              <w:left w:val="nil"/>
              <w:bottom w:val="single" w:color="000000" w:sz="4" w:space="0"/>
              <w:right w:val="nil"/>
              <w:insideH w:val="nil"/>
              <w:insideV w:val="nil"/>
            </w:tcBorders>
            <w:tcMar>
              <w:top w:w="18" w:type="dxa"/>
              <w:left w:w="45" w:type="dxa"/>
              <w:bottom w:w="18" w:type="dxa"/>
              <w:right w:w="45" w:type="dxa"/>
            </w:tcMar>
          </w:tcPr>
          <w:p w14:paraId="477B9B98">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P value</w:t>
            </w:r>
          </w:p>
        </w:tc>
      </w:tr>
      <w:tr w14:paraId="41071CC2">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29B14CF8">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41CDBEDB">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Continuous PTV (per 1 s)</w:t>
            </w:r>
          </w:p>
        </w:tc>
        <w:tc>
          <w:tcPr>
            <w:tcW w:w="1008" w:type="dxa"/>
            <w:tcBorders>
              <w:top w:val="nil"/>
              <w:left w:val="nil"/>
              <w:bottom w:val="nil"/>
              <w:right w:val="nil"/>
              <w:insideH w:val="nil"/>
              <w:insideV w:val="nil"/>
            </w:tcBorders>
            <w:tcMar>
              <w:top w:w="18" w:type="dxa"/>
              <w:left w:w="45" w:type="dxa"/>
              <w:bottom w:w="18" w:type="dxa"/>
              <w:right w:w="45" w:type="dxa"/>
            </w:tcMar>
          </w:tcPr>
          <w:p w14:paraId="3C71CD48">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408</w:t>
            </w:r>
          </w:p>
        </w:tc>
        <w:tc>
          <w:tcPr>
            <w:tcW w:w="3168" w:type="dxa"/>
            <w:tcBorders>
              <w:top w:val="nil"/>
              <w:left w:val="nil"/>
              <w:bottom w:val="nil"/>
              <w:right w:val="nil"/>
              <w:insideH w:val="nil"/>
              <w:insideV w:val="nil"/>
            </w:tcBorders>
            <w:tcMar>
              <w:top w:w="18" w:type="dxa"/>
              <w:left w:w="45" w:type="dxa"/>
              <w:bottom w:w="18" w:type="dxa"/>
              <w:right w:w="45" w:type="dxa"/>
            </w:tcMar>
          </w:tcPr>
          <w:p w14:paraId="3C122642">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1.04 (0.976–1.108)</w:t>
            </w:r>
          </w:p>
        </w:tc>
        <w:tc>
          <w:tcPr>
            <w:tcW w:w="1296" w:type="dxa"/>
            <w:tcBorders>
              <w:top w:val="nil"/>
              <w:left w:val="nil"/>
              <w:bottom w:val="nil"/>
              <w:right w:val="nil"/>
              <w:insideH w:val="nil"/>
              <w:insideV w:val="nil"/>
            </w:tcBorders>
            <w:tcMar>
              <w:top w:w="18" w:type="dxa"/>
              <w:left w:w="45" w:type="dxa"/>
              <w:bottom w:w="18" w:type="dxa"/>
              <w:right w:w="45" w:type="dxa"/>
            </w:tcMar>
          </w:tcPr>
          <w:p w14:paraId="23DDB071">
            <w:pPr>
              <w:keepNext/>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0.217</w:t>
            </w:r>
          </w:p>
        </w:tc>
      </w:tr>
      <w:tr w14:paraId="32B25440">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44C3E2DC">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44A1E0BC">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Q2 vs Q1</w:t>
            </w:r>
          </w:p>
        </w:tc>
        <w:tc>
          <w:tcPr>
            <w:tcW w:w="1008" w:type="dxa"/>
            <w:tcBorders>
              <w:top w:val="nil"/>
              <w:left w:val="nil"/>
              <w:bottom w:val="nil"/>
              <w:right w:val="nil"/>
              <w:insideH w:val="nil"/>
              <w:insideV w:val="nil"/>
            </w:tcBorders>
            <w:tcMar>
              <w:top w:w="18" w:type="dxa"/>
              <w:left w:w="45" w:type="dxa"/>
              <w:bottom w:w="18" w:type="dxa"/>
              <w:right w:w="45" w:type="dxa"/>
            </w:tcMar>
          </w:tcPr>
          <w:p w14:paraId="6AFE6F40">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408</w:t>
            </w:r>
          </w:p>
        </w:tc>
        <w:tc>
          <w:tcPr>
            <w:tcW w:w="3168" w:type="dxa"/>
            <w:tcBorders>
              <w:top w:val="nil"/>
              <w:left w:val="nil"/>
              <w:bottom w:val="nil"/>
              <w:right w:val="nil"/>
              <w:insideH w:val="nil"/>
              <w:insideV w:val="nil"/>
            </w:tcBorders>
            <w:tcMar>
              <w:top w:w="18" w:type="dxa"/>
              <w:left w:w="45" w:type="dxa"/>
              <w:bottom w:w="18" w:type="dxa"/>
              <w:right w:w="45" w:type="dxa"/>
            </w:tcMar>
          </w:tcPr>
          <w:p w14:paraId="53D6A8BF">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0.60 (0.201–1.722)</w:t>
            </w:r>
          </w:p>
        </w:tc>
        <w:tc>
          <w:tcPr>
            <w:tcW w:w="1296" w:type="dxa"/>
            <w:tcBorders>
              <w:top w:val="nil"/>
              <w:left w:val="nil"/>
              <w:bottom w:val="nil"/>
              <w:right w:val="nil"/>
              <w:insideH w:val="nil"/>
              <w:insideV w:val="nil"/>
            </w:tcBorders>
            <w:tcMar>
              <w:top w:w="18" w:type="dxa"/>
              <w:left w:w="45" w:type="dxa"/>
              <w:bottom w:w="18" w:type="dxa"/>
              <w:right w:w="45" w:type="dxa"/>
            </w:tcMar>
          </w:tcPr>
          <w:p w14:paraId="3E9BC93E">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0.344</w:t>
            </w:r>
          </w:p>
        </w:tc>
      </w:tr>
      <w:tr w14:paraId="53035FF6">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6D64E79B">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7B220096">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Q3 vs Q1</w:t>
            </w:r>
          </w:p>
        </w:tc>
        <w:tc>
          <w:tcPr>
            <w:tcW w:w="1008" w:type="dxa"/>
            <w:tcBorders>
              <w:top w:val="nil"/>
              <w:left w:val="nil"/>
              <w:bottom w:val="nil"/>
              <w:right w:val="nil"/>
              <w:insideH w:val="nil"/>
              <w:insideV w:val="nil"/>
            </w:tcBorders>
            <w:tcMar>
              <w:top w:w="18" w:type="dxa"/>
              <w:left w:w="45" w:type="dxa"/>
              <w:bottom w:w="18" w:type="dxa"/>
              <w:right w:w="45" w:type="dxa"/>
            </w:tcMar>
          </w:tcPr>
          <w:p w14:paraId="2630097F">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408</w:t>
            </w:r>
          </w:p>
        </w:tc>
        <w:tc>
          <w:tcPr>
            <w:tcW w:w="3168" w:type="dxa"/>
            <w:tcBorders>
              <w:top w:val="nil"/>
              <w:left w:val="nil"/>
              <w:bottom w:val="nil"/>
              <w:right w:val="nil"/>
              <w:insideH w:val="nil"/>
              <w:insideV w:val="nil"/>
            </w:tcBorders>
            <w:tcMar>
              <w:top w:w="18" w:type="dxa"/>
              <w:left w:w="45" w:type="dxa"/>
              <w:bottom w:w="18" w:type="dxa"/>
              <w:right w:w="45" w:type="dxa"/>
            </w:tcMar>
          </w:tcPr>
          <w:p w14:paraId="1D9A05D1">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0.87 (0.316–2.423)</w:t>
            </w:r>
          </w:p>
        </w:tc>
        <w:tc>
          <w:tcPr>
            <w:tcW w:w="1296" w:type="dxa"/>
            <w:tcBorders>
              <w:top w:val="nil"/>
              <w:left w:val="nil"/>
              <w:bottom w:val="nil"/>
              <w:right w:val="nil"/>
              <w:insideH w:val="nil"/>
              <w:insideV w:val="nil"/>
            </w:tcBorders>
            <w:tcMar>
              <w:top w:w="18" w:type="dxa"/>
              <w:left w:w="45" w:type="dxa"/>
              <w:bottom w:w="18" w:type="dxa"/>
              <w:right w:w="45" w:type="dxa"/>
            </w:tcMar>
          </w:tcPr>
          <w:p w14:paraId="3FC84AB7">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0.795</w:t>
            </w:r>
          </w:p>
        </w:tc>
      </w:tr>
      <w:tr w14:paraId="0326B67A">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0F236902">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5994AA94">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Q4 vs Q1</w:t>
            </w:r>
          </w:p>
        </w:tc>
        <w:tc>
          <w:tcPr>
            <w:tcW w:w="1008" w:type="dxa"/>
            <w:tcBorders>
              <w:top w:val="nil"/>
              <w:left w:val="nil"/>
              <w:bottom w:val="nil"/>
              <w:right w:val="nil"/>
              <w:insideH w:val="nil"/>
              <w:insideV w:val="nil"/>
            </w:tcBorders>
            <w:tcMar>
              <w:top w:w="18" w:type="dxa"/>
              <w:left w:w="45" w:type="dxa"/>
              <w:bottom w:w="18" w:type="dxa"/>
              <w:right w:w="45" w:type="dxa"/>
            </w:tcMar>
          </w:tcPr>
          <w:p w14:paraId="2F7E8231">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408</w:t>
            </w:r>
          </w:p>
        </w:tc>
        <w:tc>
          <w:tcPr>
            <w:tcW w:w="3168" w:type="dxa"/>
            <w:tcBorders>
              <w:top w:val="nil"/>
              <w:left w:val="nil"/>
              <w:bottom w:val="nil"/>
              <w:right w:val="nil"/>
              <w:insideH w:val="nil"/>
              <w:insideV w:val="nil"/>
            </w:tcBorders>
            <w:tcMar>
              <w:top w:w="18" w:type="dxa"/>
              <w:left w:w="45" w:type="dxa"/>
              <w:bottom w:w="18" w:type="dxa"/>
              <w:right w:w="45" w:type="dxa"/>
            </w:tcMar>
          </w:tcPr>
          <w:p w14:paraId="271F0456">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1.19 (0.414–3.513)</w:t>
            </w:r>
          </w:p>
        </w:tc>
        <w:tc>
          <w:tcPr>
            <w:tcW w:w="1296" w:type="dxa"/>
            <w:tcBorders>
              <w:top w:val="nil"/>
              <w:left w:val="nil"/>
              <w:bottom w:val="nil"/>
              <w:right w:val="nil"/>
              <w:insideH w:val="nil"/>
              <w:insideV w:val="nil"/>
            </w:tcBorders>
            <w:tcMar>
              <w:top w:w="18" w:type="dxa"/>
              <w:left w:w="45" w:type="dxa"/>
              <w:bottom w:w="18" w:type="dxa"/>
              <w:right w:w="45" w:type="dxa"/>
            </w:tcMar>
          </w:tcPr>
          <w:p w14:paraId="5ECC15D3">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0.748</w:t>
            </w:r>
          </w:p>
        </w:tc>
      </w:tr>
      <w:tr w14:paraId="6F6D1232">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508AFAB4">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2E75BC55">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MCE: Continuous PTV (per 1 s)</w:t>
            </w:r>
          </w:p>
        </w:tc>
        <w:tc>
          <w:tcPr>
            <w:tcW w:w="1008" w:type="dxa"/>
            <w:tcBorders>
              <w:top w:val="nil"/>
              <w:left w:val="nil"/>
              <w:bottom w:val="nil"/>
              <w:right w:val="nil"/>
              <w:insideH w:val="nil"/>
              <w:insideV w:val="nil"/>
            </w:tcBorders>
            <w:tcMar>
              <w:top w:w="18" w:type="dxa"/>
              <w:left w:w="45" w:type="dxa"/>
              <w:bottom w:w="18" w:type="dxa"/>
              <w:right w:w="45" w:type="dxa"/>
            </w:tcMar>
          </w:tcPr>
          <w:p w14:paraId="13BEE970">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399</w:t>
            </w:r>
          </w:p>
        </w:tc>
        <w:tc>
          <w:tcPr>
            <w:tcW w:w="3168" w:type="dxa"/>
            <w:tcBorders>
              <w:top w:val="nil"/>
              <w:left w:val="nil"/>
              <w:bottom w:val="nil"/>
              <w:right w:val="nil"/>
              <w:insideH w:val="nil"/>
              <w:insideV w:val="nil"/>
            </w:tcBorders>
            <w:tcMar>
              <w:top w:w="18" w:type="dxa"/>
              <w:left w:w="45" w:type="dxa"/>
              <w:bottom w:w="18" w:type="dxa"/>
              <w:right w:w="45" w:type="dxa"/>
            </w:tcMar>
          </w:tcPr>
          <w:p w14:paraId="54180AC1">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1.04 (0.988–1.103)</w:t>
            </w:r>
          </w:p>
        </w:tc>
        <w:tc>
          <w:tcPr>
            <w:tcW w:w="1296" w:type="dxa"/>
            <w:tcBorders>
              <w:top w:val="nil"/>
              <w:left w:val="nil"/>
              <w:bottom w:val="nil"/>
              <w:right w:val="nil"/>
              <w:insideH w:val="nil"/>
              <w:insideV w:val="nil"/>
            </w:tcBorders>
            <w:tcMar>
              <w:top w:w="18" w:type="dxa"/>
              <w:left w:w="45" w:type="dxa"/>
              <w:bottom w:w="18" w:type="dxa"/>
              <w:right w:w="45" w:type="dxa"/>
            </w:tcMar>
          </w:tcPr>
          <w:p w14:paraId="765FBF98">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0.125</w:t>
            </w:r>
          </w:p>
        </w:tc>
      </w:tr>
      <w:tr w14:paraId="4788D7CD">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45A37331">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454488CE">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MCE: Q2 vs Q1</w:t>
            </w:r>
          </w:p>
        </w:tc>
        <w:tc>
          <w:tcPr>
            <w:tcW w:w="1008" w:type="dxa"/>
            <w:tcBorders>
              <w:top w:val="nil"/>
              <w:left w:val="nil"/>
              <w:bottom w:val="nil"/>
              <w:right w:val="nil"/>
              <w:insideH w:val="nil"/>
              <w:insideV w:val="nil"/>
            </w:tcBorders>
            <w:tcMar>
              <w:top w:w="18" w:type="dxa"/>
              <w:left w:w="45" w:type="dxa"/>
              <w:bottom w:w="18" w:type="dxa"/>
              <w:right w:w="45" w:type="dxa"/>
            </w:tcMar>
          </w:tcPr>
          <w:p w14:paraId="7A179917">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399</w:t>
            </w:r>
          </w:p>
        </w:tc>
        <w:tc>
          <w:tcPr>
            <w:tcW w:w="3168" w:type="dxa"/>
            <w:tcBorders>
              <w:top w:val="nil"/>
              <w:left w:val="nil"/>
              <w:bottom w:val="nil"/>
              <w:right w:val="nil"/>
              <w:insideH w:val="nil"/>
              <w:insideV w:val="nil"/>
            </w:tcBorders>
            <w:tcMar>
              <w:top w:w="18" w:type="dxa"/>
              <w:left w:w="45" w:type="dxa"/>
              <w:bottom w:w="18" w:type="dxa"/>
              <w:right w:w="45" w:type="dxa"/>
            </w:tcMar>
          </w:tcPr>
          <w:p w14:paraId="1A109C6C">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0.86 (0.356–2.091)</w:t>
            </w:r>
          </w:p>
        </w:tc>
        <w:tc>
          <w:tcPr>
            <w:tcW w:w="1296" w:type="dxa"/>
            <w:tcBorders>
              <w:top w:val="nil"/>
              <w:left w:val="nil"/>
              <w:bottom w:val="nil"/>
              <w:right w:val="nil"/>
              <w:insideH w:val="nil"/>
              <w:insideV w:val="nil"/>
            </w:tcBorders>
            <w:tcMar>
              <w:top w:w="18" w:type="dxa"/>
              <w:left w:w="45" w:type="dxa"/>
              <w:bottom w:w="18" w:type="dxa"/>
              <w:right w:w="45" w:type="dxa"/>
            </w:tcMar>
          </w:tcPr>
          <w:p w14:paraId="51AC09E8">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0.746</w:t>
            </w:r>
          </w:p>
        </w:tc>
      </w:tr>
      <w:tr w14:paraId="0FE63CE4">
        <w:trPr>
          <w:cantSplit/>
          <w:jc w:val="center"/>
        </w:trPr>
        <w:tc>
          <w:tcPr>
            <w:tcW w:w="3024" w:type="dxa"/>
            <w:tcBorders>
              <w:top w:val="nil"/>
              <w:left w:val="nil"/>
              <w:bottom w:val="nil"/>
              <w:right w:val="nil"/>
              <w:insideH w:val="nil"/>
              <w:insideV w:val="nil"/>
            </w:tcBorders>
            <w:tcMar>
              <w:top w:w="18" w:type="dxa"/>
              <w:left w:w="45" w:type="dxa"/>
              <w:bottom w:w="18" w:type="dxa"/>
              <w:right w:w="45" w:type="dxa"/>
            </w:tcMar>
          </w:tcPr>
          <w:p w14:paraId="620A0206">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nil"/>
              <w:right w:val="nil"/>
              <w:insideH w:val="nil"/>
              <w:insideV w:val="nil"/>
            </w:tcBorders>
            <w:tcMar>
              <w:top w:w="18" w:type="dxa"/>
              <w:left w:w="45" w:type="dxa"/>
              <w:bottom w:w="18" w:type="dxa"/>
              <w:right w:w="45" w:type="dxa"/>
            </w:tcMar>
          </w:tcPr>
          <w:p w14:paraId="65935458">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MCE: Q3 vs Q1</w:t>
            </w:r>
          </w:p>
        </w:tc>
        <w:tc>
          <w:tcPr>
            <w:tcW w:w="1008" w:type="dxa"/>
            <w:tcBorders>
              <w:top w:val="nil"/>
              <w:left w:val="nil"/>
              <w:bottom w:val="nil"/>
              <w:right w:val="nil"/>
              <w:insideH w:val="nil"/>
              <w:insideV w:val="nil"/>
            </w:tcBorders>
            <w:tcMar>
              <w:top w:w="18" w:type="dxa"/>
              <w:left w:w="45" w:type="dxa"/>
              <w:bottom w:w="18" w:type="dxa"/>
              <w:right w:w="45" w:type="dxa"/>
            </w:tcMar>
          </w:tcPr>
          <w:p w14:paraId="5AD3A28D">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399</w:t>
            </w:r>
          </w:p>
        </w:tc>
        <w:tc>
          <w:tcPr>
            <w:tcW w:w="3168" w:type="dxa"/>
            <w:tcBorders>
              <w:top w:val="nil"/>
              <w:left w:val="nil"/>
              <w:bottom w:val="nil"/>
              <w:right w:val="nil"/>
              <w:insideH w:val="nil"/>
              <w:insideV w:val="nil"/>
            </w:tcBorders>
            <w:tcMar>
              <w:top w:w="18" w:type="dxa"/>
              <w:left w:w="45" w:type="dxa"/>
              <w:bottom w:w="18" w:type="dxa"/>
              <w:right w:w="45" w:type="dxa"/>
            </w:tcMar>
          </w:tcPr>
          <w:p w14:paraId="2FD501AC">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1.00 (0.410–2.421)</w:t>
            </w:r>
          </w:p>
        </w:tc>
        <w:tc>
          <w:tcPr>
            <w:tcW w:w="1296" w:type="dxa"/>
            <w:tcBorders>
              <w:top w:val="nil"/>
              <w:left w:val="nil"/>
              <w:bottom w:val="nil"/>
              <w:right w:val="nil"/>
              <w:insideH w:val="nil"/>
              <w:insideV w:val="nil"/>
            </w:tcBorders>
            <w:tcMar>
              <w:top w:w="18" w:type="dxa"/>
              <w:left w:w="45" w:type="dxa"/>
              <w:bottom w:w="18" w:type="dxa"/>
              <w:right w:w="45" w:type="dxa"/>
            </w:tcMar>
          </w:tcPr>
          <w:p w14:paraId="21F503EE">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0.991</w:t>
            </w:r>
          </w:p>
        </w:tc>
      </w:tr>
      <w:tr w14:paraId="430FC95A">
        <w:trPr>
          <w:cantSplit/>
          <w:jc w:val="center"/>
        </w:trPr>
        <w:tc>
          <w:tcPr>
            <w:tcW w:w="3024" w:type="dxa"/>
            <w:tcBorders>
              <w:top w:val="nil"/>
              <w:left w:val="nil"/>
              <w:bottom w:val="single" w:color="000000" w:sz="8" w:space="0"/>
              <w:right w:val="nil"/>
              <w:insideH w:val="nil"/>
              <w:insideV w:val="nil"/>
            </w:tcBorders>
            <w:tcMar>
              <w:top w:w="18" w:type="dxa"/>
              <w:left w:w="45" w:type="dxa"/>
              <w:bottom w:w="18" w:type="dxa"/>
              <w:right w:w="45" w:type="dxa"/>
            </w:tcMar>
          </w:tcPr>
          <w:p w14:paraId="243E8A50">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Firth adjusted</w:t>
            </w:r>
          </w:p>
        </w:tc>
        <w:tc>
          <w:tcPr>
            <w:tcW w:w="4608" w:type="dxa"/>
            <w:tcBorders>
              <w:top w:val="nil"/>
              <w:left w:val="nil"/>
              <w:bottom w:val="single" w:color="000000" w:sz="8" w:space="0"/>
              <w:right w:val="nil"/>
              <w:insideH w:val="nil"/>
              <w:insideV w:val="nil"/>
            </w:tcBorders>
            <w:tcMar>
              <w:top w:w="18" w:type="dxa"/>
              <w:left w:w="45" w:type="dxa"/>
              <w:bottom w:w="18" w:type="dxa"/>
              <w:right w:w="45" w:type="dxa"/>
            </w:tcMar>
          </w:tcPr>
          <w:p w14:paraId="20D8D7A8">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MCE: Q4 vs Q1</w:t>
            </w:r>
          </w:p>
        </w:tc>
        <w:tc>
          <w:tcPr>
            <w:tcW w:w="1008" w:type="dxa"/>
            <w:tcBorders>
              <w:top w:val="nil"/>
              <w:left w:val="nil"/>
              <w:bottom w:val="single" w:color="000000" w:sz="8" w:space="0"/>
              <w:right w:val="nil"/>
              <w:insideH w:val="nil"/>
              <w:insideV w:val="nil"/>
            </w:tcBorders>
            <w:tcMar>
              <w:top w:w="18" w:type="dxa"/>
              <w:left w:w="45" w:type="dxa"/>
              <w:bottom w:w="18" w:type="dxa"/>
              <w:right w:w="45" w:type="dxa"/>
            </w:tcMar>
          </w:tcPr>
          <w:p w14:paraId="0DD1ABE2">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399</w:t>
            </w:r>
          </w:p>
        </w:tc>
        <w:tc>
          <w:tcPr>
            <w:tcW w:w="3168" w:type="dxa"/>
            <w:tcBorders>
              <w:top w:val="nil"/>
              <w:left w:val="nil"/>
              <w:bottom w:val="single" w:color="000000" w:sz="8" w:space="0"/>
              <w:right w:val="nil"/>
              <w:insideH w:val="nil"/>
              <w:insideV w:val="nil"/>
            </w:tcBorders>
            <w:tcMar>
              <w:top w:w="18" w:type="dxa"/>
              <w:left w:w="45" w:type="dxa"/>
              <w:bottom w:w="18" w:type="dxa"/>
              <w:right w:w="45" w:type="dxa"/>
            </w:tcMar>
          </w:tcPr>
          <w:p w14:paraId="7C6DEB95">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2.09 (0.823–5.437)</w:t>
            </w:r>
          </w:p>
        </w:tc>
        <w:tc>
          <w:tcPr>
            <w:tcW w:w="1296" w:type="dxa"/>
            <w:tcBorders>
              <w:top w:val="nil"/>
              <w:left w:val="nil"/>
              <w:bottom w:val="single" w:color="000000" w:sz="8" w:space="0"/>
              <w:right w:val="nil"/>
              <w:insideH w:val="nil"/>
              <w:insideV w:val="nil"/>
            </w:tcBorders>
            <w:tcMar>
              <w:top w:w="18" w:type="dxa"/>
              <w:left w:w="45" w:type="dxa"/>
              <w:bottom w:w="18" w:type="dxa"/>
              <w:right w:w="45" w:type="dxa"/>
            </w:tcMar>
          </w:tcPr>
          <w:p w14:paraId="7A8711AE">
            <w:pPr>
              <w:keepNext w:val="0"/>
              <w:keepLines/>
              <w:spacing w:before="0" w:after="0" w:line="240" w:lineRule="auto"/>
              <w:ind w:left="0" w:right="0" w:firstLine="0"/>
              <w:rPr>
                <w:rFonts w:hint="default" w:ascii="Times New Roman" w:hAnsi="Times New Roman" w:cs="Times New Roman"/>
                <w:b w:val="0"/>
                <w:color w:val="000000"/>
              </w:rPr>
            </w:pPr>
            <w:r>
              <w:rPr>
                <w:rFonts w:ascii="Times New Roman" w:hAnsi="Times New Roman" w:eastAsia="Times New Roman" w:cs="Times New Roman"/>
                <w:b w:val="0"/>
                <w:color w:val="000000"/>
                <w:sz w:val="16"/>
                <w:szCs w:val="16"/>
              </w:rPr>
              <w:t>0.121</w:t>
            </w:r>
          </w:p>
        </w:tc>
      </w:tr>
    </w:tbl>
    <w:p w14:paraId="38DB33D2">
      <w:pPr>
        <w:spacing w:before="0" w:after="0" w:line="240" w:lineRule="auto"/>
      </w:pPr>
      <w:r>
        <w:rPr>
          <w:rFonts w:ascii="Times New Roman" w:hAnsi="Times New Roman" w:eastAsia="Times New Roman" w:cs="Times New Roman"/>
          <w:sz w:val="16"/>
          <w:szCs w:val="20"/>
        </w:rPr>
        <w:t>Profile-likelihood confidence intervals and penalized-likelihood P values are shown. The sICH model included PTV_mean and the main covariate set in 408 patients (42 events); the MCE model used the same covariate set in 399 patients with classified MCE status (80 events). PTV_mean was the arithmetic mean of two blinded reader measurements. These analyses were exploratory and did not redefine the primary outcome model.</w:t>
      </w:r>
    </w:p>
    <w:p>
      <w:pPr>
        <w:keepNext/>
        <w:pageBreakBefore w:val="0"/>
        <w:spacing w:before="120" w:after="0"/>
      </w:pPr>
      <w:r>
        <w:rPr>
          <w:rFonts w:ascii="Times New Roman" w:hAnsi="Times New Roman"/>
          <w:b/>
          <w:sz w:val="20"/>
        </w:rPr>
        <w:t>21.Supplementary Table S15. Sensitivity of the adjusted PTV associations to eTICI coding</w:t>
      </w:r>
    </w:p>
    <w:tbl>
      <w:tblPr>
        <w:tblStyle w:val="9"/>
        <w:tblW w:w="13104" w:type="dxa"/>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450"/>
        <w:gridCol w:w="640"/>
        <w:gridCol w:w="4030"/>
        <w:gridCol w:w="720"/>
        <w:gridCol w:w="4334"/>
        <w:gridCol w:w="930"/>
      </w:tblGrid>
      <w:tr>
        <w:trPr>
          <w:cantSplit/>
        </w:trPr>
        <w:tc>
          <w:tcPr>
            <w:tcW w:type="dxa" w:w="2450"/>
            <w:vAlign w:val="center"/>
          </w:tcPr>
          <w:p>
            <w:pPr>
              <w:spacing w:before="0" w:after="0" w:line="240" w:lineRule="auto"/>
              <w:jc w:val="center"/>
            </w:pPr>
            <w:r>
              <w:rPr>
                <w:rFonts w:ascii="Times New Roman" w:hAnsi="Times New Roman"/>
                <w:sz w:val="16"/>
              </w:rPr>
              <w:t>PTV contrast</w:t>
            </w:r>
          </w:p>
        </w:tc>
        <w:tc>
          <w:tcPr>
            <w:tcW w:type="dxa" w:w="640"/>
            <w:vAlign w:val="center"/>
          </w:tcPr>
          <w:p>
            <w:pPr>
              <w:spacing w:before="0" w:after="0" w:line="240" w:lineRule="auto"/>
              <w:jc w:val="center"/>
            </w:pPr>
            <w:r>
              <w:rPr>
                <w:rFonts w:ascii="Times New Roman" w:hAnsi="Times New Roman"/>
                <w:sz w:val="16"/>
              </w:rPr>
              <w:t>N</w:t>
            </w:r>
          </w:p>
        </w:tc>
        <w:tc>
          <w:tcPr>
            <w:tcW w:type="dxa" w:w="4750"/>
            <w:gridSpan w:val="2"/>
            <w:vAlign w:val="center"/>
          </w:tcPr>
          <w:p>
            <w:pPr>
              <w:spacing w:before="0" w:after="0" w:line="240" w:lineRule="auto"/>
              <w:jc w:val="center"/>
            </w:pPr>
            <w:r>
              <w:rPr>
                <w:rFonts w:ascii="Times New Roman" w:hAnsi="Times New Roman"/>
                <w:sz w:val="16"/>
              </w:rPr>
              <w:t>Original numeric eTICI (0–5)</w:t>
            </w:r>
          </w:p>
        </w:tc>
        <w:tc>
          <w:tcPr>
            <w:tcW w:type="dxa" w:w="5264"/>
            <w:gridSpan w:val="2"/>
            <w:vAlign w:val="center"/>
          </w:tcPr>
          <w:p>
            <w:pPr>
              <w:spacing w:before="0" w:after="0" w:line="240" w:lineRule="auto"/>
              <w:jc w:val="center"/>
            </w:pPr>
            <w:r>
              <w:rPr>
                <w:rFonts w:ascii="Times New Roman" w:hAnsi="Times New Roman"/>
                <w:sz w:val="16"/>
              </w:rPr>
              <w:t>Collapsed eTICI (&lt;2c vs ≥2c)</w:t>
            </w:r>
          </w:p>
        </w:tc>
      </w:tr>
      <w:tr>
        <w:trPr>
          <w:cantSplit/>
        </w:trPr>
        <w:tc>
          <w:tcPr>
            <w:tcW w:type="dxa" w:w="2450"/>
            <w:vAlign w:val="center"/>
            <w:tcBorders>
              <w:bottom w:val="single" w:sz="4" w:color="000000"/>
            </w:tcBorders>
          </w:tcPr>
          <w:p>
            <w:pPr>
              <w:spacing w:before="0" w:after="0" w:line="240" w:lineRule="auto"/>
              <w:jc w:val="center"/>
            </w:pPr>
            <w:r>
              <w:rPr>
                <w:rFonts w:ascii="Times New Roman" w:hAnsi="Times New Roman"/>
                <w:sz w:val="16"/>
              </w:rPr>
            </w:r>
          </w:p>
        </w:tc>
        <w:tc>
          <w:tcPr>
            <w:tcW w:type="dxa" w:w="640"/>
            <w:vAlign w:val="center"/>
            <w:tcBorders>
              <w:bottom w:val="single" w:sz="4" w:color="000000"/>
            </w:tcBorders>
          </w:tcPr>
          <w:p>
            <w:pPr>
              <w:spacing w:before="0" w:after="0" w:line="240" w:lineRule="auto"/>
              <w:jc w:val="center"/>
            </w:pPr>
            <w:r>
              <w:rPr>
                <w:rFonts w:ascii="Times New Roman" w:hAnsi="Times New Roman"/>
                <w:sz w:val="16"/>
              </w:rPr>
            </w:r>
          </w:p>
        </w:tc>
        <w:tc>
          <w:tcPr>
            <w:tcW w:type="dxa" w:w="4030"/>
            <w:vAlign w:val="center"/>
            <w:tcBorders>
              <w:bottom w:val="single" w:sz="4" w:color="000000"/>
            </w:tcBorders>
          </w:tcPr>
          <w:p>
            <w:pPr>
              <w:spacing w:before="0" w:after="0" w:line="240" w:lineRule="auto"/>
              <w:jc w:val="center"/>
            </w:pPr>
            <w:r>
              <w:rPr>
                <w:rFonts w:ascii="Times New Roman" w:hAnsi="Times New Roman"/>
                <w:sz w:val="16"/>
              </w:rPr>
              <w:t>Adjusted OR (95% CI)</w:t>
            </w:r>
          </w:p>
        </w:tc>
        <w:tc>
          <w:tcPr>
            <w:tcW w:type="dxa" w:w="720"/>
            <w:vAlign w:val="center"/>
            <w:tcBorders>
              <w:bottom w:val="single" w:sz="4" w:color="000000"/>
            </w:tcBorders>
          </w:tcPr>
          <w:p>
            <w:pPr>
              <w:spacing w:before="0" w:after="0" w:line="240" w:lineRule="auto"/>
              <w:jc w:val="center"/>
            </w:pPr>
            <w:r>
              <w:rPr>
                <w:rFonts w:ascii="Times New Roman" w:hAnsi="Times New Roman"/>
                <w:sz w:val="16"/>
              </w:rPr>
              <w:t>P value</w:t>
            </w:r>
          </w:p>
        </w:tc>
        <w:tc>
          <w:tcPr>
            <w:tcW w:type="dxa" w:w="4334"/>
            <w:vAlign w:val="center"/>
            <w:tcBorders>
              <w:bottom w:val="single" w:sz="4" w:color="000000"/>
            </w:tcBorders>
          </w:tcPr>
          <w:p>
            <w:pPr>
              <w:spacing w:before="0" w:after="0" w:line="240" w:lineRule="auto"/>
              <w:jc w:val="center"/>
            </w:pPr>
            <w:r>
              <w:rPr>
                <w:rFonts w:ascii="Times New Roman" w:hAnsi="Times New Roman"/>
                <w:sz w:val="16"/>
              </w:rPr>
              <w:t>Adjusted OR (95% CI)</w:t>
            </w:r>
          </w:p>
        </w:tc>
        <w:tc>
          <w:tcPr>
            <w:tcW w:type="dxa" w:w="930"/>
            <w:vAlign w:val="center"/>
            <w:tcBorders>
              <w:bottom w:val="single" w:sz="4" w:color="000000"/>
            </w:tcBorders>
          </w:tcPr>
          <w:p>
            <w:pPr>
              <w:spacing w:before="0" w:after="0" w:line="240" w:lineRule="auto"/>
              <w:jc w:val="center"/>
            </w:pPr>
            <w:r>
              <w:rPr>
                <w:rFonts w:ascii="Times New Roman" w:hAnsi="Times New Roman"/>
                <w:sz w:val="16"/>
              </w:rPr>
              <w:t>P value</w:t>
            </w:r>
          </w:p>
        </w:tc>
      </w:tr>
      <w:tr>
        <w:trPr>
          <w:cantSplit/>
        </w:trPr>
        <w:tc>
          <w:tcPr>
            <w:tcW w:type="dxa" w:w="2450"/>
            <w:vAlign w:val="center"/>
          </w:tcPr>
          <w:p>
            <w:pPr>
              <w:spacing w:before="0" w:after="0" w:line="240" w:lineRule="auto"/>
            </w:pPr>
            <w:r>
              <w:rPr>
                <w:rFonts w:ascii="Times New Roman" w:hAnsi="Times New Roman"/>
                <w:sz w:val="16"/>
              </w:rPr>
              <w:t>Continuous PTV (per 1 s)</w:t>
            </w:r>
          </w:p>
        </w:tc>
        <w:tc>
          <w:tcPr>
            <w:tcW w:type="dxa" w:w="640"/>
            <w:vAlign w:val="center"/>
          </w:tcPr>
          <w:p>
            <w:pPr>
              <w:spacing w:before="0" w:after="0" w:line="240" w:lineRule="auto"/>
              <w:jc w:val="center"/>
            </w:pPr>
            <w:r>
              <w:rPr>
                <w:rFonts w:ascii="Times New Roman" w:hAnsi="Times New Roman"/>
                <w:sz w:val="16"/>
              </w:rPr>
              <w:t>408</w:t>
            </w:r>
          </w:p>
        </w:tc>
        <w:tc>
          <w:tcPr>
            <w:tcW w:type="dxa" w:w="4030"/>
            <w:vAlign w:val="center"/>
          </w:tcPr>
          <w:p>
            <w:pPr>
              <w:spacing w:before="0" w:after="0" w:line="240" w:lineRule="auto"/>
            </w:pPr>
            <w:r>
              <w:rPr>
                <w:rFonts w:ascii="Times New Roman" w:hAnsi="Times New Roman"/>
                <w:sz w:val="16"/>
              </w:rPr>
              <w:t>0.946 (0.902–0.992)</w:t>
            </w:r>
          </w:p>
        </w:tc>
        <w:tc>
          <w:tcPr>
            <w:tcW w:type="dxa" w:w="720"/>
            <w:vAlign w:val="center"/>
          </w:tcPr>
          <w:p>
            <w:pPr>
              <w:spacing w:before="0" w:after="0" w:line="240" w:lineRule="auto"/>
              <w:jc w:val="center"/>
            </w:pPr>
            <w:r>
              <w:rPr>
                <w:rFonts w:ascii="Times New Roman" w:hAnsi="Times New Roman"/>
                <w:sz w:val="16"/>
              </w:rPr>
              <w:t>0.022</w:t>
            </w:r>
          </w:p>
        </w:tc>
        <w:tc>
          <w:tcPr>
            <w:tcW w:type="dxa" w:w="4334"/>
            <w:vAlign w:val="center"/>
          </w:tcPr>
          <w:p>
            <w:pPr>
              <w:spacing w:before="0" w:after="0" w:line="240" w:lineRule="auto"/>
            </w:pPr>
            <w:r>
              <w:rPr>
                <w:rFonts w:ascii="Times New Roman" w:hAnsi="Times New Roman"/>
                <w:sz w:val="16"/>
              </w:rPr>
              <w:t>0.947 (0.903–0.993)</w:t>
            </w:r>
          </w:p>
        </w:tc>
        <w:tc>
          <w:tcPr>
            <w:tcW w:type="dxa" w:w="930"/>
            <w:vAlign w:val="center"/>
          </w:tcPr>
          <w:p>
            <w:pPr>
              <w:spacing w:before="0" w:after="0" w:line="240" w:lineRule="auto"/>
              <w:jc w:val="center"/>
            </w:pPr>
            <w:r>
              <w:rPr>
                <w:rFonts w:ascii="Times New Roman" w:hAnsi="Times New Roman"/>
                <w:sz w:val="16"/>
              </w:rPr>
              <w:t>0.024</w:t>
            </w:r>
          </w:p>
        </w:tc>
      </w:tr>
      <w:tr>
        <w:trPr>
          <w:cantSplit/>
        </w:trPr>
        <w:tc>
          <w:tcPr>
            <w:tcW w:type="dxa" w:w="2450"/>
            <w:vAlign w:val="center"/>
          </w:tcPr>
          <w:p>
            <w:pPr>
              <w:spacing w:before="0" w:after="0" w:line="240" w:lineRule="auto"/>
            </w:pPr>
            <w:r>
              <w:rPr>
                <w:rFonts w:ascii="Times New Roman" w:hAnsi="Times New Roman"/>
                <w:sz w:val="16"/>
              </w:rPr>
              <w:t>Q2 vs Q1</w:t>
            </w:r>
          </w:p>
        </w:tc>
        <w:tc>
          <w:tcPr>
            <w:tcW w:type="dxa" w:w="640"/>
            <w:vAlign w:val="center"/>
          </w:tcPr>
          <w:p>
            <w:pPr>
              <w:spacing w:before="0" w:after="0" w:line="240" w:lineRule="auto"/>
              <w:jc w:val="center"/>
            </w:pPr>
            <w:r>
              <w:rPr>
                <w:rFonts w:ascii="Times New Roman" w:hAnsi="Times New Roman"/>
                <w:sz w:val="16"/>
              </w:rPr>
              <w:t>408</w:t>
            </w:r>
          </w:p>
        </w:tc>
        <w:tc>
          <w:tcPr>
            <w:tcW w:type="dxa" w:w="4030"/>
            <w:vAlign w:val="center"/>
          </w:tcPr>
          <w:p>
            <w:pPr>
              <w:spacing w:before="0" w:after="0" w:line="240" w:lineRule="auto"/>
            </w:pPr>
            <w:r>
              <w:rPr>
                <w:rFonts w:ascii="Times New Roman" w:hAnsi="Times New Roman"/>
                <w:sz w:val="16"/>
              </w:rPr>
              <w:t>0.663 (0.338–1.301)</w:t>
            </w:r>
          </w:p>
        </w:tc>
        <w:tc>
          <w:tcPr>
            <w:tcW w:type="dxa" w:w="720"/>
            <w:vAlign w:val="center"/>
          </w:tcPr>
          <w:p>
            <w:pPr>
              <w:spacing w:before="0" w:after="0" w:line="240" w:lineRule="auto"/>
              <w:jc w:val="center"/>
            </w:pPr>
            <w:r>
              <w:rPr>
                <w:rFonts w:ascii="Times New Roman" w:hAnsi="Times New Roman"/>
                <w:sz w:val="16"/>
              </w:rPr>
              <w:t>0.232</w:t>
            </w:r>
          </w:p>
        </w:tc>
        <w:tc>
          <w:tcPr>
            <w:tcW w:type="dxa" w:w="4334"/>
            <w:vAlign w:val="center"/>
          </w:tcPr>
          <w:p>
            <w:pPr>
              <w:spacing w:before="0" w:after="0" w:line="240" w:lineRule="auto"/>
            </w:pPr>
            <w:r>
              <w:rPr>
                <w:rFonts w:ascii="Times New Roman" w:hAnsi="Times New Roman"/>
                <w:sz w:val="16"/>
              </w:rPr>
              <w:t>0.712 (0.366–1.385)</w:t>
            </w:r>
          </w:p>
        </w:tc>
        <w:tc>
          <w:tcPr>
            <w:tcW w:type="dxa" w:w="930"/>
            <w:vAlign w:val="center"/>
          </w:tcPr>
          <w:p>
            <w:pPr>
              <w:spacing w:before="0" w:after="0" w:line="240" w:lineRule="auto"/>
              <w:jc w:val="center"/>
            </w:pPr>
            <w:r>
              <w:rPr>
                <w:rFonts w:ascii="Times New Roman" w:hAnsi="Times New Roman"/>
                <w:sz w:val="16"/>
              </w:rPr>
              <w:t>0.317</w:t>
            </w:r>
          </w:p>
        </w:tc>
      </w:tr>
      <w:tr>
        <w:trPr>
          <w:cantSplit/>
        </w:trPr>
        <w:tc>
          <w:tcPr>
            <w:tcW w:type="dxa" w:w="2450"/>
            <w:vAlign w:val="center"/>
          </w:tcPr>
          <w:p>
            <w:pPr>
              <w:spacing w:before="0" w:after="0" w:line="240" w:lineRule="auto"/>
            </w:pPr>
            <w:r>
              <w:rPr>
                <w:rFonts w:ascii="Times New Roman" w:hAnsi="Times New Roman"/>
                <w:sz w:val="16"/>
              </w:rPr>
              <w:t>Q3 vs Q1</w:t>
            </w:r>
          </w:p>
        </w:tc>
        <w:tc>
          <w:tcPr>
            <w:tcW w:type="dxa" w:w="640"/>
            <w:vAlign w:val="center"/>
          </w:tcPr>
          <w:p>
            <w:pPr>
              <w:spacing w:before="0" w:after="0" w:line="240" w:lineRule="auto"/>
              <w:jc w:val="center"/>
            </w:pPr>
            <w:r>
              <w:rPr>
                <w:rFonts w:ascii="Times New Roman" w:hAnsi="Times New Roman"/>
                <w:sz w:val="16"/>
              </w:rPr>
              <w:t>408</w:t>
            </w:r>
          </w:p>
        </w:tc>
        <w:tc>
          <w:tcPr>
            <w:tcW w:type="dxa" w:w="4030"/>
            <w:vAlign w:val="center"/>
          </w:tcPr>
          <w:p>
            <w:pPr>
              <w:spacing w:before="0" w:after="0" w:line="240" w:lineRule="auto"/>
            </w:pPr>
            <w:r>
              <w:rPr>
                <w:rFonts w:ascii="Times New Roman" w:hAnsi="Times New Roman"/>
                <w:sz w:val="16"/>
              </w:rPr>
              <w:t>0.849 (0.430–1.674)</w:t>
            </w:r>
          </w:p>
        </w:tc>
        <w:tc>
          <w:tcPr>
            <w:tcW w:type="dxa" w:w="720"/>
            <w:vAlign w:val="center"/>
          </w:tcPr>
          <w:p>
            <w:pPr>
              <w:spacing w:before="0" w:after="0" w:line="240" w:lineRule="auto"/>
              <w:jc w:val="center"/>
            </w:pPr>
            <w:r>
              <w:rPr>
                <w:rFonts w:ascii="Times New Roman" w:hAnsi="Times New Roman"/>
                <w:sz w:val="16"/>
              </w:rPr>
              <w:t>0.636</w:t>
            </w:r>
          </w:p>
        </w:tc>
        <w:tc>
          <w:tcPr>
            <w:tcW w:type="dxa" w:w="4334"/>
            <w:vAlign w:val="center"/>
          </w:tcPr>
          <w:p>
            <w:pPr>
              <w:spacing w:before="0" w:after="0" w:line="240" w:lineRule="auto"/>
            </w:pPr>
            <w:r>
              <w:rPr>
                <w:rFonts w:ascii="Times New Roman" w:hAnsi="Times New Roman"/>
                <w:sz w:val="16"/>
              </w:rPr>
              <w:t>0.884 (0.452–1.727)</w:t>
            </w:r>
          </w:p>
        </w:tc>
        <w:tc>
          <w:tcPr>
            <w:tcW w:type="dxa" w:w="930"/>
            <w:vAlign w:val="center"/>
          </w:tcPr>
          <w:p>
            <w:pPr>
              <w:spacing w:before="0" w:after="0" w:line="240" w:lineRule="auto"/>
              <w:jc w:val="center"/>
            </w:pPr>
            <w:r>
              <w:rPr>
                <w:rFonts w:ascii="Times New Roman" w:hAnsi="Times New Roman"/>
                <w:sz w:val="16"/>
              </w:rPr>
              <w:t>0.717</w:t>
            </w:r>
          </w:p>
        </w:tc>
      </w:tr>
      <w:tr>
        <w:trPr>
          <w:cantSplit/>
        </w:trPr>
        <w:tc>
          <w:tcPr>
            <w:tcW w:type="dxa" w:w="2450"/>
            <w:vAlign w:val="center"/>
          </w:tcPr>
          <w:p>
            <w:pPr>
              <w:spacing w:before="0" w:after="0" w:line="240" w:lineRule="auto"/>
            </w:pPr>
            <w:r>
              <w:rPr>
                <w:rFonts w:ascii="Times New Roman" w:hAnsi="Times New Roman"/>
                <w:sz w:val="16"/>
              </w:rPr>
              <w:t>Q4 vs Q1</w:t>
            </w:r>
          </w:p>
        </w:tc>
        <w:tc>
          <w:tcPr>
            <w:tcW w:type="dxa" w:w="640"/>
            <w:vAlign w:val="center"/>
          </w:tcPr>
          <w:p>
            <w:pPr>
              <w:spacing w:before="0" w:after="0" w:line="240" w:lineRule="auto"/>
              <w:jc w:val="center"/>
            </w:pPr>
            <w:r>
              <w:rPr>
                <w:rFonts w:ascii="Times New Roman" w:hAnsi="Times New Roman"/>
                <w:sz w:val="16"/>
              </w:rPr>
              <w:t>408</w:t>
            </w:r>
          </w:p>
        </w:tc>
        <w:tc>
          <w:tcPr>
            <w:tcW w:type="dxa" w:w="4030"/>
            <w:vAlign w:val="center"/>
          </w:tcPr>
          <w:p>
            <w:pPr>
              <w:spacing w:before="0" w:after="0" w:line="240" w:lineRule="auto"/>
            </w:pPr>
            <w:r>
              <w:rPr>
                <w:rFonts w:ascii="Times New Roman" w:hAnsi="Times New Roman"/>
                <w:sz w:val="16"/>
              </w:rPr>
              <w:t>0.448 (0.208–0.967)</w:t>
            </w:r>
          </w:p>
        </w:tc>
        <w:tc>
          <w:tcPr>
            <w:tcW w:type="dxa" w:w="720"/>
            <w:vAlign w:val="center"/>
          </w:tcPr>
          <w:p>
            <w:pPr>
              <w:spacing w:before="0" w:after="0" w:line="240" w:lineRule="auto"/>
              <w:jc w:val="center"/>
            </w:pPr>
            <w:r>
              <w:rPr>
                <w:rFonts w:ascii="Times New Roman" w:hAnsi="Times New Roman"/>
                <w:sz w:val="16"/>
              </w:rPr>
              <w:t>0.041</w:t>
            </w:r>
          </w:p>
        </w:tc>
        <w:tc>
          <w:tcPr>
            <w:tcW w:type="dxa" w:w="4334"/>
            <w:vAlign w:val="center"/>
          </w:tcPr>
          <w:p>
            <w:pPr>
              <w:spacing w:before="0" w:after="0" w:line="240" w:lineRule="auto"/>
            </w:pPr>
            <w:r>
              <w:rPr>
                <w:rFonts w:ascii="Times New Roman" w:hAnsi="Times New Roman"/>
                <w:sz w:val="16"/>
              </w:rPr>
              <w:t>0.471 (0.220–1.010)</w:t>
            </w:r>
          </w:p>
        </w:tc>
        <w:tc>
          <w:tcPr>
            <w:tcW w:type="dxa" w:w="930"/>
            <w:vAlign w:val="center"/>
          </w:tcPr>
          <w:p>
            <w:pPr>
              <w:spacing w:before="0" w:after="0" w:line="240" w:lineRule="auto"/>
              <w:jc w:val="center"/>
            </w:pPr>
            <w:r>
              <w:rPr>
                <w:rFonts w:ascii="Times New Roman" w:hAnsi="Times New Roman"/>
                <w:sz w:val="16"/>
              </w:rPr>
              <w:t>0.053</w:t>
            </w:r>
          </w:p>
        </w:tc>
      </w:tr>
    </w:tbl>
    <w:p>
      <w:pPr>
        <w:keepLines/>
        <w:spacing w:before="40" w:after="0"/>
      </w:pPr>
      <w:r>
        <w:rPr>
          <w:rFonts w:ascii="Times New Roman" w:hAnsi="Times New Roman" w:eastAsia="Times New Roman" w:cs="Times New Roman"/>
          <w:sz w:val="16"/>
        </w:rPr>
        <w:t>Values are adjusted odds ratios for favorable 90-day outcome (mRS 0–2), with Wald 95% confidence intervals and two-sided Wald P values. Both models included age, atrial fibrillation, diabetes, TOAST subtype, occlusion site, baseline ASPECTS, baseline NIHSS, treatment workflow time (TWT), and eTICI; only eTICI coding differed. Original eTICI codes 0–5 represented grades 0, 1, 2a, 2b, 2c, and 3, respectively. Collapsed groups: &lt;2c, n=98 (25 favorable outcomes); ≥2c, n=310 (167 favorable outcomes). All four PTV quartiles contained 102 patients. Abbreviations: eTICI, expanded Treatment in Cerebral Infarction; PTV, peak time of venous outflow; OR, odds ratio; CI, confidence interval; mRS, modified Rankin Scale; ASPECTS, Alberta Stroke Program Early CT Score; NIHSS, National Institutes of Health Stroke Scale; TOAST, Trial of ORG 10172 in Acute Stroke Treatment.</w:t>
      </w:r>
    </w:p>
    <w:sectPr>
      <w:pgSz w:w="16840" w:h="11900" w:orient="landscape"/>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Times New Roman Bold">
    <w:panose1 w:val="02020503050405090304"/>
    <w:charset w:val="00"/>
    <w:family w:val="auto"/>
    <w:pitch w:val="default"/>
    <w:sig w:usb0="E0000AFF" w:usb1="00007843" w:usb2="00000001" w:usb3="00000000" w:csb0="400001BF" w:csb1="DFF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00687">
    <w:pPr>
      <w:spacing w:after="0" w:line="240" w:lineRule="auto"/>
      <w:jc w:val="cente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 PAGE </w:instrText>
    </w:r>
    <w:r>
      <w:rPr>
        <w:rFonts w:ascii="Times New Roman" w:hAnsi="Times New Roman" w:eastAsia="Times New Roman" w:cs="Times New Roman"/>
      </w:rPr>
      <w:fldChar w:fldCharType="separate"/>
    </w:r>
    <w:r>
      <w:rPr>
        <w:rFonts w:ascii="Times New Roman" w:hAnsi="Times New Roman" w:eastAsia="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A9124">
    <w:pPr>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AC27A">
    <w:pPr>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AF298">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E8ECA">
    <w:pPr>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5B8F">
    <w:pPr>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rPr>
        <w:rFonts w:hint="default" w:ascii="Times New Roman Bold" w:hAnsi="Times New Roman Bold" w:cs="Times New Roman Bold"/>
        <w:b/>
        <w:bCs/>
      </w:r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NotDisplayPageBoundaries w:val="1"/>
  <w:bordersDoNotSurroundHeader w:val="0"/>
  <w:bordersDoNotSurroundFooter w:val="0"/>
  <w:documentProtection w:enforcement="0"/>
  <w:defaultTabStop w:val="708"/>
  <w:hyphenationZone w:val="425"/>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000000"/>
    <w:rsid w:val="08DEBD70"/>
    <w:rsid w:val="17FB0AF0"/>
    <w:rsid w:val="19FD90B4"/>
    <w:rsid w:val="1CC22F05"/>
    <w:rsid w:val="24BF2213"/>
    <w:rsid w:val="269F9D22"/>
    <w:rsid w:val="2DDBC95D"/>
    <w:rsid w:val="2FBF066A"/>
    <w:rsid w:val="2FC7E1F7"/>
    <w:rsid w:val="2FFC35D4"/>
    <w:rsid w:val="35CD349D"/>
    <w:rsid w:val="35EFEAD0"/>
    <w:rsid w:val="3B8344B2"/>
    <w:rsid w:val="3BEE1BDC"/>
    <w:rsid w:val="3DBFE578"/>
    <w:rsid w:val="3DDFA0A6"/>
    <w:rsid w:val="3EACDC11"/>
    <w:rsid w:val="3F5FDF4D"/>
    <w:rsid w:val="3FFB8A52"/>
    <w:rsid w:val="44DE3C70"/>
    <w:rsid w:val="477F0560"/>
    <w:rsid w:val="47A9D84A"/>
    <w:rsid w:val="53AFD7B3"/>
    <w:rsid w:val="5CF757F6"/>
    <w:rsid w:val="5FF1A1E3"/>
    <w:rsid w:val="653EF309"/>
    <w:rsid w:val="677C0568"/>
    <w:rsid w:val="67EB06DA"/>
    <w:rsid w:val="69FF741A"/>
    <w:rsid w:val="6DB716D9"/>
    <w:rsid w:val="6DFF86B3"/>
    <w:rsid w:val="6EE8F4CB"/>
    <w:rsid w:val="6EEF0DC2"/>
    <w:rsid w:val="6FECEAF3"/>
    <w:rsid w:val="6FFDF90B"/>
    <w:rsid w:val="72FB789B"/>
    <w:rsid w:val="7387AB2E"/>
    <w:rsid w:val="75D71080"/>
    <w:rsid w:val="77B79E24"/>
    <w:rsid w:val="77DFD16B"/>
    <w:rsid w:val="77FBF8E3"/>
    <w:rsid w:val="79FD5ACC"/>
    <w:rsid w:val="7A21F78D"/>
    <w:rsid w:val="7AB7F55C"/>
    <w:rsid w:val="7ADF7889"/>
    <w:rsid w:val="7B63D815"/>
    <w:rsid w:val="7B9374FF"/>
    <w:rsid w:val="7BBB4964"/>
    <w:rsid w:val="7BEF96F2"/>
    <w:rsid w:val="7C9EAE26"/>
    <w:rsid w:val="7CFE5E1F"/>
    <w:rsid w:val="7DEF2E38"/>
    <w:rsid w:val="7DEFAEA2"/>
    <w:rsid w:val="7EFF7558"/>
    <w:rsid w:val="7F7A71B5"/>
    <w:rsid w:val="7F9382AC"/>
    <w:rsid w:val="7FAE19FC"/>
    <w:rsid w:val="7FEF3ECA"/>
    <w:rsid w:val="7FF73B15"/>
    <w:rsid w:val="7FF9C90B"/>
    <w:rsid w:val="7FFF9B8C"/>
    <w:rsid w:val="8EF13A93"/>
    <w:rsid w:val="9AEDD9E6"/>
    <w:rsid w:val="9CDE709A"/>
    <w:rsid w:val="AA3BD81E"/>
    <w:rsid w:val="ABF12D10"/>
    <w:rsid w:val="AEEFAE1F"/>
    <w:rsid w:val="B7C6EC41"/>
    <w:rsid w:val="B7FF129F"/>
    <w:rsid w:val="B9DE6DE4"/>
    <w:rsid w:val="BDFD9E15"/>
    <w:rsid w:val="BE678F0D"/>
    <w:rsid w:val="BF5AF623"/>
    <w:rsid w:val="BFE657FD"/>
    <w:rsid w:val="BFFB9289"/>
    <w:rsid w:val="C77F8561"/>
    <w:rsid w:val="C7FDB6D9"/>
    <w:rsid w:val="CB5BFD1E"/>
    <w:rsid w:val="CB7B1AB9"/>
    <w:rsid w:val="CE0F21FD"/>
    <w:rsid w:val="CFBBA65F"/>
    <w:rsid w:val="CFF37C9B"/>
    <w:rsid w:val="D3BF9132"/>
    <w:rsid w:val="D5E3E798"/>
    <w:rsid w:val="D77F20A2"/>
    <w:rsid w:val="DBBF1BCB"/>
    <w:rsid w:val="DD5F0583"/>
    <w:rsid w:val="DD7D5B86"/>
    <w:rsid w:val="DFE7EF48"/>
    <w:rsid w:val="DFFF87B2"/>
    <w:rsid w:val="E1E94791"/>
    <w:rsid w:val="E7B32CC3"/>
    <w:rsid w:val="E7F93916"/>
    <w:rsid w:val="EB9FB380"/>
    <w:rsid w:val="ED766995"/>
    <w:rsid w:val="EDDB4084"/>
    <w:rsid w:val="EE58505C"/>
    <w:rsid w:val="EEBFCD33"/>
    <w:rsid w:val="EF761E70"/>
    <w:rsid w:val="EF7E2C51"/>
    <w:rsid w:val="EFFED007"/>
    <w:rsid w:val="F27D902A"/>
    <w:rsid w:val="F5FFAE3F"/>
    <w:rsid w:val="F74E7764"/>
    <w:rsid w:val="F77A0EB1"/>
    <w:rsid w:val="F7910312"/>
    <w:rsid w:val="F8FB7179"/>
    <w:rsid w:val="F9312A54"/>
    <w:rsid w:val="FA37EAA0"/>
    <w:rsid w:val="FB6B998F"/>
    <w:rsid w:val="FBBB9C69"/>
    <w:rsid w:val="FBCDBC2B"/>
    <w:rsid w:val="FBFFA391"/>
    <w:rsid w:val="FBFFD989"/>
    <w:rsid w:val="FCBED47A"/>
    <w:rsid w:val="FD9F230A"/>
    <w:rsid w:val="FEC3D2D5"/>
    <w:rsid w:val="FECFB47E"/>
    <w:rsid w:val="FEEF3D12"/>
    <w:rsid w:val="FF7F4BD0"/>
    <w:rsid w:val="FF7FF9EC"/>
    <w:rsid w:val="FF8F969A"/>
    <w:rsid w:val="FFB30F66"/>
    <w:rsid w:val="FFBFC4B3"/>
    <w:rsid w:val="FFEEB04C"/>
    <w:rsid w:val="FFFC2107"/>
    <w:rsid w:val="FFFF61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276" w:lineRule="auto"/>
    </w:pPr>
    <w:rPr>
      <w:rFonts w:asciiTheme="minorHAnsi" w:hAnsiTheme="minorHAnsi" w:eastAsiaTheme="minorEastAsia" w:cstheme="minorBidi"/>
      <w:sz w:val="22"/>
      <w:szCs w:val="24"/>
      <w:lang w:val="en-US" w:eastAsia="en-US" w:bidi="ar-SA"/>
    </w:rPr>
  </w:style>
  <w:style w:type="paragraph" w:styleId="2">
    <w:name w:val="heading 1"/>
    <w:basedOn w:val="1"/>
    <w:next w:val="1"/>
    <w:link w:val="16"/>
    <w:qFormat/>
    <w:uiPriority w:val="9"/>
    <w:pPr>
      <w:keepNext/>
      <w:keepLines/>
      <w:numPr>
        <w:ilvl w:val="0"/>
        <w:numId w:val="1"/>
      </w:numPr>
      <w:spacing w:before="160" w:after="40" w:line="276" w:lineRule="auto"/>
      <w:outlineLvl w:val="0"/>
    </w:pPr>
    <w:rPr>
      <w:rFonts w:asciiTheme="majorHAnsi" w:hAnsiTheme="majorHAnsi" w:eastAsiaTheme="majorEastAsia" w:cstheme="majorBidi"/>
      <w:b/>
      <w:bCs/>
      <w:sz w:val="26"/>
      <w:szCs w:val="32"/>
    </w:rPr>
  </w:style>
  <w:style w:type="paragraph" w:styleId="3">
    <w:name w:val="heading 2"/>
    <w:basedOn w:val="1"/>
    <w:next w:val="1"/>
    <w:link w:val="17"/>
    <w:semiHidden/>
    <w:unhideWhenUsed/>
    <w:qFormat/>
    <w:uiPriority w:val="9"/>
    <w:pPr>
      <w:keepNext/>
      <w:keepLines/>
      <w:numPr>
        <w:ilvl w:val="1"/>
        <w:numId w:val="1"/>
      </w:numPr>
      <w:spacing w:before="160" w:after="40" w:line="276" w:lineRule="auto"/>
      <w:outlineLvl w:val="1"/>
    </w:pPr>
    <w:rPr>
      <w:rFonts w:asciiTheme="majorHAnsi" w:hAnsiTheme="majorHAnsi" w:eastAsiaTheme="majorEastAsia" w:cstheme="majorBidi"/>
      <w:b/>
      <w:bCs/>
      <w:sz w:val="22"/>
      <w:szCs w:val="26"/>
    </w:rPr>
  </w:style>
  <w:style w:type="paragraph" w:styleId="4">
    <w:name w:val="heading 3"/>
    <w:basedOn w:val="1"/>
    <w:next w:val="1"/>
    <w:link w:val="18"/>
    <w:semiHidden/>
    <w:unhideWhenUsed/>
    <w:qFormat/>
    <w:uiPriority w:val="9"/>
    <w:pPr>
      <w:keepNext/>
      <w:keepLines/>
      <w:numPr>
        <w:ilvl w:val="2"/>
        <w:numId w:val="1"/>
      </w:numPr>
      <w:spacing w:before="160" w:after="40" w:line="276" w:lineRule="auto"/>
      <w:outlineLvl w:val="2"/>
    </w:pPr>
    <w:rPr>
      <w:rFonts w:asciiTheme="majorHAnsi" w:hAnsiTheme="majorHAnsi" w:eastAsiaTheme="majorEastAsia" w:cstheme="majorBidi"/>
      <w:b/>
      <w:bCs/>
    </w:rPr>
  </w:style>
  <w:style w:type="character" w:default="1" w:styleId="12">
    <w:name w:val="Default Paragraph Font"/>
    <w:semiHidden/>
    <w:unhideWhenUsed/>
    <w:uiPriority w:val="1"/>
    <w:rPr>
      <w:rFonts w:ascii="Times New Roman" w:hAnsi="Times New Roman" w:eastAsia="Times New Roman" w:cs="Times New Roman"/>
    </w:rPr>
  </w:style>
  <w:style w:type="table" w:default="1" w:styleId="9">
    <w:name w:val="Normal Table"/>
    <w:semiHidden/>
    <w:unhideWhenUsed/>
    <w:uiPriority w:val="99"/>
    <w:rPr>
      <w:rFonts w:ascii="Times New Roman" w:hAnsi="Times New Roman" w:eastAsia="Times New Roman" w:cs="Times New Roman"/>
    </w:rPr>
    <w:tblPr>
      <w:tblCellMar>
        <w:top w:w="0" w:type="dxa"/>
        <w:left w:w="108" w:type="dxa"/>
        <w:bottom w:w="0" w:type="dxa"/>
        <w:right w:w="108" w:type="dxa"/>
      </w:tblCellMar>
    </w:tblPr>
  </w:style>
  <w:style w:type="paragraph" w:styleId="5">
    <w:name w:val="Balloon Text"/>
    <w:basedOn w:val="1"/>
    <w:link w:val="21"/>
    <w:semiHidden/>
    <w:unhideWhenUsed/>
    <w:uiPriority w:val="99"/>
    <w:pPr>
      <w:spacing w:after="60" w:line="276" w:lineRule="auto"/>
    </w:pPr>
    <w:rPr>
      <w:rFonts w:ascii="Times New Roman" w:hAnsi="Times New Roman" w:eastAsia="Times New Roman" w:cs="Times New Roman"/>
      <w:sz w:val="18"/>
      <w:szCs w:val="18"/>
    </w:rPr>
  </w:style>
  <w:style w:type="paragraph" w:styleId="6">
    <w:name w:val="toc 1"/>
    <w:basedOn w:val="1"/>
    <w:next w:val="1"/>
    <w:autoRedefine/>
    <w:unhideWhenUsed/>
    <w:uiPriority w:val="39"/>
    <w:pPr>
      <w:spacing w:after="60" w:line="276" w:lineRule="auto"/>
    </w:pPr>
    <w:rPr>
      <w:rFonts w:ascii="Times New Roman" w:hAnsi="Times New Roman" w:eastAsia="Times New Roman" w:cs="Times New Roman"/>
    </w:rPr>
  </w:style>
  <w:style w:type="paragraph" w:styleId="7">
    <w:name w:val="toc 2"/>
    <w:basedOn w:val="1"/>
    <w:next w:val="1"/>
    <w:autoRedefine/>
    <w:unhideWhenUsed/>
    <w:uiPriority w:val="39"/>
    <w:pPr>
      <w:spacing w:after="60" w:line="276" w:lineRule="auto"/>
      <w:ind w:left="240"/>
    </w:pPr>
    <w:rPr>
      <w:rFonts w:ascii="Times New Roman" w:hAnsi="Times New Roman" w:eastAsia="Times New Roman" w:cs="Times New Roman"/>
    </w:rPr>
  </w:style>
  <w:style w:type="paragraph" w:styleId="8">
    <w:name w:val="Normal (Web)"/>
    <w:basedOn w:val="1"/>
    <w:uiPriority w:val="0"/>
    <w:pPr>
      <w:spacing w:after="60" w:line="276" w:lineRule="auto"/>
    </w:pPr>
    <w:rPr>
      <w:rFonts w:ascii="Times New Roman" w:hAnsi="Times New Roman" w:eastAsia="Times New Roman" w:cs="Times New Roman"/>
      <w:sz w:val="24"/>
    </w:rPr>
  </w:style>
  <w:style w:type="table" w:styleId="10">
    <w:name w:val="Table Professional"/>
    <w:basedOn w:val="9"/>
    <w:semiHidden/>
    <w:unhideWhenUsed/>
    <w:uiPriority w:val="99"/>
    <w:rPr>
      <w:rFonts w:ascii="Times New Roman" w:hAnsi="Times New Roman" w:eastAsia="Times New Roman" w:cs="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rFonts w:ascii="Times New Roman" w:hAnsi="Times New Roman" w:eastAsia="Times New Roman" w:cs="Times New Roman"/>
        <w:b/>
        <w:bCs/>
        <w:color w:val="auto"/>
      </w:rPr>
      <w:tblPr/>
      <w:tcPr>
        <w:shd w:val="solid" w:color="000000" w:fill="FFFFFF"/>
      </w:tcPr>
    </w:tblStylePr>
  </w:style>
  <w:style w:type="table" w:styleId="11">
    <w:name w:val="Light List Accent 2"/>
    <w:basedOn w:val="9"/>
    <w:uiPriority w:val="61"/>
    <w:rPr>
      <w:rFonts w:ascii="Times New Roman" w:hAnsi="Times New Roman" w:eastAsia="Times New Roman" w:cs="Times New Roman"/>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rFonts w:ascii="Times New Roman" w:hAnsi="Times New Roman" w:eastAsia="Times New Roman" w:cs="Times New Roman"/>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rFonts w:ascii="Times New Roman" w:hAnsi="Times New Roman" w:eastAsia="Times New Roman" w:cs="Times New Roman"/>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customStyle="1" w:styleId="13">
    <w:name w:val="strong"/>
    <w:basedOn w:val="12"/>
    <w:qFormat/>
    <w:uiPriority w:val="1"/>
    <w:rPr>
      <w:rFonts w:ascii="Times New Roman" w:hAnsi="Times New Roman" w:eastAsia="Times New Roman" w:cs="Times New Roman"/>
      <w:b/>
    </w:rPr>
  </w:style>
  <w:style w:type="paragraph" w:customStyle="1" w:styleId="14">
    <w:name w:val="centered"/>
    <w:basedOn w:val="1"/>
    <w:qFormat/>
    <w:uiPriority w:val="0"/>
    <w:pPr>
      <w:spacing w:after="60" w:line="276" w:lineRule="auto"/>
      <w:jc w:val="center"/>
    </w:pPr>
    <w:rPr>
      <w:rFonts w:ascii="Times New Roman" w:hAnsi="Times New Roman" w:eastAsia="Times New Roman" w:cs="Times New Roman"/>
    </w:rPr>
  </w:style>
  <w:style w:type="table" w:customStyle="1" w:styleId="15">
    <w:name w:val="table_template"/>
    <w:basedOn w:val="9"/>
    <w:uiPriority w:val="59"/>
    <w:pPr>
      <w:jc w:val="right"/>
    </w:pPr>
    <w:rPr>
      <w:rFonts w:ascii="Times New Roman" w:hAnsi="Times New Roman" w:eastAsia="Times New Roman" w:cs="Times New Roman"/>
    </w:rPr>
    <w:tblPr>
      <w:jc w:val="center"/>
      <w:tblBorders>
        <w:top w:val="single" w:color="auto" w:sz="8" w:space="0"/>
        <w:bottom w:val="single" w:color="auto" w:sz="8" w:space="0"/>
        <w:insideH w:val="single" w:color="auto" w:sz="8" w:space="0"/>
      </w:tblBorders>
    </w:tblPr>
    <w:trPr>
      <w:jc w:val="center"/>
    </w:trPr>
    <w:tblStylePr w:type="firstRow">
      <w:rPr>
        <w:rFonts w:ascii="Times New Roman" w:hAnsi="Times New Roman" w:eastAsia="Times New Roman" w:cs="Times New Roman"/>
        <w:b/>
      </w:rPr>
      <w:tcPr>
        <w:tcBorders>
          <w:top w:val="nil"/>
          <w:left w:val="nil"/>
          <w:bottom w:val="single" w:color="auto" w:sz="18" w:space="0"/>
          <w:right w:val="nil"/>
          <w:insideH w:val="nil"/>
          <w:insideV w:val="nil"/>
          <w:tl2br w:val="nil"/>
          <w:tr2bl w:val="nil"/>
        </w:tcBorders>
      </w:tcPr>
    </w:tblStylePr>
  </w:style>
  <w:style w:type="character" w:customStyle="1" w:styleId="16">
    <w:name w:val="Titre 1 Car"/>
    <w:basedOn w:val="12"/>
    <w:link w:val="2"/>
    <w:uiPriority w:val="9"/>
    <w:rPr>
      <w:rFonts w:asciiTheme="majorHAnsi" w:hAnsiTheme="majorHAnsi" w:eastAsiaTheme="majorEastAsia" w:cstheme="majorBidi"/>
      <w:b/>
      <w:bCs/>
      <w:sz w:val="32"/>
      <w:szCs w:val="32"/>
    </w:rPr>
  </w:style>
  <w:style w:type="character" w:customStyle="1" w:styleId="17">
    <w:name w:val="Titre 2 Car"/>
    <w:basedOn w:val="12"/>
    <w:link w:val="3"/>
    <w:semiHidden/>
    <w:uiPriority w:val="9"/>
    <w:rPr>
      <w:rFonts w:asciiTheme="majorHAnsi" w:hAnsiTheme="majorHAnsi" w:eastAsiaTheme="majorEastAsia" w:cstheme="majorBidi"/>
      <w:b/>
      <w:bCs/>
      <w:sz w:val="26"/>
      <w:szCs w:val="26"/>
    </w:rPr>
  </w:style>
  <w:style w:type="character" w:customStyle="1" w:styleId="18">
    <w:name w:val="Titre 3 Car"/>
    <w:basedOn w:val="12"/>
    <w:link w:val="4"/>
    <w:semiHidden/>
    <w:uiPriority w:val="9"/>
    <w:rPr>
      <w:rFonts w:asciiTheme="majorHAnsi" w:hAnsiTheme="majorHAnsi" w:eastAsiaTheme="majorEastAsia" w:cstheme="majorBidi"/>
      <w:b/>
      <w:bCs/>
    </w:rPr>
  </w:style>
  <w:style w:type="paragraph" w:customStyle="1" w:styleId="19">
    <w:name w:val="Image Caption"/>
    <w:basedOn w:val="1"/>
    <w:qFormat/>
    <w:uiPriority w:val="0"/>
    <w:pPr>
      <w:spacing w:after="60" w:line="276" w:lineRule="auto"/>
      <w:jc w:val="center"/>
    </w:pPr>
    <w:rPr>
      <w:rFonts w:ascii="Times New Roman" w:hAnsi="Times New Roman" w:eastAsia="Times New Roman" w:cs="Times New Roman"/>
      <w:b/>
      <w:i/>
    </w:rPr>
  </w:style>
  <w:style w:type="paragraph" w:customStyle="1" w:styleId="20">
    <w:name w:val="Table Caption"/>
    <w:basedOn w:val="19"/>
    <w:qFormat/>
    <w:uiPriority w:val="0"/>
    <w:pPr>
      <w:spacing w:after="60" w:line="276" w:lineRule="auto"/>
    </w:pPr>
    <w:rPr>
      <w:rFonts w:ascii="Times New Roman" w:hAnsi="Times New Roman" w:eastAsia="Times New Roman" w:cs="Times New Roman"/>
    </w:rPr>
  </w:style>
  <w:style w:type="character" w:customStyle="1" w:styleId="21">
    <w:name w:val="Texte de bulles Car"/>
    <w:basedOn w:val="12"/>
    <w:link w:val="5"/>
    <w:semiHidden/>
    <w:uiPriority w:val="99"/>
    <w:rPr>
      <w:rFonts w:ascii="Times New Roman" w:hAnsi="Times New Roman" w:eastAsia="Times New Roman" w:cs="Times New Roman"/>
      <w:sz w:val="18"/>
      <w:szCs w:val="18"/>
    </w:rPr>
  </w:style>
  <w:style w:type="character" w:customStyle="1" w:styleId="22">
    <w:name w:val="reference_id"/>
    <w:basedOn w:val="12"/>
    <w:uiPriority w:val="1"/>
    <w:rPr>
      <w:rFonts w:ascii="Times New Roman" w:hAnsi="Times New Roman" w:eastAsia="Times New Roman" w:cs="Times New Roman"/>
      <w:vertAlign w:val="superscript"/>
    </w:rPr>
  </w:style>
  <w:style w:type="paragraph" w:customStyle="1" w:styleId="23">
    <w:name w:val="graphic title"/>
    <w:basedOn w:val="19"/>
    <w:next w:val="1"/>
    <w:uiPriority w:val="0"/>
    <w:pPr>
      <w:spacing w:after="60" w:line="276" w:lineRule="auto"/>
    </w:pPr>
    <w:rPr>
      <w:rFonts w:ascii="Times New Roman" w:hAnsi="Times New Roman" w:eastAsia="Times New Roman" w:cs="Times New Roman"/>
    </w:rPr>
  </w:style>
  <w:style w:type="paragraph" w:customStyle="1" w:styleId="24">
    <w:name w:val="table title"/>
    <w:basedOn w:val="20"/>
    <w:next w:val="1"/>
    <w:uiPriority w:val="0"/>
    <w:pPr>
      <w:spacing w:after="60" w:line="276" w:lineRule="auto"/>
    </w:pPr>
    <w:rPr>
      <w:rFonts w:ascii="Times New Roman" w:hAnsi="Times New Roman" w:eastAsia="Times New Roman" w:cs="Times New Roman"/>
    </w:rPr>
  </w:style>
  <w:style w:type="character" w:customStyle="1" w:styleId="25">
    <w:name w:val="font31"/>
    <w:basedOn w:val="12"/>
    <w:uiPriority w:val="0"/>
    <w:rPr>
      <w:rFonts w:hint="default" w:ascii="Times New Roman" w:hAnsi="Times New Roman" w:eastAsia="Times New Roman" w:cs="Times New Roman"/>
      <w:b/>
      <w:bCs/>
      <w:color w:val="000000"/>
      <w:sz w:val="21"/>
      <w:szCs w:val="21"/>
      <w:u w:val="none"/>
    </w:rPr>
  </w:style>
  <w:style w:type="paragraph" w:customStyle="1" w:styleId="26">
    <w:name w:val="p1"/>
    <w:basedOn w:val="1"/>
    <w:uiPriority w:val="0"/>
    <w:pPr>
      <w:spacing w:before="0" w:beforeAutospacing="0" w:after="60" w:afterAutospacing="0" w:line="276" w:lineRule="auto"/>
      <w:ind w:left="0" w:right="0"/>
      <w:jc w:val="left"/>
    </w:pPr>
    <w:rPr>
      <w:rFonts w:ascii="Times New Roman" w:hAnsi="Times New Roman" w:eastAsia="Times New Roman" w:cs="Times New Roman"/>
      <w:color w:val="000000"/>
      <w:kern w:val="0"/>
      <w:sz w:val="28"/>
      <w:szCs w:val="28"/>
      <w:lang w:val="en-US" w:eastAsia="zh-CN" w:bidi="ar"/>
    </w:rPr>
  </w:style>
  <w:style w:type="paragraph" w:customStyle="1" w:styleId="27">
    <w:name w:val="Title"/>
    <w:basedOn w:val="1"/>
    <w:uiPriority w:val="0"/>
    <w:pPr>
      <w:spacing w:before="200" w:after="120" w:line="276" w:lineRule="auto"/>
    </w:pPr>
    <w:rPr>
      <w:rFonts w:ascii="Times New Roman" w:hAnsi="Times New Roman" w:eastAsia="Times New Roman" w:cs="Times New Roman"/>
      <w:b/>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6.png"/><Relationship Id="rId16" Type="http://schemas.openxmlformats.org/officeDocument/2006/relationships/image" Target="media/image5.tiff"/><Relationship Id="rId15" Type="http://schemas.openxmlformats.org/officeDocument/2006/relationships/image" Target="media/image4.tiff"/><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17</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2017-03-06T11:18:00Z</dcterms:created>
  <dc:creator>Meng Guo; Guangyong Ai; Liping Huang; Chen Gong; Shuyu Jiang; Chawen Ding; Chang Liu; Changqing Li</dc:creator>
  <cp:keywords>BMC Neurology; venous outflow; CT perfusion; large vessel occlusion; stroke</cp:keywords>
  <cp:lastModifiedBy>Medusa</cp:lastModifiedBy>
  <dcterms:modified xsi:type="dcterms:W3CDTF">2026-10-06T11:29:40Z</dcterms:modified>
  <dc:subject>Supplementary material for BMC Neurology</dc:subject>
  <dc:title>Additional file 1: Supplementary figures and tables</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95C82DADC31BF279B9E1376AAAD7432C_42</vt:lpwstr>
  </property>
</Properties>
</file>