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265" w:rsidRPr="0024599F" w:rsidRDefault="00096265" w:rsidP="00096265">
      <w:r>
        <w:rPr>
          <w:rFonts w:cstheme="minorHAnsi"/>
          <w:b/>
          <w:szCs w:val="24"/>
        </w:rPr>
        <w:t xml:space="preserve">Table </w:t>
      </w:r>
      <w:r w:rsidR="002A62F9">
        <w:rPr>
          <w:rFonts w:cstheme="minorHAnsi"/>
          <w:b/>
          <w:szCs w:val="24"/>
        </w:rPr>
        <w:t>6</w:t>
      </w:r>
      <w:r w:rsidRPr="00067538">
        <w:rPr>
          <w:rFonts w:cstheme="minorHAnsi"/>
          <w:b/>
          <w:szCs w:val="24"/>
        </w:rPr>
        <w:t>.</w:t>
      </w:r>
      <w:r>
        <w:rPr>
          <w:rFonts w:cstheme="minorHAnsi"/>
          <w:b/>
          <w:szCs w:val="24"/>
        </w:rPr>
        <w:t xml:space="preserve"> </w:t>
      </w:r>
      <w:bookmarkStart w:id="0" w:name="_GoBack"/>
      <w:bookmarkEnd w:id="0"/>
      <w:r w:rsidR="00C84752">
        <w:rPr>
          <w:rFonts w:cstheme="minorHAnsi"/>
          <w:b/>
          <w:kern w:val="0"/>
          <w:szCs w:val="24"/>
        </w:rPr>
        <w:t xml:space="preserve">Maternal characteristics and clinical risk factors </w:t>
      </w:r>
      <w:r w:rsidRPr="00067538">
        <w:rPr>
          <w:rFonts w:cstheme="minorHAnsi"/>
          <w:b/>
          <w:szCs w:val="24"/>
        </w:rPr>
        <w:t>associated with preeclampsia</w:t>
      </w:r>
      <w:r>
        <w:rPr>
          <w:rFonts w:cstheme="minorHAnsi"/>
          <w:b/>
          <w:szCs w:val="24"/>
        </w:rPr>
        <w:t xml:space="preserve"> by age group</w:t>
      </w:r>
    </w:p>
    <w:tbl>
      <w:tblPr>
        <w:tblStyle w:val="a3"/>
        <w:tblW w:w="1488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392"/>
        <w:gridCol w:w="1112"/>
        <w:gridCol w:w="1196"/>
        <w:gridCol w:w="345"/>
        <w:gridCol w:w="1068"/>
        <w:gridCol w:w="1444"/>
        <w:gridCol w:w="1148"/>
        <w:gridCol w:w="236"/>
        <w:gridCol w:w="15"/>
        <w:gridCol w:w="1006"/>
        <w:gridCol w:w="1178"/>
        <w:gridCol w:w="1772"/>
      </w:tblGrid>
      <w:tr w:rsidR="00096265" w:rsidTr="00505165">
        <w:trPr>
          <w:jc w:val="center"/>
        </w:trPr>
        <w:tc>
          <w:tcPr>
            <w:tcW w:w="2972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096265" w:rsidRDefault="00096265" w:rsidP="00505165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370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265" w:rsidRPr="009D3898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3898">
              <w:rPr>
                <w:rFonts w:cstheme="minorHAnsi"/>
                <w:b/>
                <w:sz w:val="20"/>
                <w:szCs w:val="20"/>
              </w:rPr>
              <w:t>Age 15-24</w:t>
            </w:r>
          </w:p>
        </w:tc>
        <w:tc>
          <w:tcPr>
            <w:tcW w:w="345" w:type="dxa"/>
            <w:tcBorders>
              <w:top w:val="single" w:sz="12" w:space="0" w:color="auto"/>
              <w:bottom w:val="nil"/>
            </w:tcBorders>
            <w:vAlign w:val="center"/>
          </w:tcPr>
          <w:p w:rsidR="00096265" w:rsidRPr="009D3898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6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265" w:rsidRPr="009D3898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3898">
              <w:rPr>
                <w:rFonts w:cstheme="minorHAnsi"/>
                <w:b/>
                <w:sz w:val="20"/>
                <w:szCs w:val="20"/>
              </w:rPr>
              <w:t>Age 25-34</w:t>
            </w:r>
          </w:p>
        </w:tc>
        <w:tc>
          <w:tcPr>
            <w:tcW w:w="2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096265" w:rsidRPr="009D3898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96265" w:rsidRPr="009D3898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D3898">
              <w:rPr>
                <w:rFonts w:cstheme="minorHAnsi"/>
                <w:b/>
                <w:sz w:val="20"/>
                <w:szCs w:val="20"/>
              </w:rPr>
              <w:t>Age 35-55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25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Adjusted Relative risk</w:t>
            </w:r>
          </w:p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  <w:r w:rsidRPr="007500B0">
              <w:rPr>
                <w:rFonts w:ascii="Arial Unicode MS" w:eastAsia="Arial Unicode MS" w:hAnsi="Arial Unicode MS" w:cs="Arial Unicode MS" w:hint="eastAsia"/>
                <w:b/>
                <w:sz w:val="14"/>
                <w:szCs w:val="20"/>
              </w:rPr>
              <w:t>‡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6E0064">
              <w:rPr>
                <w:rFonts w:cstheme="minorHAnsi" w:hint="eastAsia"/>
                <w:b/>
                <w:i/>
                <w:sz w:val="20"/>
                <w:szCs w:val="20"/>
              </w:rPr>
              <w:t>P</w:t>
            </w:r>
            <w:r>
              <w:rPr>
                <w:rFonts w:cstheme="minorHAnsi" w:hint="eastAsia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widowControl/>
              <w:rPr>
                <w:rFonts w:cstheme="minorHAnsi"/>
                <w:b/>
                <w:sz w:val="20"/>
                <w:szCs w:val="20"/>
              </w:rPr>
            </w:pPr>
          </w:p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Adjusted Relative risk</w:t>
            </w:r>
          </w:p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  <w:r w:rsidRPr="007500B0">
              <w:rPr>
                <w:rFonts w:ascii="Arial Unicode MS" w:eastAsia="Arial Unicode MS" w:hAnsi="Arial Unicode MS" w:cs="Arial Unicode MS" w:hint="eastAsia"/>
                <w:b/>
                <w:sz w:val="14"/>
                <w:szCs w:val="20"/>
              </w:rPr>
              <w:t>‡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6E0064">
              <w:rPr>
                <w:rFonts w:cstheme="minorHAnsi" w:hint="eastAsia"/>
                <w:b/>
                <w:i/>
                <w:sz w:val="20"/>
                <w:szCs w:val="20"/>
              </w:rPr>
              <w:t>P</w:t>
            </w:r>
            <w:r>
              <w:rPr>
                <w:rFonts w:cstheme="minorHAnsi" w:hint="eastAsia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Adjusted Relative risk</w:t>
            </w:r>
          </w:p>
          <w:p w:rsidR="00096265" w:rsidRPr="00F91903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  <w:r w:rsidRPr="007500B0">
              <w:rPr>
                <w:rFonts w:ascii="Arial Unicode MS" w:eastAsia="Arial Unicode MS" w:hAnsi="Arial Unicode MS" w:cs="Arial Unicode MS" w:hint="eastAsia"/>
                <w:b/>
                <w:sz w:val="14"/>
                <w:szCs w:val="20"/>
              </w:rPr>
              <w:t>‡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0064">
              <w:rPr>
                <w:rFonts w:cstheme="minorHAnsi" w:hint="eastAsia"/>
                <w:b/>
                <w:i/>
                <w:sz w:val="20"/>
                <w:szCs w:val="20"/>
              </w:rPr>
              <w:t>P</w:t>
            </w:r>
            <w:r>
              <w:rPr>
                <w:rFonts w:cstheme="minorHAnsi" w:hint="eastAsia"/>
                <w:b/>
                <w:sz w:val="20"/>
                <w:szCs w:val="20"/>
              </w:rPr>
              <w:t xml:space="preserve"> value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C84752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6A4490">
              <w:rPr>
                <w:rFonts w:cstheme="minorHAnsi"/>
                <w:b/>
                <w:sz w:val="20"/>
                <w:szCs w:val="20"/>
              </w:rPr>
              <w:t xml:space="preserve">Number of prior </w:t>
            </w:r>
            <w:r w:rsidRPr="006A4490">
              <w:rPr>
                <w:rFonts w:ascii="新細明體" w:eastAsia="新細明體" w:hAnsi="新細明體" w:cstheme="minorHAnsi" w:hint="eastAsia"/>
                <w:b/>
                <w:sz w:val="20"/>
                <w:szCs w:val="20"/>
              </w:rPr>
              <w:t>≧</w:t>
            </w:r>
            <w:r w:rsidRPr="006A4490">
              <w:rPr>
                <w:rFonts w:cstheme="minorHAnsi"/>
                <w:b/>
                <w:sz w:val="20"/>
                <w:szCs w:val="20"/>
              </w:rPr>
              <w:t>20 weeks births (parity)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1.88 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(1.71-2.06)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44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(1.64-1.75)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1.63 </w:t>
            </w:r>
          </w:p>
        </w:tc>
        <w:tc>
          <w:tcPr>
            <w:tcW w:w="1178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(1.56-1.71)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≥1</w:t>
            </w:r>
          </w:p>
        </w:tc>
        <w:tc>
          <w:tcPr>
            <w:tcW w:w="250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EF40D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Acute Coronary syndrome 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E05C9F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E05C9F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0.81 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(0.33-1.99)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0.64 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(0.67-1.18)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0.41 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0.95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(0.71-1.26)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0.72 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Chronic ischemic heart disease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0.70 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(0.32-1.53)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0.37 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(0.66-1.04)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0.10 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0.97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(0.77-1.23)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0.80 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Previous stroke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1.06 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(0.47-2.37)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0.89 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(1.04-1.64)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0.02</w:t>
            </w:r>
            <w:r>
              <w:rPr>
                <w:color w:val="000000"/>
                <w:sz w:val="20"/>
                <w:szCs w:val="20"/>
              </w:rPr>
              <w:t>*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1.39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(1.08-1.78)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0.01</w:t>
            </w:r>
            <w:r>
              <w:rPr>
                <w:color w:val="000000"/>
                <w:sz w:val="20"/>
                <w:szCs w:val="20"/>
              </w:rPr>
              <w:t>*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Diabetes mellitus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bottom w:val="nil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4.79 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(3.56-6.46)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(1.97-2.39)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1.64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(1.47-1.84)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</w:tcPr>
          <w:p w:rsidR="00096265" w:rsidRPr="00E87AA8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E87AA8">
              <w:rPr>
                <w:rFonts w:cstheme="minorHAnsi"/>
                <w:b/>
                <w:sz w:val="20"/>
                <w:szCs w:val="20"/>
              </w:rPr>
              <w:t>Chronic hypertension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bottom w:val="nil"/>
            </w:tcBorders>
          </w:tcPr>
          <w:p w:rsidR="00096265" w:rsidRPr="0027205C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27205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5" w:type="dxa"/>
            <w:tcBorders>
              <w:bottom w:val="nil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nil"/>
              <w:bottom w:val="single" w:sz="4" w:space="0" w:color="auto"/>
            </w:tcBorders>
          </w:tcPr>
          <w:p w:rsidR="00096265" w:rsidRPr="0027205C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27205C">
              <w:rPr>
                <w:rFonts w:cstheme="minorHAnsi"/>
                <w:sz w:val="20"/>
                <w:szCs w:val="20"/>
              </w:rPr>
              <w:lastRenderedPageBreak/>
              <w:t>Yes</w:t>
            </w:r>
          </w:p>
        </w:tc>
        <w:tc>
          <w:tcPr>
            <w:tcW w:w="13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10.24 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(7.64-13.7)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5" w:type="dxa"/>
            <w:tcBorders>
              <w:top w:val="nil"/>
              <w:bottom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14.83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(13.9-15.8)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11.19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(10.4-12.0)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096265" w:rsidTr="00505165">
        <w:trPr>
          <w:jc w:val="center"/>
        </w:trPr>
        <w:tc>
          <w:tcPr>
            <w:tcW w:w="2972" w:type="dxa"/>
            <w:tcBorders>
              <w:top w:val="single" w:sz="4" w:space="0" w:color="auto"/>
            </w:tcBorders>
            <w:vAlign w:val="center"/>
          </w:tcPr>
          <w:p w:rsidR="00096265" w:rsidRPr="0076488A" w:rsidRDefault="00096265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Hyperthyroidism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2504" w:type="dxa"/>
            <w:gridSpan w:val="2"/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5" w:type="dxa"/>
            <w:vAlign w:val="center"/>
          </w:tcPr>
          <w:p w:rsidR="00096265" w:rsidRPr="003B25B4" w:rsidRDefault="00096265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772" w:type="dxa"/>
            <w:vAlign w:val="center"/>
          </w:tcPr>
          <w:p w:rsidR="00096265" w:rsidRDefault="00096265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096265" w:rsidTr="00505165">
        <w:trPr>
          <w:jc w:val="center"/>
        </w:trPr>
        <w:tc>
          <w:tcPr>
            <w:tcW w:w="2972" w:type="dxa"/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392" w:type="dxa"/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1.92 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(1.53-2.42)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5" w:type="dxa"/>
            <w:vAlign w:val="center"/>
          </w:tcPr>
          <w:p w:rsidR="00096265" w:rsidRPr="003B25B4" w:rsidRDefault="00096265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(1.15-1.34)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096265" w:rsidRDefault="00096265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1.04 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(0.93-1.17)</w:t>
            </w:r>
          </w:p>
        </w:tc>
        <w:tc>
          <w:tcPr>
            <w:tcW w:w="1772" w:type="dxa"/>
            <w:shd w:val="clear" w:color="auto" w:fill="auto"/>
            <w:vAlign w:val="center"/>
          </w:tcPr>
          <w:p w:rsidR="00096265" w:rsidRDefault="00096265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0.46 </w:t>
            </w:r>
          </w:p>
        </w:tc>
      </w:tr>
    </w:tbl>
    <w:p w:rsidR="00096265" w:rsidRPr="00067538" w:rsidRDefault="00096265" w:rsidP="00096265">
      <w:pPr>
        <w:rPr>
          <w:rFonts w:cstheme="minorHAnsi"/>
          <w:sz w:val="20"/>
          <w:szCs w:val="20"/>
        </w:rPr>
      </w:pPr>
      <w:r w:rsidRPr="00067538">
        <w:rPr>
          <w:rFonts w:ascii="Arial Unicode MS" w:eastAsia="Arial Unicode MS" w:hAnsi="Arial Unicode MS" w:cs="Arial Unicode MS" w:hint="eastAsia"/>
          <w:sz w:val="20"/>
          <w:szCs w:val="20"/>
        </w:rPr>
        <w:t>‡</w:t>
      </w:r>
      <w:r w:rsidRPr="00067538">
        <w:rPr>
          <w:sz w:val="20"/>
          <w:szCs w:val="20"/>
        </w:rPr>
        <w:t>Adjusted Relative risk</w:t>
      </w:r>
      <w:r w:rsidR="00C84752">
        <w:rPr>
          <w:sz w:val="20"/>
          <w:szCs w:val="20"/>
        </w:rPr>
        <w:t xml:space="preserve">: adjusted with </w:t>
      </w:r>
      <w:r>
        <w:rPr>
          <w:rFonts w:eastAsia="標楷體" w:cstheme="minorHAnsi"/>
          <w:sz w:val="20"/>
          <w:szCs w:val="20"/>
        </w:rPr>
        <w:t xml:space="preserve">income, </w:t>
      </w:r>
      <w:r w:rsidRPr="00873BDA">
        <w:rPr>
          <w:rFonts w:eastAsia="標楷體" w:cstheme="minorHAnsi"/>
          <w:sz w:val="20"/>
          <w:szCs w:val="20"/>
        </w:rPr>
        <w:t>urbanization</w:t>
      </w:r>
      <w:r>
        <w:rPr>
          <w:rFonts w:eastAsia="標楷體" w:cstheme="minorHAnsi"/>
          <w:sz w:val="20"/>
          <w:szCs w:val="20"/>
        </w:rPr>
        <w:t xml:space="preserve">, </w:t>
      </w:r>
      <w:r w:rsidR="00C84752">
        <w:rPr>
          <w:rFonts w:eastAsia="標楷體" w:cstheme="minorHAnsi"/>
          <w:sz w:val="20"/>
          <w:szCs w:val="20"/>
        </w:rPr>
        <w:t>parity</w:t>
      </w:r>
      <w:r w:rsidRPr="00067538">
        <w:rPr>
          <w:rFonts w:eastAsia="標楷體" w:cstheme="minorHAnsi"/>
          <w:sz w:val="20"/>
          <w:szCs w:val="20"/>
        </w:rPr>
        <w:t>, acute coronary syndrome, chronic ischemic heart disease,</w:t>
      </w:r>
      <w:r w:rsidR="00C84752">
        <w:rPr>
          <w:rFonts w:eastAsia="標楷體" w:cstheme="minorHAnsi"/>
          <w:sz w:val="20"/>
          <w:szCs w:val="20"/>
        </w:rPr>
        <w:t xml:space="preserve"> </w:t>
      </w:r>
      <w:r w:rsidRPr="00067538">
        <w:rPr>
          <w:rFonts w:cstheme="minorHAnsi"/>
          <w:sz w:val="20"/>
          <w:szCs w:val="20"/>
        </w:rPr>
        <w:t>stroke, diabetes mellitus,</w:t>
      </w:r>
      <w:r w:rsidRPr="00505165">
        <w:rPr>
          <w:rFonts w:cstheme="minorHAnsi"/>
          <w:sz w:val="20"/>
          <w:szCs w:val="20"/>
        </w:rPr>
        <w:t xml:space="preserve"> </w:t>
      </w:r>
      <w:r w:rsidR="00C84752">
        <w:rPr>
          <w:rFonts w:cstheme="minorHAnsi"/>
          <w:sz w:val="20"/>
          <w:szCs w:val="20"/>
        </w:rPr>
        <w:t xml:space="preserve">chronic </w:t>
      </w:r>
      <w:r w:rsidRPr="00505165">
        <w:rPr>
          <w:rFonts w:cstheme="minorHAnsi"/>
          <w:sz w:val="20"/>
          <w:szCs w:val="20"/>
        </w:rPr>
        <w:t>hypertension</w:t>
      </w:r>
      <w:r w:rsidRPr="00067538">
        <w:rPr>
          <w:rFonts w:cstheme="minorHAnsi"/>
          <w:sz w:val="20"/>
          <w:szCs w:val="20"/>
        </w:rPr>
        <w:t xml:space="preserve"> and hyperthyroidism</w:t>
      </w:r>
    </w:p>
    <w:p w:rsidR="00096265" w:rsidRPr="00A9458F" w:rsidRDefault="00096265" w:rsidP="00096265">
      <w:pPr>
        <w:rPr>
          <w:rFonts w:cstheme="minorHAnsi"/>
          <w:sz w:val="20"/>
          <w:szCs w:val="24"/>
        </w:rPr>
      </w:pPr>
      <w:r w:rsidRPr="00067538">
        <w:rPr>
          <w:rFonts w:cstheme="minorHAnsi"/>
          <w:sz w:val="20"/>
          <w:szCs w:val="24"/>
        </w:rPr>
        <w:t>*</w:t>
      </w:r>
      <w:r w:rsidRPr="00067538">
        <w:rPr>
          <w:rFonts w:cstheme="minorHAnsi"/>
          <w:i/>
          <w:sz w:val="20"/>
          <w:szCs w:val="24"/>
        </w:rPr>
        <w:t>P</w:t>
      </w:r>
      <w:r w:rsidRPr="00067538">
        <w:rPr>
          <w:rFonts w:cstheme="minorHAnsi"/>
          <w:sz w:val="20"/>
          <w:szCs w:val="24"/>
        </w:rPr>
        <w:t>&lt;0.05</w:t>
      </w: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096265" w:rsidRDefault="00096265" w:rsidP="00A9458F">
      <w:pPr>
        <w:rPr>
          <w:rFonts w:cstheme="minorHAnsi"/>
          <w:b/>
          <w:szCs w:val="24"/>
        </w:rPr>
      </w:pPr>
    </w:p>
    <w:p w:rsidR="00A9458F" w:rsidRDefault="00A9458F" w:rsidP="00A9458F">
      <w:r w:rsidRPr="00067538">
        <w:rPr>
          <w:rFonts w:cstheme="minorHAnsi"/>
          <w:b/>
          <w:szCs w:val="24"/>
        </w:rPr>
        <w:lastRenderedPageBreak/>
        <w:t xml:space="preserve">Table </w:t>
      </w:r>
      <w:r w:rsidR="002A62F9">
        <w:rPr>
          <w:rFonts w:cstheme="minorHAnsi"/>
          <w:b/>
          <w:szCs w:val="24"/>
        </w:rPr>
        <w:t>7</w:t>
      </w:r>
      <w:r w:rsidRPr="00067538">
        <w:rPr>
          <w:rFonts w:cstheme="minorHAnsi"/>
          <w:b/>
          <w:szCs w:val="24"/>
        </w:rPr>
        <w:t>.</w:t>
      </w:r>
      <w:r>
        <w:rPr>
          <w:rFonts w:cstheme="minorHAnsi"/>
          <w:b/>
          <w:szCs w:val="24"/>
        </w:rPr>
        <w:t xml:space="preserve"> </w:t>
      </w:r>
      <w:bookmarkStart w:id="1" w:name="_Hlk509571871"/>
      <w:r w:rsidR="00C84752">
        <w:rPr>
          <w:rFonts w:cstheme="minorHAnsi"/>
          <w:b/>
          <w:kern w:val="0"/>
          <w:szCs w:val="24"/>
        </w:rPr>
        <w:t>Maternal characteristics and clinical risk factors</w:t>
      </w:r>
      <w:r w:rsidRPr="00067538">
        <w:rPr>
          <w:rFonts w:cstheme="minorHAnsi"/>
          <w:b/>
          <w:szCs w:val="24"/>
        </w:rPr>
        <w:t xml:space="preserve"> associated with preeclampsia</w:t>
      </w:r>
      <w:r>
        <w:rPr>
          <w:rFonts w:cstheme="minorHAnsi"/>
          <w:b/>
          <w:szCs w:val="24"/>
        </w:rPr>
        <w:t xml:space="preserve"> by hypertension</w:t>
      </w:r>
      <w:bookmarkEnd w:id="1"/>
    </w:p>
    <w:tbl>
      <w:tblPr>
        <w:tblStyle w:val="a3"/>
        <w:tblW w:w="1618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4"/>
        <w:gridCol w:w="812"/>
        <w:gridCol w:w="1112"/>
        <w:gridCol w:w="1196"/>
        <w:gridCol w:w="344"/>
        <w:gridCol w:w="1068"/>
        <w:gridCol w:w="1444"/>
        <w:gridCol w:w="1148"/>
        <w:gridCol w:w="236"/>
        <w:gridCol w:w="15"/>
        <w:gridCol w:w="1006"/>
        <w:gridCol w:w="1178"/>
        <w:gridCol w:w="977"/>
        <w:gridCol w:w="300"/>
        <w:gridCol w:w="803"/>
        <w:gridCol w:w="1248"/>
        <w:gridCol w:w="885"/>
      </w:tblGrid>
      <w:tr w:rsidR="00A9458F" w:rsidTr="00505165">
        <w:trPr>
          <w:jc w:val="center"/>
        </w:trPr>
        <w:tc>
          <w:tcPr>
            <w:tcW w:w="2414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A9458F" w:rsidRDefault="00A9458F" w:rsidP="00505165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712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Without HTN</w:t>
            </w:r>
          </w:p>
        </w:tc>
        <w:tc>
          <w:tcPr>
            <w:tcW w:w="251" w:type="dxa"/>
            <w:gridSpan w:val="2"/>
            <w:tcBorders>
              <w:top w:val="single" w:sz="12" w:space="0" w:color="auto"/>
              <w:bottom w:val="nil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97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With HTN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rPr>
                <w:rFonts w:cstheme="minorHAnsi"/>
                <w:b/>
                <w:szCs w:val="2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Crude Relative risk</w:t>
            </w:r>
          </w:p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 w:hint="eastAsia"/>
                <w:b/>
                <w:sz w:val="20"/>
                <w:szCs w:val="20"/>
              </w:rPr>
              <w:t>P value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widowControl/>
              <w:rPr>
                <w:rFonts w:cstheme="minorHAnsi"/>
                <w:b/>
                <w:sz w:val="20"/>
                <w:szCs w:val="20"/>
              </w:rPr>
            </w:pPr>
          </w:p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Adjusted Relative risk</w:t>
            </w:r>
          </w:p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  <w:r w:rsidRPr="007500B0">
              <w:rPr>
                <w:rFonts w:ascii="Arial Unicode MS" w:eastAsia="Arial Unicode MS" w:hAnsi="Arial Unicode MS" w:cs="Arial Unicode MS" w:hint="eastAsia"/>
                <w:b/>
                <w:sz w:val="14"/>
                <w:szCs w:val="20"/>
              </w:rPr>
              <w:t>‡</w:t>
            </w:r>
          </w:p>
        </w:tc>
        <w:tc>
          <w:tcPr>
            <w:tcW w:w="1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6E0064">
              <w:rPr>
                <w:rFonts w:cstheme="minorHAnsi" w:hint="eastAsia"/>
                <w:b/>
                <w:i/>
                <w:sz w:val="20"/>
                <w:szCs w:val="20"/>
              </w:rPr>
              <w:t>P</w:t>
            </w:r>
            <w:r>
              <w:rPr>
                <w:rFonts w:cstheme="minorHAnsi" w:hint="eastAsia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Pr="008F5ABD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Crude Relative risk</w:t>
            </w:r>
          </w:p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F5ABD">
              <w:rPr>
                <w:rFonts w:cstheme="minorHAnsi"/>
                <w:b/>
                <w:sz w:val="20"/>
                <w:szCs w:val="20"/>
              </w:rPr>
              <w:t>(95%CI)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E0064">
              <w:rPr>
                <w:rFonts w:cstheme="minorHAnsi" w:hint="eastAsia"/>
                <w:b/>
                <w:i/>
                <w:sz w:val="20"/>
                <w:szCs w:val="20"/>
              </w:rPr>
              <w:t>P</w:t>
            </w:r>
            <w:r>
              <w:rPr>
                <w:rFonts w:cstheme="minorHAnsi" w:hint="eastAsia"/>
                <w:b/>
                <w:sz w:val="20"/>
                <w:szCs w:val="20"/>
              </w:rPr>
              <w:t xml:space="preserve"> value</w:t>
            </w:r>
          </w:p>
        </w:tc>
        <w:tc>
          <w:tcPr>
            <w:tcW w:w="3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Pr="00F91903" w:rsidRDefault="00A9458F" w:rsidP="0050516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Adjusted Relative risk</w:t>
            </w:r>
          </w:p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F91903">
              <w:rPr>
                <w:rFonts w:cstheme="minorHAnsi"/>
                <w:b/>
                <w:sz w:val="20"/>
                <w:szCs w:val="20"/>
              </w:rPr>
              <w:t>(95%CI)</w:t>
            </w:r>
            <w:r w:rsidRPr="007500B0">
              <w:rPr>
                <w:rFonts w:ascii="Arial Unicode MS" w:eastAsia="Arial Unicode MS" w:hAnsi="Arial Unicode MS" w:cs="Arial Unicode MS" w:hint="eastAsia"/>
                <w:b/>
                <w:sz w:val="14"/>
                <w:szCs w:val="20"/>
              </w:rPr>
              <w:t>‡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>
              <w:rPr>
                <w:rFonts w:cstheme="minorHAnsi" w:hint="eastAsia"/>
                <w:b/>
                <w:sz w:val="20"/>
                <w:szCs w:val="20"/>
              </w:rPr>
              <w:t>P value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DE4B4F">
              <w:rPr>
                <w:rFonts w:cstheme="minorHAnsi"/>
                <w:b/>
                <w:sz w:val="20"/>
                <w:szCs w:val="20"/>
              </w:rPr>
              <w:t>Age at deliver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15-24</w:t>
            </w:r>
          </w:p>
        </w:tc>
        <w:tc>
          <w:tcPr>
            <w:tcW w:w="1924" w:type="dxa"/>
            <w:gridSpan w:val="2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25-34</w:t>
            </w:r>
          </w:p>
        </w:tc>
        <w:tc>
          <w:tcPr>
            <w:tcW w:w="812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1.40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(1.35-1.45)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1444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(1.41-1.53)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117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(1.30-1.90)</w:t>
            </w: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(1.32-1.95)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35-55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(2.36-2.56)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2.68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(2.56-2.80)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(1.51-2.24)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(1.56-2.32)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C84752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6A4490">
              <w:rPr>
                <w:rFonts w:cstheme="minorHAnsi"/>
                <w:b/>
                <w:sz w:val="20"/>
                <w:szCs w:val="20"/>
              </w:rPr>
              <w:t xml:space="preserve">Number of prior </w:t>
            </w:r>
            <w:r w:rsidRPr="006A4490">
              <w:rPr>
                <w:rFonts w:ascii="新細明體" w:eastAsia="新細明體" w:hAnsi="新細明體" w:cstheme="minorHAnsi" w:hint="eastAsia"/>
                <w:b/>
                <w:sz w:val="20"/>
                <w:szCs w:val="20"/>
              </w:rPr>
              <w:t>≧</w:t>
            </w:r>
            <w:r w:rsidRPr="006A4490">
              <w:rPr>
                <w:rFonts w:cstheme="minorHAnsi"/>
                <w:b/>
                <w:sz w:val="20"/>
                <w:szCs w:val="20"/>
              </w:rPr>
              <w:t>20 weeks births (parity)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12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1112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(1.50-1.57)</w:t>
            </w:r>
          </w:p>
        </w:tc>
        <w:tc>
          <w:tcPr>
            <w:tcW w:w="1196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1.75</w:t>
            </w:r>
          </w:p>
        </w:tc>
        <w:tc>
          <w:tcPr>
            <w:tcW w:w="1444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(1.70-1.80)</w:t>
            </w:r>
          </w:p>
        </w:tc>
        <w:tc>
          <w:tcPr>
            <w:tcW w:w="114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17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(0.96-1.09)</w:t>
            </w:r>
          </w:p>
        </w:tc>
        <w:tc>
          <w:tcPr>
            <w:tcW w:w="977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0.51 </w:t>
            </w: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(0.97-1.11)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0.28 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≥1</w:t>
            </w:r>
          </w:p>
        </w:tc>
        <w:tc>
          <w:tcPr>
            <w:tcW w:w="192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EF40D4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Acute Coronary syndrome 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E05C9F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E05C9F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24" w:type="dxa"/>
            <w:gridSpan w:val="2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(0.99-1.60)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0.06 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(0.84-1.36)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0.60 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0.73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(0.55-0.97)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3*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(0.55-0.97)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0.03</w:t>
            </w:r>
            <w:r>
              <w:rPr>
                <w:color w:val="000000"/>
                <w:sz w:val="20"/>
                <w:szCs w:val="20"/>
              </w:rPr>
              <w:t>*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Chronic ischemic heart disease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24" w:type="dxa"/>
            <w:gridSpan w:val="2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(1.36-2.05)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(1.11-1.67)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0.70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(0.57-0.85)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(0.57-0.85)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Previous stroke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24" w:type="dxa"/>
            <w:gridSpan w:val="2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1.72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(1.41-2.09)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(1.22-1.81)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1.07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(0.82-1.39)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0.62 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(0.84-1.43)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0.48 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lastRenderedPageBreak/>
              <w:t>Diabetes mellitus</w:t>
            </w:r>
          </w:p>
        </w:tc>
        <w:tc>
          <w:tcPr>
            <w:tcW w:w="812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nil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24" w:type="dxa"/>
            <w:gridSpan w:val="2"/>
            <w:tcBorders>
              <w:top w:val="nil"/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tcBorders>
              <w:top w:val="nil"/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bottom w:val="nil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1" w:type="dxa"/>
            <w:gridSpan w:val="2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tcBorders>
              <w:top w:val="nil"/>
              <w:bottom w:val="nil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(2.98-3.47)</w:t>
            </w:r>
          </w:p>
        </w:tc>
        <w:tc>
          <w:tcPr>
            <w:tcW w:w="119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2.93</w:t>
            </w:r>
          </w:p>
        </w:tc>
        <w:tc>
          <w:tcPr>
            <w:tcW w:w="144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(2.72-3.17)</w:t>
            </w:r>
          </w:p>
        </w:tc>
        <w:tc>
          <w:tcPr>
            <w:tcW w:w="11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5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1.09 </w:t>
            </w:r>
          </w:p>
        </w:tc>
        <w:tc>
          <w:tcPr>
            <w:tcW w:w="117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(0.99-1.21)</w:t>
            </w:r>
          </w:p>
        </w:tc>
        <w:tc>
          <w:tcPr>
            <w:tcW w:w="9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</w:t>
            </w:r>
            <w:r>
              <w:rPr>
                <w:color w:val="000000"/>
                <w:sz w:val="20"/>
                <w:szCs w:val="20"/>
              </w:rPr>
              <w:t>9</w:t>
            </w:r>
            <w:r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bottom w:val="single" w:sz="4" w:space="0" w:color="auto"/>
            </w:tcBorders>
            <w:vAlign w:val="center"/>
          </w:tcPr>
          <w:p w:rsidR="00A9458F" w:rsidRDefault="00A9458F" w:rsidP="0050516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24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(0.99-1.21)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0.09</w:t>
            </w:r>
          </w:p>
        </w:tc>
      </w:tr>
      <w:tr w:rsidR="00A9458F" w:rsidTr="00505165">
        <w:trPr>
          <w:jc w:val="center"/>
        </w:trPr>
        <w:tc>
          <w:tcPr>
            <w:tcW w:w="2414" w:type="dxa"/>
            <w:tcBorders>
              <w:top w:val="single" w:sz="4" w:space="0" w:color="auto"/>
            </w:tcBorders>
            <w:vAlign w:val="center"/>
          </w:tcPr>
          <w:p w:rsidR="00A9458F" w:rsidRPr="0076488A" w:rsidRDefault="00A9458F" w:rsidP="00505165">
            <w:pPr>
              <w:rPr>
                <w:rFonts w:cstheme="minorHAnsi"/>
                <w:b/>
                <w:sz w:val="20"/>
                <w:szCs w:val="20"/>
              </w:rPr>
            </w:pPr>
            <w:r w:rsidRPr="0076488A">
              <w:rPr>
                <w:rFonts w:cstheme="minorHAnsi"/>
                <w:b/>
                <w:sz w:val="20"/>
                <w:szCs w:val="20"/>
              </w:rPr>
              <w:t>Hyperthyroidism</w:t>
            </w:r>
          </w:p>
        </w:tc>
        <w:tc>
          <w:tcPr>
            <w:tcW w:w="8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</w:tcBorders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924" w:type="dxa"/>
            <w:gridSpan w:val="2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96" w:type="dxa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44" w:type="dxa"/>
            <w:vAlign w:val="center"/>
          </w:tcPr>
          <w:p w:rsidR="00A9458F" w:rsidRPr="003B25B4" w:rsidRDefault="00A9458F" w:rsidP="0050516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512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1148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977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300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  <w:r w:rsidRPr="003B25B4">
              <w:rPr>
                <w:rFonts w:cstheme="minorHAnsi"/>
                <w:sz w:val="20"/>
                <w:szCs w:val="20"/>
              </w:rPr>
              <w:t>Reference</w:t>
            </w:r>
          </w:p>
        </w:tc>
        <w:tc>
          <w:tcPr>
            <w:tcW w:w="885" w:type="dxa"/>
            <w:vAlign w:val="center"/>
          </w:tcPr>
          <w:p w:rsidR="00A9458F" w:rsidRDefault="00A9458F" w:rsidP="00505165">
            <w:pPr>
              <w:jc w:val="center"/>
              <w:rPr>
                <w:rFonts w:cstheme="minorHAnsi"/>
                <w:b/>
                <w:szCs w:val="24"/>
              </w:rPr>
            </w:pPr>
          </w:p>
        </w:tc>
      </w:tr>
      <w:tr w:rsidR="00A9458F" w:rsidTr="00505165">
        <w:trPr>
          <w:jc w:val="center"/>
        </w:trPr>
        <w:tc>
          <w:tcPr>
            <w:tcW w:w="2414" w:type="dxa"/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  <w:r w:rsidRPr="003B25B4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812" w:type="dxa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1.48</w:t>
            </w:r>
          </w:p>
        </w:tc>
        <w:tc>
          <w:tcPr>
            <w:tcW w:w="1112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(1.39-1.58)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44" w:type="dxa"/>
            <w:vAlign w:val="center"/>
          </w:tcPr>
          <w:p w:rsidR="00A9458F" w:rsidRPr="003B25B4" w:rsidRDefault="00A9458F" w:rsidP="0050516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A9458F" w:rsidRDefault="00A9458F" w:rsidP="00505165">
            <w:pPr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(1.25-1.42)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0.66 </w:t>
            </w:r>
          </w:p>
        </w:tc>
        <w:tc>
          <w:tcPr>
            <w:tcW w:w="1178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(0.56-0.77)</w:t>
            </w:r>
          </w:p>
        </w:tc>
        <w:tc>
          <w:tcPr>
            <w:tcW w:w="977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00" w:type="dxa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A9458F" w:rsidRDefault="00A9458F" w:rsidP="00505165">
            <w:pPr>
              <w:widowControl/>
              <w:jc w:val="right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248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(0.56-0.76)</w:t>
            </w:r>
          </w:p>
        </w:tc>
        <w:tc>
          <w:tcPr>
            <w:tcW w:w="885" w:type="dxa"/>
            <w:shd w:val="clear" w:color="auto" w:fill="auto"/>
            <w:vAlign w:val="center"/>
          </w:tcPr>
          <w:p w:rsidR="00A9458F" w:rsidRDefault="00A9458F" w:rsidP="0050516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&lt;0.01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</w:tr>
    </w:tbl>
    <w:p w:rsidR="00A9458F" w:rsidRPr="00067538" w:rsidRDefault="00A9458F" w:rsidP="00A9458F">
      <w:pPr>
        <w:rPr>
          <w:rFonts w:cstheme="minorHAnsi"/>
          <w:sz w:val="20"/>
          <w:szCs w:val="20"/>
        </w:rPr>
      </w:pPr>
      <w:r w:rsidRPr="00067538">
        <w:rPr>
          <w:rFonts w:ascii="Arial Unicode MS" w:eastAsia="Arial Unicode MS" w:hAnsi="Arial Unicode MS" w:cs="Arial Unicode MS" w:hint="eastAsia"/>
          <w:sz w:val="20"/>
          <w:szCs w:val="20"/>
        </w:rPr>
        <w:t>‡</w:t>
      </w:r>
      <w:r w:rsidRPr="00067538">
        <w:rPr>
          <w:sz w:val="20"/>
          <w:szCs w:val="20"/>
        </w:rPr>
        <w:t>Adjusted Relative risk</w:t>
      </w:r>
      <w:r w:rsidR="00C84752">
        <w:rPr>
          <w:sz w:val="20"/>
          <w:szCs w:val="20"/>
        </w:rPr>
        <w:t xml:space="preserve">: </w:t>
      </w:r>
      <w:r w:rsidRPr="00067538">
        <w:rPr>
          <w:sz w:val="20"/>
          <w:szCs w:val="20"/>
        </w:rPr>
        <w:t xml:space="preserve">adjusted </w:t>
      </w:r>
      <w:r w:rsidR="00C84752">
        <w:rPr>
          <w:sz w:val="20"/>
          <w:szCs w:val="20"/>
        </w:rPr>
        <w:t xml:space="preserve">with </w:t>
      </w:r>
      <w:r w:rsidRPr="00067538">
        <w:rPr>
          <w:rFonts w:eastAsia="標楷體" w:cstheme="minorHAnsi"/>
          <w:sz w:val="20"/>
          <w:szCs w:val="20"/>
        </w:rPr>
        <w:t>age at deliver</w:t>
      </w:r>
      <w:r w:rsidR="00C84752">
        <w:rPr>
          <w:rFonts w:eastAsia="標楷體" w:cstheme="minorHAnsi"/>
          <w:sz w:val="20"/>
          <w:szCs w:val="20"/>
        </w:rPr>
        <w:t>y</w:t>
      </w:r>
      <w:r w:rsidRPr="00067538">
        <w:rPr>
          <w:rFonts w:eastAsia="標楷體" w:cstheme="minorHAnsi"/>
          <w:sz w:val="20"/>
          <w:szCs w:val="20"/>
        </w:rPr>
        <w:t xml:space="preserve">, </w:t>
      </w:r>
      <w:r>
        <w:rPr>
          <w:rFonts w:eastAsia="標楷體" w:cstheme="minorHAnsi"/>
          <w:sz w:val="20"/>
          <w:szCs w:val="20"/>
        </w:rPr>
        <w:t xml:space="preserve">income, </w:t>
      </w:r>
      <w:r w:rsidRPr="00873BDA">
        <w:rPr>
          <w:rFonts w:eastAsia="標楷體" w:cstheme="minorHAnsi"/>
          <w:sz w:val="20"/>
          <w:szCs w:val="20"/>
        </w:rPr>
        <w:t>urbanization</w:t>
      </w:r>
      <w:r>
        <w:rPr>
          <w:rFonts w:eastAsia="標楷體" w:cstheme="minorHAnsi"/>
          <w:sz w:val="20"/>
          <w:szCs w:val="20"/>
        </w:rPr>
        <w:t xml:space="preserve">, </w:t>
      </w:r>
      <w:r w:rsidR="00C84752">
        <w:rPr>
          <w:rFonts w:eastAsia="標楷體" w:cstheme="minorHAnsi"/>
          <w:sz w:val="20"/>
          <w:szCs w:val="20"/>
        </w:rPr>
        <w:t>parity,</w:t>
      </w:r>
      <w:r w:rsidRPr="00067538">
        <w:rPr>
          <w:rFonts w:eastAsia="標楷體" w:cstheme="minorHAnsi"/>
          <w:sz w:val="20"/>
          <w:szCs w:val="20"/>
        </w:rPr>
        <w:t xml:space="preserve"> acute coronary syndrome, chronic ischemic heart disease, </w:t>
      </w:r>
      <w:r w:rsidRPr="00067538">
        <w:rPr>
          <w:rFonts w:cstheme="minorHAnsi"/>
          <w:sz w:val="20"/>
          <w:szCs w:val="20"/>
        </w:rPr>
        <w:t>stroke, diabetes mellitus, and hyperthyroidism</w:t>
      </w:r>
    </w:p>
    <w:p w:rsidR="00A9458F" w:rsidRPr="00067538" w:rsidRDefault="00A9458F" w:rsidP="00A9458F">
      <w:pPr>
        <w:rPr>
          <w:rFonts w:cstheme="minorHAnsi"/>
          <w:sz w:val="20"/>
          <w:szCs w:val="24"/>
        </w:rPr>
      </w:pPr>
      <w:r w:rsidRPr="00067538">
        <w:rPr>
          <w:rFonts w:cstheme="minorHAnsi"/>
          <w:sz w:val="20"/>
          <w:szCs w:val="24"/>
        </w:rPr>
        <w:t>*</w:t>
      </w:r>
      <w:r w:rsidRPr="00067538">
        <w:rPr>
          <w:rFonts w:cstheme="minorHAnsi"/>
          <w:i/>
          <w:sz w:val="20"/>
          <w:szCs w:val="24"/>
        </w:rPr>
        <w:t>P</w:t>
      </w:r>
      <w:r w:rsidRPr="00067538">
        <w:rPr>
          <w:rFonts w:cstheme="minorHAnsi"/>
          <w:sz w:val="20"/>
          <w:szCs w:val="24"/>
        </w:rPr>
        <w:t>&lt;0.05</w:t>
      </w:r>
    </w:p>
    <w:p w:rsidR="00A9458F" w:rsidRDefault="00A9458F" w:rsidP="00A9458F"/>
    <w:p w:rsidR="00A9458F" w:rsidRDefault="00A9458F" w:rsidP="00A9458F">
      <w:pPr>
        <w:widowControl/>
      </w:pPr>
    </w:p>
    <w:sectPr w:rsidR="00A9458F" w:rsidSect="00C85D72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CBC" w:rsidRDefault="009F1CBC" w:rsidP="00C84752">
      <w:r>
        <w:separator/>
      </w:r>
    </w:p>
  </w:endnote>
  <w:endnote w:type="continuationSeparator" w:id="0">
    <w:p w:rsidR="009F1CBC" w:rsidRDefault="009F1CBC" w:rsidP="00C8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CBC" w:rsidRDefault="009F1CBC" w:rsidP="00C84752">
      <w:r>
        <w:separator/>
      </w:r>
    </w:p>
  </w:footnote>
  <w:footnote w:type="continuationSeparator" w:id="0">
    <w:p w:rsidR="009F1CBC" w:rsidRDefault="009F1CBC" w:rsidP="00C8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58F"/>
    <w:rsid w:val="000500E8"/>
    <w:rsid w:val="00051107"/>
    <w:rsid w:val="00096265"/>
    <w:rsid w:val="002A62F9"/>
    <w:rsid w:val="009F1CBC"/>
    <w:rsid w:val="00A9458F"/>
    <w:rsid w:val="00B57903"/>
    <w:rsid w:val="00B8581B"/>
    <w:rsid w:val="00C8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7909D1"/>
  <w15:chartTrackingRefBased/>
  <w15:docId w15:val="{F05CCA01-D171-4436-90D5-736A4739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5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5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4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8475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847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847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游舒涵</dc:creator>
  <cp:keywords/>
  <dc:description/>
  <cp:lastModifiedBy>游舒涵</cp:lastModifiedBy>
  <cp:revision>4</cp:revision>
  <dcterms:created xsi:type="dcterms:W3CDTF">2018-03-23T02:06:00Z</dcterms:created>
  <dcterms:modified xsi:type="dcterms:W3CDTF">2018-03-23T05:05:00Z</dcterms:modified>
</cp:coreProperties>
</file>