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12E87" w14:textId="77777777" w:rsidR="006B18F2" w:rsidRDefault="00FC300B">
      <w:pPr>
        <w:rPr>
          <w:noProof/>
          <w:lang w:eastAsia="en-GB"/>
        </w:rPr>
      </w:pPr>
      <w:bookmarkStart w:id="0" w:name="_GoBack"/>
      <w:bookmarkEnd w:id="0"/>
      <w:r>
        <w:rPr>
          <w:noProof/>
          <w:lang w:eastAsia="en-GB"/>
        </w:rPr>
        <w:t xml:space="preserve">Figure </w:t>
      </w:r>
      <w:r w:rsidR="00953BE8">
        <w:rPr>
          <w:noProof/>
          <w:lang w:eastAsia="en-GB"/>
        </w:rPr>
        <w:t xml:space="preserve">1: Distribution of dependent variable </w:t>
      </w:r>
    </w:p>
    <w:p w14:paraId="3572B0F5" w14:textId="77777777" w:rsidR="00953BE8" w:rsidRDefault="00953BE8">
      <w:r>
        <w:rPr>
          <w:noProof/>
          <w:lang w:eastAsia="ja-JP"/>
        </w:rPr>
        <w:drawing>
          <wp:inline distT="0" distB="0" distL="0" distR="0" wp14:anchorId="0BFB7E86" wp14:editId="4A319426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953B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BE8"/>
    <w:rsid w:val="00096351"/>
    <w:rsid w:val="001A5B6D"/>
    <w:rsid w:val="00336612"/>
    <w:rsid w:val="00430B46"/>
    <w:rsid w:val="00953BE8"/>
    <w:rsid w:val="009D485C"/>
    <w:rsid w:val="00B86D7F"/>
    <w:rsid w:val="00ED33AF"/>
    <w:rsid w:val="00FB1D6D"/>
    <w:rsid w:val="00FC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1A2D2"/>
  <w15:chartTrackingRefBased/>
  <w15:docId w15:val="{948CA78A-D489-40FE-94B7-21C7A7D6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chart" Target="charts/chart1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microsoft.com/office/2011/relationships/chartStyle" Target="style1.xml"/><Relationship Id="rId2" Type="http://schemas.microsoft.com/office/2011/relationships/chartColorStyle" Target="colors1.xml"/><Relationship Id="rId3" Type="http://schemas.openxmlformats.org/officeDocument/2006/relationships/oleObject" Target="file:////C:\Users\sejjfrs\AppData\Local\Microsoft\Windows\Temporary%20Internet%20Files\Content.Outlook\PTT0YI7X\Depvar%20skew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Sheet1!$B$2:$B$10</c:f>
              <c:strCache>
                <c:ptCount val="9"/>
                <c:pt idx="0">
                  <c:v>1-250</c:v>
                </c:pt>
                <c:pt idx="1">
                  <c:v>250-500</c:v>
                </c:pt>
                <c:pt idx="2">
                  <c:v>500-750</c:v>
                </c:pt>
                <c:pt idx="3">
                  <c:v>750-1000</c:v>
                </c:pt>
                <c:pt idx="4">
                  <c:v>1000-1250</c:v>
                </c:pt>
                <c:pt idx="5">
                  <c:v>1250-1500</c:v>
                </c:pt>
                <c:pt idx="6">
                  <c:v>1500-1750</c:v>
                </c:pt>
                <c:pt idx="7">
                  <c:v>1750-2000</c:v>
                </c:pt>
                <c:pt idx="8">
                  <c:v>2000 or over</c:v>
                </c:pt>
              </c:strCache>
            </c:strRef>
          </c:cat>
          <c:val>
            <c:numRef>
              <c:f>Sheet1!$C$2:$C$10</c:f>
              <c:numCache>
                <c:formatCode>General</c:formatCode>
                <c:ptCount val="9"/>
                <c:pt idx="0">
                  <c:v>11.0</c:v>
                </c:pt>
                <c:pt idx="1">
                  <c:v>1126.0</c:v>
                </c:pt>
                <c:pt idx="2">
                  <c:v>3615.0</c:v>
                </c:pt>
                <c:pt idx="3">
                  <c:v>1701.0</c:v>
                </c:pt>
                <c:pt idx="4">
                  <c:v>656.0</c:v>
                </c:pt>
                <c:pt idx="5">
                  <c:v>221.0</c:v>
                </c:pt>
                <c:pt idx="6">
                  <c:v>85.0</c:v>
                </c:pt>
                <c:pt idx="7">
                  <c:v>43.0</c:v>
                </c:pt>
                <c:pt idx="8">
                  <c:v>106.0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884816416"/>
        <c:axId val="-1884814096"/>
      </c:barChart>
      <c:catAx>
        <c:axId val="-1884816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GB"/>
          </a:p>
        </c:txPr>
        <c:crossAx val="-1884814096"/>
        <c:crosses val="autoZero"/>
        <c:auto val="1"/>
        <c:lblAlgn val="ctr"/>
        <c:lblOffset val="100"/>
        <c:noMultiLvlLbl val="0"/>
      </c:catAx>
      <c:valAx>
        <c:axId val="-1884814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GB"/>
          </a:p>
        </c:txPr>
        <c:crossAx val="-18848164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Solmi</dc:creator>
  <cp:keywords/>
  <dc:description/>
  <cp:lastModifiedBy>Francesca Solmi</cp:lastModifiedBy>
  <cp:revision>2</cp:revision>
  <dcterms:created xsi:type="dcterms:W3CDTF">2018-04-26T15:23:00Z</dcterms:created>
  <dcterms:modified xsi:type="dcterms:W3CDTF">2018-04-26T15:23:00Z</dcterms:modified>
</cp:coreProperties>
</file>