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7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597"/>
        <w:gridCol w:w="2628"/>
        <w:gridCol w:w="2995"/>
        <w:gridCol w:w="3750"/>
      </w:tblGrid>
      <w:tr w:rsidR="00EA015A" w:rsidRPr="00E50786" w14:paraId="388E0BDF" w14:textId="77777777" w:rsidTr="006C4AC6">
        <w:trPr>
          <w:trHeight w:val="248"/>
        </w:trPr>
        <w:tc>
          <w:tcPr>
            <w:tcW w:w="139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4A910588" w14:textId="77777777" w:rsidR="00EA015A" w:rsidRPr="00FD5AF8" w:rsidRDefault="00EA015A" w:rsidP="006C4AC6">
            <w:pPr>
              <w:spacing w:after="0"/>
              <w:rPr>
                <w:rFonts w:ascii="Calibri" w:eastAsia="Calibri" w:hAnsi="Calibri" w:cs="Times New Roman"/>
                <w:b/>
                <w:sz w:val="20"/>
              </w:rPr>
            </w:pPr>
            <w:bookmarkStart w:id="0" w:name="_GoBack"/>
            <w:bookmarkEnd w:id="0"/>
            <w:r w:rsidRPr="00FD5AF8">
              <w:rPr>
                <w:rFonts w:ascii="Calibri" w:eastAsia="Calibri" w:hAnsi="Calibri" w:cs="Times New Roman"/>
                <w:b/>
                <w:sz w:val="20"/>
              </w:rPr>
              <w:t>Table S</w:t>
            </w:r>
            <w:r>
              <w:rPr>
                <w:rFonts w:ascii="Calibri" w:eastAsia="Calibri" w:hAnsi="Calibri" w:cs="Times New Roman"/>
                <w:b/>
                <w:sz w:val="20"/>
              </w:rPr>
              <w:t>4</w:t>
            </w:r>
            <w:r w:rsidRPr="00FD5AF8">
              <w:rPr>
                <w:rFonts w:ascii="Calibri" w:eastAsia="Calibri" w:hAnsi="Calibri" w:cs="Times New Roman"/>
                <w:b/>
                <w:sz w:val="20"/>
              </w:rPr>
              <w:t>: Associations between measures of infant appetite including measures of enjoyment of food, food responsiveness and slowness in eating with infant adiposity and anthropometry at 6 months of age, in offspring born to obese women (n=353).</w:t>
            </w:r>
          </w:p>
        </w:tc>
      </w:tr>
      <w:tr w:rsidR="00EA015A" w:rsidRPr="00E50786" w14:paraId="71AE40CB" w14:textId="77777777" w:rsidTr="006C4AC6">
        <w:trPr>
          <w:trHeight w:val="248"/>
        </w:trPr>
        <w:tc>
          <w:tcPr>
            <w:tcW w:w="4597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3C6A3F35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6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3079BE2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Enjoyment of food </w:t>
            </w:r>
          </w:p>
        </w:tc>
        <w:tc>
          <w:tcPr>
            <w:tcW w:w="29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5F41FD1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Food responsiveness </w:t>
            </w:r>
          </w:p>
        </w:tc>
        <w:tc>
          <w:tcPr>
            <w:tcW w:w="37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75724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Slowness in eating </w:t>
            </w:r>
          </w:p>
        </w:tc>
      </w:tr>
      <w:tr w:rsidR="00EA015A" w:rsidRPr="00E50786" w14:paraId="0D033499" w14:textId="77777777" w:rsidTr="006C4AC6">
        <w:trPr>
          <w:trHeight w:val="418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auto"/>
            <w:hideMark/>
          </w:tcPr>
          <w:p w14:paraId="44F8A9A0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6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903EF6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i/>
                <w:sz w:val="20"/>
              </w:rPr>
              <w:t xml:space="preserve">Mean difference (95% CI)/ </w:t>
            </w:r>
          </w:p>
          <w:p w14:paraId="42CC230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i/>
                <w:sz w:val="20"/>
              </w:rPr>
              <w:t>Odds ratio (95% CI) †</w:t>
            </w:r>
          </w:p>
        </w:tc>
        <w:tc>
          <w:tcPr>
            <w:tcW w:w="29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C69B910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i/>
                <w:sz w:val="20"/>
              </w:rPr>
              <w:t xml:space="preserve">Mean difference (95% CI)/ </w:t>
            </w:r>
          </w:p>
          <w:p w14:paraId="6EED60A5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i/>
                <w:sz w:val="20"/>
              </w:rPr>
              <w:t>Odds ratio (95% CI) †</w:t>
            </w:r>
          </w:p>
        </w:tc>
        <w:tc>
          <w:tcPr>
            <w:tcW w:w="37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A17EDF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i/>
                <w:sz w:val="20"/>
              </w:rPr>
              <w:t xml:space="preserve">Mean difference (95% CI)/ </w:t>
            </w:r>
          </w:p>
          <w:p w14:paraId="058CFE44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i/>
                <w:sz w:val="20"/>
              </w:rPr>
              <w:t>Odds ratio (95% CI) †</w:t>
            </w:r>
          </w:p>
        </w:tc>
      </w:tr>
      <w:tr w:rsidR="00EA015A" w:rsidRPr="00E50786" w14:paraId="650E1D95" w14:textId="77777777" w:rsidTr="006C4AC6">
        <w:trPr>
          <w:trHeight w:val="248"/>
        </w:trPr>
        <w:tc>
          <w:tcPr>
            <w:tcW w:w="4597" w:type="dxa"/>
            <w:shd w:val="clear" w:color="auto" w:fill="auto"/>
          </w:tcPr>
          <w:p w14:paraId="4F058668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Triceps skinfold z-scores *</w:t>
            </w:r>
          </w:p>
        </w:tc>
        <w:tc>
          <w:tcPr>
            <w:tcW w:w="2628" w:type="dxa"/>
            <w:shd w:val="clear" w:color="auto" w:fill="auto"/>
          </w:tcPr>
          <w:p w14:paraId="22021FCC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-0.04 (-0.19 to 0.10)</w:t>
            </w:r>
          </w:p>
        </w:tc>
        <w:tc>
          <w:tcPr>
            <w:tcW w:w="2995" w:type="dxa"/>
            <w:shd w:val="clear" w:color="auto" w:fill="auto"/>
          </w:tcPr>
          <w:p w14:paraId="468A8AAF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0.02 (-0.03 to 0.07)</w:t>
            </w:r>
          </w:p>
        </w:tc>
        <w:tc>
          <w:tcPr>
            <w:tcW w:w="3750" w:type="dxa"/>
            <w:shd w:val="clear" w:color="auto" w:fill="auto"/>
          </w:tcPr>
          <w:p w14:paraId="4BF7308B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-0.04 (-0.15 to 0.06)</w:t>
            </w:r>
          </w:p>
        </w:tc>
      </w:tr>
      <w:tr w:rsidR="00EA015A" w:rsidRPr="00E50786" w14:paraId="6A2A958E" w14:textId="77777777" w:rsidTr="006C4AC6">
        <w:trPr>
          <w:trHeight w:val="248"/>
        </w:trPr>
        <w:tc>
          <w:tcPr>
            <w:tcW w:w="4597" w:type="dxa"/>
            <w:shd w:val="clear" w:color="auto" w:fill="auto"/>
          </w:tcPr>
          <w:p w14:paraId="6991DC34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Subscapular skinfold thickness z-scores* </w:t>
            </w:r>
          </w:p>
        </w:tc>
        <w:tc>
          <w:tcPr>
            <w:tcW w:w="2628" w:type="dxa"/>
            <w:shd w:val="clear" w:color="auto" w:fill="auto"/>
          </w:tcPr>
          <w:p w14:paraId="1BB9B97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-0.05 (-0.19 to 0.09)</w:t>
            </w:r>
          </w:p>
        </w:tc>
        <w:tc>
          <w:tcPr>
            <w:tcW w:w="2995" w:type="dxa"/>
            <w:shd w:val="clear" w:color="auto" w:fill="auto"/>
          </w:tcPr>
          <w:p w14:paraId="3F0DE141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0.03 (-0.01 to 0.08)</w:t>
            </w:r>
          </w:p>
        </w:tc>
        <w:tc>
          <w:tcPr>
            <w:tcW w:w="3750" w:type="dxa"/>
            <w:shd w:val="clear" w:color="auto" w:fill="auto"/>
          </w:tcPr>
          <w:p w14:paraId="1287433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-0.01 (-0.11 to 0.09)</w:t>
            </w:r>
          </w:p>
        </w:tc>
      </w:tr>
      <w:tr w:rsidR="00EA015A" w:rsidRPr="00E50786" w14:paraId="07D4CED6" w14:textId="77777777" w:rsidTr="006C4AC6">
        <w:trPr>
          <w:trHeight w:val="248"/>
        </w:trPr>
        <w:tc>
          <w:tcPr>
            <w:tcW w:w="4597" w:type="dxa"/>
            <w:shd w:val="clear" w:color="auto" w:fill="auto"/>
          </w:tcPr>
          <w:p w14:paraId="7EB85D1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Sum of skinfold thickness (mm)**</w:t>
            </w:r>
          </w:p>
        </w:tc>
        <w:tc>
          <w:tcPr>
            <w:tcW w:w="2628" w:type="dxa"/>
            <w:shd w:val="clear" w:color="auto" w:fill="auto"/>
          </w:tcPr>
          <w:p w14:paraId="01D8733C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-0.10 (-0.48 to -0.28)</w:t>
            </w:r>
          </w:p>
        </w:tc>
        <w:tc>
          <w:tcPr>
            <w:tcW w:w="2995" w:type="dxa"/>
            <w:shd w:val="clear" w:color="auto" w:fill="auto"/>
          </w:tcPr>
          <w:p w14:paraId="67C96EA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0.08 (-0.47 to 0.21)</w:t>
            </w:r>
          </w:p>
        </w:tc>
        <w:tc>
          <w:tcPr>
            <w:tcW w:w="3750" w:type="dxa"/>
            <w:shd w:val="clear" w:color="auto" w:fill="auto"/>
          </w:tcPr>
          <w:p w14:paraId="35A7F7A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-0.10 (-0.37 to 0.17)</w:t>
            </w:r>
          </w:p>
        </w:tc>
      </w:tr>
      <w:tr w:rsidR="00EA015A" w:rsidRPr="00E50786" w14:paraId="2D606B45" w14:textId="77777777" w:rsidTr="006C4AC6">
        <w:trPr>
          <w:trHeight w:val="248"/>
        </w:trPr>
        <w:tc>
          <w:tcPr>
            <w:tcW w:w="4597" w:type="dxa"/>
            <w:shd w:val="clear" w:color="auto" w:fill="auto"/>
          </w:tcPr>
          <w:p w14:paraId="0A0FA350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Total body fat estimation (%) ^</w:t>
            </w:r>
          </w:p>
        </w:tc>
        <w:tc>
          <w:tcPr>
            <w:tcW w:w="2628" w:type="dxa"/>
            <w:shd w:val="clear" w:color="auto" w:fill="auto"/>
          </w:tcPr>
          <w:p w14:paraId="14F8F70D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-0.12 (-0.60 to 0.36)</w:t>
            </w:r>
          </w:p>
        </w:tc>
        <w:tc>
          <w:tcPr>
            <w:tcW w:w="2995" w:type="dxa"/>
            <w:shd w:val="clear" w:color="auto" w:fill="auto"/>
          </w:tcPr>
          <w:p w14:paraId="2E2A700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0.10 (-0.05 to 0.26)</w:t>
            </w:r>
          </w:p>
        </w:tc>
        <w:tc>
          <w:tcPr>
            <w:tcW w:w="3750" w:type="dxa"/>
            <w:shd w:val="clear" w:color="auto" w:fill="auto"/>
          </w:tcPr>
          <w:p w14:paraId="2D18D998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-0.13 (-0.47 to 0.21)</w:t>
            </w:r>
          </w:p>
        </w:tc>
      </w:tr>
      <w:tr w:rsidR="00EA015A" w:rsidRPr="00E50786" w14:paraId="0A08A25E" w14:textId="77777777" w:rsidTr="006C4AC6">
        <w:trPr>
          <w:trHeight w:val="248"/>
        </w:trPr>
        <w:tc>
          <w:tcPr>
            <w:tcW w:w="4597" w:type="dxa"/>
            <w:shd w:val="clear" w:color="auto" w:fill="auto"/>
            <w:hideMark/>
          </w:tcPr>
          <w:p w14:paraId="670001B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Weight z-scores* </w:t>
            </w:r>
          </w:p>
        </w:tc>
        <w:tc>
          <w:tcPr>
            <w:tcW w:w="2628" w:type="dxa"/>
            <w:shd w:val="clear" w:color="auto" w:fill="auto"/>
          </w:tcPr>
          <w:p w14:paraId="064FC166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-0.07 (-0.18 to 0.03)</w:t>
            </w:r>
          </w:p>
        </w:tc>
        <w:tc>
          <w:tcPr>
            <w:tcW w:w="2995" w:type="dxa"/>
            <w:shd w:val="clear" w:color="auto" w:fill="auto"/>
          </w:tcPr>
          <w:p w14:paraId="3CBB24B2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0.02 (-0.02 to 0.06)</w:t>
            </w:r>
          </w:p>
        </w:tc>
        <w:tc>
          <w:tcPr>
            <w:tcW w:w="3750" w:type="dxa"/>
            <w:shd w:val="clear" w:color="auto" w:fill="auto"/>
          </w:tcPr>
          <w:p w14:paraId="727B94C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-0.02 (-0.09 to 0.06)</w:t>
            </w:r>
          </w:p>
        </w:tc>
      </w:tr>
      <w:tr w:rsidR="00EA015A" w:rsidRPr="00E50786" w14:paraId="5B8B91D7" w14:textId="77777777" w:rsidTr="006C4AC6">
        <w:trPr>
          <w:trHeight w:val="248"/>
        </w:trPr>
        <w:tc>
          <w:tcPr>
            <w:tcW w:w="4597" w:type="dxa"/>
            <w:shd w:val="clear" w:color="auto" w:fill="auto"/>
            <w:hideMark/>
          </w:tcPr>
          <w:p w14:paraId="0849A99F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BMI z-scores *</w:t>
            </w:r>
          </w:p>
        </w:tc>
        <w:tc>
          <w:tcPr>
            <w:tcW w:w="2628" w:type="dxa"/>
            <w:shd w:val="clear" w:color="auto" w:fill="auto"/>
          </w:tcPr>
          <w:p w14:paraId="0CFCF874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-0.06 (-0.26 to 0.13)</w:t>
            </w:r>
          </w:p>
        </w:tc>
        <w:tc>
          <w:tcPr>
            <w:tcW w:w="2995" w:type="dxa"/>
            <w:shd w:val="clear" w:color="auto" w:fill="auto"/>
          </w:tcPr>
          <w:p w14:paraId="5FD43CC0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-0.08 (-0.07 to 0.06)</w:t>
            </w:r>
          </w:p>
        </w:tc>
        <w:tc>
          <w:tcPr>
            <w:tcW w:w="3750" w:type="dxa"/>
            <w:shd w:val="clear" w:color="auto" w:fill="auto"/>
          </w:tcPr>
          <w:p w14:paraId="6C2B7DF2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-0.12 (-0.26 to 0.02)</w:t>
            </w:r>
          </w:p>
        </w:tc>
      </w:tr>
      <w:tr w:rsidR="00EA015A" w:rsidRPr="00E50786" w14:paraId="0E6AF735" w14:textId="77777777" w:rsidTr="006C4AC6">
        <w:trPr>
          <w:trHeight w:val="248"/>
        </w:trPr>
        <w:tc>
          <w:tcPr>
            <w:tcW w:w="4597" w:type="dxa"/>
            <w:shd w:val="clear" w:color="auto" w:fill="auto"/>
            <w:hideMark/>
          </w:tcPr>
          <w:p w14:paraId="1466D8B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Length z-scores* </w:t>
            </w:r>
          </w:p>
        </w:tc>
        <w:tc>
          <w:tcPr>
            <w:tcW w:w="2628" w:type="dxa"/>
            <w:shd w:val="clear" w:color="auto" w:fill="auto"/>
          </w:tcPr>
          <w:p w14:paraId="4894EF1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-0.05 (-0.25 to 0.15)</w:t>
            </w:r>
          </w:p>
        </w:tc>
        <w:tc>
          <w:tcPr>
            <w:tcW w:w="2995" w:type="dxa"/>
            <w:shd w:val="clear" w:color="auto" w:fill="auto"/>
          </w:tcPr>
          <w:p w14:paraId="14A56D46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0.03 (-0.03 to 0.10)</w:t>
            </w:r>
          </w:p>
        </w:tc>
        <w:tc>
          <w:tcPr>
            <w:tcW w:w="3750" w:type="dxa"/>
            <w:shd w:val="clear" w:color="auto" w:fill="auto"/>
          </w:tcPr>
          <w:p w14:paraId="295DCC14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0.08 (-0.05 to 0.22)</w:t>
            </w:r>
          </w:p>
        </w:tc>
      </w:tr>
      <w:tr w:rsidR="00EA015A" w:rsidRPr="00E50786" w14:paraId="20EA0462" w14:textId="77777777" w:rsidTr="006C4AC6">
        <w:trPr>
          <w:trHeight w:val="248"/>
        </w:trPr>
        <w:tc>
          <w:tcPr>
            <w:tcW w:w="4597" w:type="dxa"/>
            <w:shd w:val="clear" w:color="auto" w:fill="auto"/>
            <w:hideMark/>
          </w:tcPr>
          <w:p w14:paraId="389A5ADC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Arm circumference z-scores *</w:t>
            </w:r>
          </w:p>
        </w:tc>
        <w:tc>
          <w:tcPr>
            <w:tcW w:w="2628" w:type="dxa"/>
            <w:shd w:val="clear" w:color="auto" w:fill="auto"/>
          </w:tcPr>
          <w:p w14:paraId="149C8304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-0.06 (-0.16 to 0.04)</w:t>
            </w:r>
          </w:p>
        </w:tc>
        <w:tc>
          <w:tcPr>
            <w:tcW w:w="2995" w:type="dxa"/>
            <w:shd w:val="clear" w:color="auto" w:fill="auto"/>
          </w:tcPr>
          <w:p w14:paraId="535AE2C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0.01 (-0.03 to 0.04)</w:t>
            </w:r>
          </w:p>
        </w:tc>
        <w:tc>
          <w:tcPr>
            <w:tcW w:w="3750" w:type="dxa"/>
            <w:shd w:val="clear" w:color="auto" w:fill="auto"/>
          </w:tcPr>
          <w:p w14:paraId="60BBD512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-0.03 (-0.10 to 0.04)</w:t>
            </w:r>
          </w:p>
        </w:tc>
      </w:tr>
      <w:tr w:rsidR="00EA015A" w:rsidRPr="00E50786" w14:paraId="6BD03015" w14:textId="77777777" w:rsidTr="006C4AC6">
        <w:trPr>
          <w:trHeight w:val="248"/>
        </w:trPr>
        <w:tc>
          <w:tcPr>
            <w:tcW w:w="4597" w:type="dxa"/>
            <w:tcBorders>
              <w:bottom w:val="single" w:sz="4" w:space="0" w:color="BFBFBF"/>
            </w:tcBorders>
            <w:shd w:val="clear" w:color="auto" w:fill="auto"/>
            <w:hideMark/>
          </w:tcPr>
          <w:p w14:paraId="4CB6EC35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Weight change (kg/month)</w:t>
            </w:r>
          </w:p>
        </w:tc>
        <w:tc>
          <w:tcPr>
            <w:tcW w:w="2628" w:type="dxa"/>
            <w:tcBorders>
              <w:bottom w:val="single" w:sz="4" w:space="0" w:color="BFBFBF"/>
            </w:tcBorders>
            <w:shd w:val="clear" w:color="auto" w:fill="auto"/>
          </w:tcPr>
          <w:p w14:paraId="20908778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-0.01 (-0.02 to 0.00)</w:t>
            </w:r>
          </w:p>
        </w:tc>
        <w:tc>
          <w:tcPr>
            <w:tcW w:w="2995" w:type="dxa"/>
            <w:tcBorders>
              <w:bottom w:val="single" w:sz="4" w:space="0" w:color="BFBFBF"/>
            </w:tcBorders>
            <w:shd w:val="clear" w:color="auto" w:fill="auto"/>
          </w:tcPr>
          <w:p w14:paraId="63A9D4B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0.00 (-0.00 to 0.01)</w:t>
            </w:r>
          </w:p>
        </w:tc>
        <w:tc>
          <w:tcPr>
            <w:tcW w:w="3750" w:type="dxa"/>
            <w:tcBorders>
              <w:bottom w:val="single" w:sz="4" w:space="0" w:color="BFBFBF"/>
            </w:tcBorders>
            <w:shd w:val="clear" w:color="auto" w:fill="auto"/>
          </w:tcPr>
          <w:p w14:paraId="0553682D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-0.00 (-0.01 to 0.01)</w:t>
            </w:r>
          </w:p>
        </w:tc>
      </w:tr>
      <w:tr w:rsidR="00EA015A" w:rsidRPr="00E50786" w14:paraId="341A3753" w14:textId="77777777" w:rsidTr="006C4AC6">
        <w:trPr>
          <w:trHeight w:val="248"/>
        </w:trPr>
        <w:tc>
          <w:tcPr>
            <w:tcW w:w="4597" w:type="dxa"/>
            <w:shd w:val="clear" w:color="auto" w:fill="auto"/>
            <w:hideMark/>
          </w:tcPr>
          <w:p w14:paraId="2CD17623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Length change (cm/month)</w:t>
            </w:r>
          </w:p>
        </w:tc>
        <w:tc>
          <w:tcPr>
            <w:tcW w:w="2628" w:type="dxa"/>
            <w:shd w:val="clear" w:color="auto" w:fill="auto"/>
          </w:tcPr>
          <w:p w14:paraId="7AADF4C1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-0.04 (-0.12 to 0.05)</w:t>
            </w:r>
          </w:p>
        </w:tc>
        <w:tc>
          <w:tcPr>
            <w:tcW w:w="2995" w:type="dxa"/>
            <w:shd w:val="clear" w:color="auto" w:fill="auto"/>
          </w:tcPr>
          <w:p w14:paraId="7E937A5C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0.15 (-0.01 to 0.43)</w:t>
            </w:r>
          </w:p>
        </w:tc>
        <w:tc>
          <w:tcPr>
            <w:tcW w:w="3750" w:type="dxa"/>
            <w:shd w:val="clear" w:color="auto" w:fill="auto"/>
          </w:tcPr>
          <w:p w14:paraId="7ACA0B23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0.04 (-0.01 to 0.10)</w:t>
            </w:r>
          </w:p>
        </w:tc>
      </w:tr>
      <w:tr w:rsidR="00EA015A" w:rsidRPr="00E50786" w14:paraId="1FE366D2" w14:textId="77777777" w:rsidTr="006C4AC6">
        <w:trPr>
          <w:trHeight w:val="248"/>
        </w:trPr>
        <w:tc>
          <w:tcPr>
            <w:tcW w:w="4597" w:type="dxa"/>
            <w:shd w:val="clear" w:color="auto" w:fill="auto"/>
          </w:tcPr>
          <w:p w14:paraId="6CC93D7F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BMI z-scores ≥85</w:t>
            </w:r>
            <w:r w:rsidRPr="00E50786">
              <w:rPr>
                <w:rFonts w:ascii="Calibri" w:eastAsia="Calibri" w:hAnsi="Calibri" w:cs="Times New Roman"/>
                <w:sz w:val="20"/>
                <w:vertAlign w:val="superscript"/>
              </w:rPr>
              <w:t>th</w:t>
            </w:r>
            <w:r w:rsidRPr="00E50786">
              <w:rPr>
                <w:rFonts w:ascii="Calibri" w:eastAsia="Calibri" w:hAnsi="Calibri" w:cs="Times New Roman"/>
                <w:sz w:val="20"/>
              </w:rPr>
              <w:t xml:space="preserve"> centile </w:t>
            </w:r>
          </w:p>
        </w:tc>
        <w:tc>
          <w:tcPr>
            <w:tcW w:w="2628" w:type="dxa"/>
            <w:shd w:val="clear" w:color="auto" w:fill="auto"/>
          </w:tcPr>
          <w:p w14:paraId="7F4922E0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0.86 (0.63 to 1.18)</w:t>
            </w:r>
          </w:p>
        </w:tc>
        <w:tc>
          <w:tcPr>
            <w:tcW w:w="2995" w:type="dxa"/>
            <w:shd w:val="clear" w:color="auto" w:fill="auto"/>
          </w:tcPr>
          <w:p w14:paraId="33CBE163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1.03 (0.88 to 1.20)</w:t>
            </w:r>
          </w:p>
        </w:tc>
        <w:tc>
          <w:tcPr>
            <w:tcW w:w="3750" w:type="dxa"/>
            <w:shd w:val="clear" w:color="auto" w:fill="auto"/>
          </w:tcPr>
          <w:p w14:paraId="2F92701A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0.72 (0.51 to 1.04)</w:t>
            </w:r>
          </w:p>
        </w:tc>
      </w:tr>
      <w:tr w:rsidR="00EA015A" w:rsidRPr="00E50786" w14:paraId="201E0F29" w14:textId="77777777" w:rsidTr="006C4AC6">
        <w:trPr>
          <w:trHeight w:val="248"/>
        </w:trPr>
        <w:tc>
          <w:tcPr>
            <w:tcW w:w="4597" w:type="dxa"/>
            <w:shd w:val="clear" w:color="auto" w:fill="auto"/>
          </w:tcPr>
          <w:p w14:paraId="71EC43CD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BMI z-scores ≥95</w:t>
            </w:r>
            <w:r w:rsidRPr="00E50786">
              <w:rPr>
                <w:rFonts w:ascii="Calibri" w:eastAsia="Calibri" w:hAnsi="Calibri" w:cs="Times New Roman"/>
                <w:sz w:val="20"/>
                <w:vertAlign w:val="superscript"/>
              </w:rPr>
              <w:t>th</w:t>
            </w:r>
            <w:r w:rsidRPr="00E50786">
              <w:rPr>
                <w:rFonts w:ascii="Calibri" w:eastAsia="Calibri" w:hAnsi="Calibri" w:cs="Times New Roman"/>
                <w:sz w:val="20"/>
              </w:rPr>
              <w:t xml:space="preserve"> centile </w:t>
            </w:r>
          </w:p>
        </w:tc>
        <w:tc>
          <w:tcPr>
            <w:tcW w:w="2628" w:type="dxa"/>
            <w:shd w:val="clear" w:color="auto" w:fill="auto"/>
          </w:tcPr>
          <w:p w14:paraId="0FF2148C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1.02 (0.51 to 2.06)</w:t>
            </w:r>
          </w:p>
        </w:tc>
        <w:tc>
          <w:tcPr>
            <w:tcW w:w="2995" w:type="dxa"/>
            <w:shd w:val="clear" w:color="auto" w:fill="auto"/>
          </w:tcPr>
          <w:p w14:paraId="550B091D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0.78 (0.57 to 1.10)</w:t>
            </w:r>
          </w:p>
        </w:tc>
        <w:tc>
          <w:tcPr>
            <w:tcW w:w="3750" w:type="dxa"/>
            <w:shd w:val="clear" w:color="auto" w:fill="auto"/>
          </w:tcPr>
          <w:p w14:paraId="2369779A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0.57 (0.29 to 1.11)</w:t>
            </w:r>
          </w:p>
        </w:tc>
      </w:tr>
      <w:tr w:rsidR="00EA015A" w:rsidRPr="00E50786" w14:paraId="483BF115" w14:textId="77777777" w:rsidTr="006C4AC6">
        <w:trPr>
          <w:trHeight w:val="248"/>
        </w:trPr>
        <w:tc>
          <w:tcPr>
            <w:tcW w:w="4597" w:type="dxa"/>
            <w:shd w:val="clear" w:color="auto" w:fill="auto"/>
          </w:tcPr>
          <w:p w14:paraId="3C3864EC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Catch up growth**</w:t>
            </w:r>
          </w:p>
        </w:tc>
        <w:tc>
          <w:tcPr>
            <w:tcW w:w="2628" w:type="dxa"/>
            <w:shd w:val="clear" w:color="auto" w:fill="auto"/>
          </w:tcPr>
          <w:p w14:paraId="5A848115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0.98 (0.76 to 1.26)</w:t>
            </w:r>
          </w:p>
        </w:tc>
        <w:tc>
          <w:tcPr>
            <w:tcW w:w="2995" w:type="dxa"/>
            <w:shd w:val="clear" w:color="auto" w:fill="auto"/>
          </w:tcPr>
          <w:p w14:paraId="2858EA2E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1.13 (0.98 to 1.26)</w:t>
            </w:r>
          </w:p>
        </w:tc>
        <w:tc>
          <w:tcPr>
            <w:tcW w:w="3750" w:type="dxa"/>
            <w:shd w:val="clear" w:color="auto" w:fill="auto"/>
          </w:tcPr>
          <w:p w14:paraId="761CC199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0.88 (0.71 to 1.07)</w:t>
            </w:r>
          </w:p>
        </w:tc>
      </w:tr>
      <w:tr w:rsidR="00EA015A" w:rsidRPr="00E50786" w14:paraId="3177E82E" w14:textId="77777777" w:rsidTr="006C4AC6">
        <w:trPr>
          <w:trHeight w:val="248"/>
        </w:trPr>
        <w:tc>
          <w:tcPr>
            <w:tcW w:w="4597" w:type="dxa"/>
            <w:tcBorders>
              <w:bottom w:val="single" w:sz="4" w:space="0" w:color="BFBFBF"/>
            </w:tcBorders>
            <w:shd w:val="clear" w:color="auto" w:fill="auto"/>
          </w:tcPr>
          <w:p w14:paraId="3E9C9F0D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Catch down growth** </w:t>
            </w:r>
          </w:p>
        </w:tc>
        <w:tc>
          <w:tcPr>
            <w:tcW w:w="2628" w:type="dxa"/>
            <w:tcBorders>
              <w:bottom w:val="single" w:sz="4" w:space="0" w:color="BFBFBF"/>
            </w:tcBorders>
            <w:shd w:val="clear" w:color="auto" w:fill="auto"/>
          </w:tcPr>
          <w:p w14:paraId="198E8932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1.10 (0.78 to 1.55)</w:t>
            </w:r>
          </w:p>
        </w:tc>
        <w:tc>
          <w:tcPr>
            <w:tcW w:w="2995" w:type="dxa"/>
            <w:tcBorders>
              <w:bottom w:val="single" w:sz="4" w:space="0" w:color="BFBFBF"/>
            </w:tcBorders>
            <w:shd w:val="clear" w:color="auto" w:fill="auto"/>
          </w:tcPr>
          <w:p w14:paraId="0C3203FB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0.98 (0.90 to 1.08)</w:t>
            </w:r>
          </w:p>
        </w:tc>
        <w:tc>
          <w:tcPr>
            <w:tcW w:w="3750" w:type="dxa"/>
            <w:tcBorders>
              <w:bottom w:val="single" w:sz="4" w:space="0" w:color="BFBFBF"/>
            </w:tcBorders>
            <w:shd w:val="clear" w:color="auto" w:fill="auto"/>
          </w:tcPr>
          <w:p w14:paraId="75CF6C3A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1.01 (0.81 to 1.25)</w:t>
            </w:r>
          </w:p>
        </w:tc>
      </w:tr>
      <w:tr w:rsidR="00EA015A" w:rsidRPr="00E50786" w14:paraId="6596AA11" w14:textId="77777777" w:rsidTr="006C4AC6">
        <w:trPr>
          <w:trHeight w:val="248"/>
        </w:trPr>
        <w:tc>
          <w:tcPr>
            <w:tcW w:w="139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12F0F8" w14:textId="69B89B01" w:rsidR="00EA015A" w:rsidRPr="00E50786" w:rsidRDefault="00EA015A" w:rsidP="006C4AC6">
            <w:pPr>
              <w:rPr>
                <w:rFonts w:ascii="Calibri" w:eastAsia="Calibri" w:hAnsi="Calibri" w:cs="Times New Roman"/>
                <w:i/>
                <w:sz w:val="16"/>
                <w:szCs w:val="16"/>
              </w:rPr>
            </w:pPr>
            <w:r w:rsidRPr="00E50786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No significant associations were observed between measures of enjoyment of food, food responsiveness and slowness of eating with infant anthropometry at 6 months of age. Data obtained from the validated Baby Eating Behaviour Questionnaire </w:t>
            </w:r>
            <w:r w:rsidR="001A354D">
              <w:rPr>
                <w:rFonts w:ascii="Calibri" w:eastAsia="Calibri" w:hAnsi="Calibri" w:cs="Times New Roman"/>
                <w:i/>
                <w:sz w:val="16"/>
                <w:szCs w:val="16"/>
              </w:rPr>
              <w:t>[</w:t>
            </w:r>
            <w:r w:rsidR="00244B2E">
              <w:rPr>
                <w:rFonts w:ascii="Calibri" w:eastAsia="Calibri" w:hAnsi="Calibri" w:cs="Times New Roman"/>
                <w:i/>
                <w:sz w:val="16"/>
                <w:szCs w:val="16"/>
              </w:rPr>
              <w:t>18</w:t>
            </w:r>
            <w:r w:rsidR="001A354D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] </w:t>
            </w:r>
            <w:r w:rsidRPr="00E50786">
              <w:rPr>
                <w:rFonts w:ascii="Calibri" w:eastAsia="Calibri" w:hAnsi="Calibri" w:cs="Times New Roman"/>
                <w:i/>
                <w:sz w:val="16"/>
                <w:szCs w:val="16"/>
              </w:rPr>
              <w:t>*Infant z-scores calculated using the WHO growth standards</w:t>
            </w:r>
            <w:r w:rsidR="00244B2E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 [24]</w:t>
            </w:r>
            <w:r w:rsidRPr="00E50786">
              <w:rPr>
                <w:rFonts w:ascii="Calibri" w:eastAsia="Calibri" w:hAnsi="Calibri" w:cs="Times New Roman"/>
                <w:i/>
                <w:sz w:val="16"/>
                <w:szCs w:val="16"/>
              </w:rPr>
              <w:t>; **Catch up and catch down growth defined using the WHO definitions of change in weight &gt;0.67 SDs;  Infant sum of skinfold thicknesses calculated as the addition of subscapular and triceps skinfolds thicknesses, each measured in triplicates. ^Infant total body fat estimation calculated sex-specific, validated equations</w:t>
            </w:r>
            <w:r w:rsidR="00244B2E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 [25]</w:t>
            </w:r>
            <w:r w:rsidRPr="00E50786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. † Analyses adjusted for randomisation to the UPBEAT intervention, maternal early pregnancy BMI, socioeconomic deprivation, ethnicity, and diagnosis of gestational diabetes, offspring birthweight, sex, and cord blood leptin, age at </w:t>
            </w:r>
            <w:proofErr w:type="gramStart"/>
            <w:r w:rsidRPr="00E50786">
              <w:rPr>
                <w:rFonts w:ascii="Calibri" w:eastAsia="Calibri" w:hAnsi="Calibri" w:cs="Times New Roman"/>
                <w:i/>
                <w:sz w:val="16"/>
                <w:szCs w:val="16"/>
              </w:rPr>
              <w:t>6 month</w:t>
            </w:r>
            <w:proofErr w:type="gramEnd"/>
            <w:r w:rsidRPr="00E50786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 follow-up and mode of early feeding, cord leptin and mode of early feeding.</w:t>
            </w:r>
          </w:p>
          <w:p w14:paraId="51B34624" w14:textId="77777777" w:rsidR="00EA015A" w:rsidRPr="00E50786" w:rsidRDefault="00EA015A" w:rsidP="006C4AC6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</w:p>
        </w:tc>
      </w:tr>
    </w:tbl>
    <w:p w14:paraId="496C5F5A" w14:textId="77777777" w:rsidR="00BF1F0F" w:rsidRDefault="00BF1F0F"/>
    <w:sectPr w:rsidR="00BF1F0F" w:rsidSect="00DB6D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7F"/>
    <w:rsid w:val="00046B17"/>
    <w:rsid w:val="00155F2D"/>
    <w:rsid w:val="001A354D"/>
    <w:rsid w:val="00217577"/>
    <w:rsid w:val="002207D5"/>
    <w:rsid w:val="00244B2E"/>
    <w:rsid w:val="00353096"/>
    <w:rsid w:val="00357B64"/>
    <w:rsid w:val="004158B8"/>
    <w:rsid w:val="0042275F"/>
    <w:rsid w:val="004273F5"/>
    <w:rsid w:val="00531BA8"/>
    <w:rsid w:val="00575932"/>
    <w:rsid w:val="00633D35"/>
    <w:rsid w:val="006C1BFE"/>
    <w:rsid w:val="007A3A05"/>
    <w:rsid w:val="008B4C88"/>
    <w:rsid w:val="00903E6E"/>
    <w:rsid w:val="00AA45F0"/>
    <w:rsid w:val="00B33EA7"/>
    <w:rsid w:val="00B6053B"/>
    <w:rsid w:val="00BA43D1"/>
    <w:rsid w:val="00BF1F0F"/>
    <w:rsid w:val="00C53668"/>
    <w:rsid w:val="00CA5F7F"/>
    <w:rsid w:val="00CD556E"/>
    <w:rsid w:val="00DB6DBB"/>
    <w:rsid w:val="00DE1620"/>
    <w:rsid w:val="00E20743"/>
    <w:rsid w:val="00E60E99"/>
    <w:rsid w:val="00EA015A"/>
    <w:rsid w:val="00EC27DE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A6AE"/>
  <w15:chartTrackingRefBased/>
  <w15:docId w15:val="{08984CA0-7C35-484E-A489-3EADD66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Dalrymple, Kathryn</dc:creator>
  <cp:keywords/>
  <dc:description/>
  <cp:lastModifiedBy>Dalrymple, Kathryn</cp:lastModifiedBy>
  <cp:revision>2</cp:revision>
  <dcterms:created xsi:type="dcterms:W3CDTF">2018-08-22T12:32:00Z</dcterms:created>
  <dcterms:modified xsi:type="dcterms:W3CDTF">2018-08-22T12:32:00Z</dcterms:modified>
</cp:coreProperties>
</file>