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774" w:rsidRDefault="005A7774" w:rsidP="005A7774">
      <w:pPr>
        <w:spacing w:line="23" w:lineRule="atLeas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Additional File</w:t>
      </w:r>
      <w:r w:rsidRPr="004427E6">
        <w:rPr>
          <w:rFonts w:ascii="Arial" w:hAnsi="Arial" w:cs="Arial"/>
          <w:b/>
          <w:sz w:val="24"/>
          <w:szCs w:val="24"/>
        </w:rPr>
        <w:t xml:space="preserve"> 1: </w:t>
      </w:r>
    </w:p>
    <w:p w:rsidR="005A7774" w:rsidRDefault="005A7774" w:rsidP="005A7774">
      <w:pPr>
        <w:spacing w:line="23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Title: </w:t>
      </w:r>
      <w:r w:rsidRPr="009F2A37">
        <w:rPr>
          <w:rFonts w:ascii="Arial" w:hAnsi="Arial" w:cs="Arial"/>
          <w:sz w:val="24"/>
          <w:szCs w:val="24"/>
        </w:rPr>
        <w:t xml:space="preserve">Sample size estimation </w:t>
      </w:r>
      <w:r>
        <w:rPr>
          <w:rFonts w:ascii="Arial" w:hAnsi="Arial" w:cs="Arial"/>
          <w:sz w:val="24"/>
          <w:szCs w:val="24"/>
        </w:rPr>
        <w:t>to evaluate 10% change in the provision of uterotonic treatment between phase 1 and phase 2 at evaluation health facilities</w:t>
      </w:r>
    </w:p>
    <w:p w:rsidR="005A7774" w:rsidRDefault="005A7774" w:rsidP="005A7774">
      <w:pPr>
        <w:spacing w:line="23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Description: </w:t>
      </w:r>
      <w:r w:rsidRPr="004427E6">
        <w:rPr>
          <w:rFonts w:ascii="Arial" w:hAnsi="Arial" w:cs="Arial"/>
          <w:sz w:val="24"/>
          <w:szCs w:val="24"/>
        </w:rPr>
        <w:t xml:space="preserve">Due to disparities and varying access to the public health system, we stratified the estimated changes in coverage to account for differences in facility </w:t>
      </w:r>
      <w:r>
        <w:rPr>
          <w:rFonts w:ascii="Arial" w:hAnsi="Arial" w:cs="Arial"/>
          <w:sz w:val="24"/>
          <w:szCs w:val="24"/>
        </w:rPr>
        <w:t>level</w:t>
      </w:r>
      <w:r w:rsidRPr="004427E6">
        <w:rPr>
          <w:rFonts w:ascii="Arial" w:hAnsi="Arial" w:cs="Arial"/>
          <w:sz w:val="24"/>
          <w:szCs w:val="24"/>
        </w:rPr>
        <w:t xml:space="preserve"> and location</w:t>
      </w:r>
      <w:r>
        <w:rPr>
          <w:rFonts w:ascii="Arial" w:hAnsi="Arial" w:cs="Arial"/>
          <w:sz w:val="24"/>
          <w:szCs w:val="24"/>
        </w:rPr>
        <w:t xml:space="preserve">. </w:t>
      </w:r>
      <w:r w:rsidRPr="009F2A37">
        <w:rPr>
          <w:rFonts w:ascii="Arial" w:hAnsi="Arial" w:cs="Arial"/>
          <w:sz w:val="24"/>
          <w:szCs w:val="24"/>
        </w:rPr>
        <w:t xml:space="preserve">Sample size estimation </w:t>
      </w:r>
      <w:r>
        <w:rPr>
          <w:rFonts w:ascii="Arial" w:hAnsi="Arial" w:cs="Arial"/>
          <w:sz w:val="24"/>
          <w:szCs w:val="24"/>
        </w:rPr>
        <w:t xml:space="preserve">was </w:t>
      </w:r>
      <w:r w:rsidRPr="009F2A37">
        <w:rPr>
          <w:rFonts w:ascii="Arial" w:hAnsi="Arial" w:cs="Arial"/>
          <w:sz w:val="24"/>
          <w:szCs w:val="24"/>
        </w:rPr>
        <w:t xml:space="preserve">based on </w:t>
      </w:r>
      <w:r w:rsidRPr="009F2A37">
        <w:rPr>
          <w:rFonts w:ascii="Arial" w:hAnsi="Arial" w:cs="Arial"/>
          <w:sz w:val="24"/>
          <w:szCs w:val="24"/>
        </w:rPr>
        <w:t xml:space="preserve">PPH incidence at the selected </w:t>
      </w:r>
      <w:r>
        <w:rPr>
          <w:rFonts w:ascii="Arial" w:hAnsi="Arial" w:cs="Arial"/>
          <w:sz w:val="24"/>
          <w:szCs w:val="24"/>
        </w:rPr>
        <w:t xml:space="preserve">evaluation </w:t>
      </w:r>
      <w:r w:rsidRPr="009F2A37">
        <w:rPr>
          <w:rFonts w:ascii="Arial" w:hAnsi="Arial" w:cs="Arial"/>
          <w:sz w:val="24"/>
          <w:szCs w:val="24"/>
        </w:rPr>
        <w:t>health facilities</w:t>
      </w:r>
      <w:r>
        <w:rPr>
          <w:rFonts w:ascii="Arial" w:hAnsi="Arial" w:cs="Arial"/>
          <w:sz w:val="24"/>
          <w:szCs w:val="24"/>
        </w:rPr>
        <w:t>.</w:t>
      </w:r>
      <w:r w:rsidRPr="009F2A37">
        <w:rPr>
          <w:rFonts w:ascii="Arial" w:hAnsi="Arial" w:cs="Arial"/>
          <w:sz w:val="24"/>
          <w:szCs w:val="24"/>
        </w:rPr>
        <w:t xml:space="preserve"> </w:t>
      </w:r>
    </w:p>
    <w:p w:rsidR="005A7774" w:rsidRPr="009F2A37" w:rsidRDefault="005A7774" w:rsidP="005A7774">
      <w:pPr>
        <w:spacing w:line="23" w:lineRule="atLeast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579" w:type="dxa"/>
        <w:tblLook w:val="04A0" w:firstRow="1" w:lastRow="0" w:firstColumn="1" w:lastColumn="0" w:noHBand="0" w:noVBand="1"/>
      </w:tblPr>
      <w:tblGrid>
        <w:gridCol w:w="1444"/>
        <w:gridCol w:w="1190"/>
        <w:gridCol w:w="1393"/>
        <w:gridCol w:w="1324"/>
        <w:gridCol w:w="1241"/>
        <w:gridCol w:w="1730"/>
        <w:gridCol w:w="1257"/>
      </w:tblGrid>
      <w:tr w:rsidR="005A7774" w:rsidRPr="004427E6" w:rsidTr="008E070F">
        <w:trPr>
          <w:trHeight w:val="300"/>
        </w:trPr>
        <w:tc>
          <w:tcPr>
            <w:tcW w:w="1169" w:type="dxa"/>
            <w:noWrap/>
            <w:hideMark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b/>
                <w:color w:val="000000"/>
                <w:sz w:val="24"/>
                <w:szCs w:val="24"/>
              </w:rPr>
              <w:t>Facility Level</w:t>
            </w:r>
          </w:p>
        </w:tc>
        <w:tc>
          <w:tcPr>
            <w:tcW w:w="1033" w:type="dxa"/>
            <w:noWrap/>
            <w:hideMark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b/>
                <w:color w:val="000000"/>
                <w:sz w:val="24"/>
                <w:szCs w:val="24"/>
              </w:rPr>
              <w:t>Locality</w:t>
            </w:r>
          </w:p>
        </w:tc>
        <w:tc>
          <w:tcPr>
            <w:tcW w:w="1393" w:type="dxa"/>
            <w:noWrap/>
            <w:hideMark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b/>
                <w:color w:val="000000"/>
                <w:sz w:val="24"/>
                <w:szCs w:val="24"/>
              </w:rPr>
              <w:t># of facilities</w:t>
            </w:r>
          </w:p>
        </w:tc>
        <w:tc>
          <w:tcPr>
            <w:tcW w:w="1099" w:type="dxa"/>
            <w:noWrap/>
            <w:hideMark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b/>
                <w:color w:val="000000"/>
                <w:sz w:val="24"/>
                <w:szCs w:val="24"/>
              </w:rPr>
              <w:t>Est. # of deliveries per year</w:t>
            </w:r>
          </w:p>
        </w:tc>
        <w:tc>
          <w:tcPr>
            <w:tcW w:w="1241" w:type="dxa"/>
            <w:noWrap/>
            <w:hideMark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b/>
                <w:color w:val="000000"/>
                <w:sz w:val="24"/>
                <w:szCs w:val="24"/>
              </w:rPr>
              <w:t>Est. # of  PPH cases per year*</w:t>
            </w:r>
          </w:p>
        </w:tc>
        <w:tc>
          <w:tcPr>
            <w:tcW w:w="2527" w:type="dxa"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b/>
                <w:color w:val="000000"/>
                <w:sz w:val="24"/>
                <w:szCs w:val="24"/>
              </w:rPr>
              <w:t>∆ (phase 1 to phase 2) in provision of uterotonics for PPH treatment</w:t>
            </w:r>
          </w:p>
        </w:tc>
        <w:tc>
          <w:tcPr>
            <w:tcW w:w="1117" w:type="dxa"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b/>
                <w:color w:val="000000"/>
                <w:sz w:val="24"/>
                <w:szCs w:val="24"/>
              </w:rPr>
              <w:t>Required # PPH cases per phase</w:t>
            </w:r>
          </w:p>
        </w:tc>
      </w:tr>
      <w:tr w:rsidR="005A7774" w:rsidRPr="004427E6" w:rsidTr="008E070F">
        <w:trPr>
          <w:trHeight w:val="300"/>
        </w:trPr>
        <w:tc>
          <w:tcPr>
            <w:tcW w:w="1169" w:type="dxa"/>
            <w:vMerge w:val="restart"/>
            <w:noWrap/>
            <w:vAlign w:val="center"/>
            <w:hideMark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b/>
                <w:color w:val="000000"/>
                <w:sz w:val="24"/>
                <w:szCs w:val="24"/>
              </w:rPr>
              <w:t>Secondary / Tertiary</w:t>
            </w:r>
          </w:p>
        </w:tc>
        <w:tc>
          <w:tcPr>
            <w:tcW w:w="1033" w:type="dxa"/>
            <w:noWrap/>
            <w:vAlign w:val="center"/>
            <w:hideMark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color w:val="000000"/>
                <w:sz w:val="24"/>
                <w:szCs w:val="24"/>
              </w:rPr>
              <w:t>Urban (Niamey)</w:t>
            </w:r>
          </w:p>
        </w:tc>
        <w:tc>
          <w:tcPr>
            <w:tcW w:w="1393" w:type="dxa"/>
            <w:noWrap/>
            <w:vAlign w:val="center"/>
            <w:hideMark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(1 district;</w:t>
            </w:r>
          </w:p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color w:val="000000"/>
                <w:sz w:val="24"/>
                <w:szCs w:val="24"/>
              </w:rPr>
              <w:t>2 regional)</w:t>
            </w:r>
          </w:p>
        </w:tc>
        <w:tc>
          <w:tcPr>
            <w:tcW w:w="1099" w:type="dxa"/>
            <w:noWrap/>
            <w:vAlign w:val="center"/>
            <w:hideMark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color w:val="000000"/>
                <w:sz w:val="24"/>
                <w:szCs w:val="24"/>
              </w:rPr>
              <w:t>8528</w:t>
            </w:r>
          </w:p>
        </w:tc>
        <w:tc>
          <w:tcPr>
            <w:tcW w:w="1241" w:type="dxa"/>
            <w:noWrap/>
            <w:vAlign w:val="center"/>
            <w:hideMark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2527" w:type="dxa"/>
            <w:vAlign w:val="center"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color w:val="000000"/>
                <w:sz w:val="24"/>
                <w:szCs w:val="24"/>
              </w:rPr>
              <w:t>75% to 90%</w:t>
            </w:r>
          </w:p>
        </w:tc>
        <w:tc>
          <w:tcPr>
            <w:tcW w:w="1117" w:type="dxa"/>
            <w:vAlign w:val="center"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color w:val="000000"/>
                <w:sz w:val="24"/>
                <w:szCs w:val="24"/>
              </w:rPr>
              <w:t>96</w:t>
            </w:r>
          </w:p>
        </w:tc>
      </w:tr>
      <w:tr w:rsidR="005A7774" w:rsidRPr="004427E6" w:rsidTr="008E070F">
        <w:trPr>
          <w:trHeight w:val="300"/>
        </w:trPr>
        <w:tc>
          <w:tcPr>
            <w:tcW w:w="1169" w:type="dxa"/>
            <w:vMerge/>
            <w:noWrap/>
            <w:hideMark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033" w:type="dxa"/>
            <w:noWrap/>
            <w:vAlign w:val="center"/>
            <w:hideMark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Rural**</w:t>
            </w:r>
          </w:p>
        </w:tc>
        <w:tc>
          <w:tcPr>
            <w:tcW w:w="1393" w:type="dxa"/>
            <w:noWrap/>
            <w:vAlign w:val="center"/>
            <w:hideMark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18</w:t>
            </w:r>
          </w:p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(11 district;</w:t>
            </w:r>
          </w:p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  <w:r w:rsidRPr="004427E6">
              <w:rPr>
                <w:rFonts w:ascii="Arial" w:hAnsi="Arial" w:cs="Arial"/>
                <w:color w:val="000000"/>
                <w:sz w:val="24"/>
                <w:szCs w:val="24"/>
              </w:rPr>
              <w:t xml:space="preserve"> regional)</w:t>
            </w:r>
          </w:p>
        </w:tc>
        <w:tc>
          <w:tcPr>
            <w:tcW w:w="1099" w:type="dxa"/>
            <w:noWrap/>
            <w:vAlign w:val="center"/>
            <w:hideMark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20256</w:t>
            </w:r>
          </w:p>
        </w:tc>
        <w:tc>
          <w:tcPr>
            <w:tcW w:w="1241" w:type="dxa"/>
            <w:noWrap/>
            <w:vAlign w:val="center"/>
            <w:hideMark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527" w:type="dxa"/>
            <w:vAlign w:val="center"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color w:val="000000"/>
                <w:sz w:val="24"/>
                <w:szCs w:val="24"/>
              </w:rPr>
              <w:t>60% to 75%</w:t>
            </w:r>
          </w:p>
        </w:tc>
        <w:tc>
          <w:tcPr>
            <w:tcW w:w="1117" w:type="dxa"/>
            <w:vAlign w:val="center"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color w:val="000000"/>
                <w:sz w:val="24"/>
                <w:szCs w:val="24"/>
              </w:rPr>
              <w:t>151</w:t>
            </w:r>
          </w:p>
        </w:tc>
      </w:tr>
      <w:tr w:rsidR="005A7774" w:rsidRPr="004427E6" w:rsidTr="008E070F">
        <w:trPr>
          <w:trHeight w:val="300"/>
        </w:trPr>
        <w:tc>
          <w:tcPr>
            <w:tcW w:w="1169" w:type="dxa"/>
            <w:vMerge w:val="restart"/>
            <w:noWrap/>
            <w:vAlign w:val="center"/>
            <w:hideMark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b/>
                <w:color w:val="000000"/>
                <w:sz w:val="24"/>
                <w:szCs w:val="24"/>
              </w:rPr>
              <w:t>Primary</w:t>
            </w:r>
          </w:p>
        </w:tc>
        <w:tc>
          <w:tcPr>
            <w:tcW w:w="1033" w:type="dxa"/>
            <w:noWrap/>
            <w:vAlign w:val="center"/>
            <w:hideMark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color w:val="000000"/>
                <w:sz w:val="24"/>
                <w:szCs w:val="24"/>
              </w:rPr>
              <w:t>Urban (Niamey)</w:t>
            </w:r>
          </w:p>
        </w:tc>
        <w:tc>
          <w:tcPr>
            <w:tcW w:w="1393" w:type="dxa"/>
            <w:noWrap/>
            <w:vAlign w:val="center"/>
            <w:hideMark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99" w:type="dxa"/>
            <w:noWrap/>
            <w:vAlign w:val="center"/>
            <w:hideMark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color w:val="000000"/>
                <w:sz w:val="24"/>
                <w:szCs w:val="24"/>
              </w:rPr>
              <w:t>19206</w:t>
            </w:r>
          </w:p>
        </w:tc>
        <w:tc>
          <w:tcPr>
            <w:tcW w:w="1241" w:type="dxa"/>
            <w:noWrap/>
            <w:vAlign w:val="center"/>
            <w:hideMark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2527" w:type="dxa"/>
            <w:vAlign w:val="center"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color w:val="000000"/>
                <w:sz w:val="24"/>
                <w:szCs w:val="24"/>
              </w:rPr>
              <w:t>60% to75%</w:t>
            </w:r>
          </w:p>
        </w:tc>
        <w:tc>
          <w:tcPr>
            <w:tcW w:w="1117" w:type="dxa"/>
            <w:vAlign w:val="center"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color w:val="000000"/>
                <w:sz w:val="24"/>
                <w:szCs w:val="24"/>
              </w:rPr>
              <w:t>151</w:t>
            </w:r>
          </w:p>
        </w:tc>
      </w:tr>
      <w:tr w:rsidR="005A7774" w:rsidRPr="004427E6" w:rsidTr="008E070F">
        <w:trPr>
          <w:trHeight w:val="300"/>
        </w:trPr>
        <w:tc>
          <w:tcPr>
            <w:tcW w:w="1169" w:type="dxa"/>
            <w:vMerge/>
            <w:noWrap/>
            <w:hideMark/>
          </w:tcPr>
          <w:p w:rsidR="005A7774" w:rsidRPr="004427E6" w:rsidRDefault="005A7774" w:rsidP="008E070F">
            <w:pPr>
              <w:spacing w:line="23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33" w:type="dxa"/>
            <w:noWrap/>
            <w:vAlign w:val="center"/>
            <w:hideMark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color w:val="000000"/>
                <w:sz w:val="24"/>
                <w:szCs w:val="24"/>
              </w:rPr>
              <w:t>Rural</w:t>
            </w:r>
          </w:p>
        </w:tc>
        <w:tc>
          <w:tcPr>
            <w:tcW w:w="1393" w:type="dxa"/>
            <w:noWrap/>
            <w:vAlign w:val="center"/>
            <w:hideMark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099" w:type="dxa"/>
            <w:noWrap/>
            <w:vAlign w:val="center"/>
            <w:hideMark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color w:val="000000"/>
                <w:sz w:val="24"/>
                <w:szCs w:val="24"/>
              </w:rPr>
              <w:t>50010</w:t>
            </w:r>
          </w:p>
        </w:tc>
        <w:tc>
          <w:tcPr>
            <w:tcW w:w="1241" w:type="dxa"/>
            <w:noWrap/>
            <w:vAlign w:val="center"/>
            <w:hideMark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2527" w:type="dxa"/>
            <w:vAlign w:val="center"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color w:val="000000"/>
                <w:sz w:val="24"/>
                <w:szCs w:val="24"/>
              </w:rPr>
              <w:t>60% to 75%</w:t>
            </w:r>
          </w:p>
        </w:tc>
        <w:tc>
          <w:tcPr>
            <w:tcW w:w="1117" w:type="dxa"/>
            <w:vAlign w:val="center"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color w:val="000000"/>
                <w:sz w:val="24"/>
                <w:szCs w:val="24"/>
              </w:rPr>
              <w:t>151</w:t>
            </w:r>
          </w:p>
        </w:tc>
      </w:tr>
      <w:tr w:rsidR="005A7774" w:rsidRPr="004427E6" w:rsidTr="008E070F">
        <w:trPr>
          <w:trHeight w:val="377"/>
        </w:trPr>
        <w:tc>
          <w:tcPr>
            <w:tcW w:w="1169" w:type="dxa"/>
            <w:noWrap/>
            <w:vAlign w:val="center"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b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033" w:type="dxa"/>
            <w:noWrap/>
            <w:vAlign w:val="center"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393" w:type="dxa"/>
            <w:noWrap/>
            <w:vAlign w:val="center"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69</w:t>
            </w:r>
          </w:p>
        </w:tc>
        <w:tc>
          <w:tcPr>
            <w:tcW w:w="1099" w:type="dxa"/>
            <w:noWrap/>
            <w:vAlign w:val="center"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b/>
                <w:color w:val="000000"/>
                <w:sz w:val="24"/>
                <w:szCs w:val="24"/>
              </w:rPr>
              <w:t>98000</w:t>
            </w:r>
          </w:p>
        </w:tc>
        <w:tc>
          <w:tcPr>
            <w:tcW w:w="1241" w:type="dxa"/>
            <w:noWrap/>
            <w:vAlign w:val="center"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b/>
                <w:color w:val="000000"/>
                <w:sz w:val="24"/>
                <w:szCs w:val="24"/>
              </w:rPr>
              <w:t>670</w:t>
            </w:r>
          </w:p>
        </w:tc>
        <w:tc>
          <w:tcPr>
            <w:tcW w:w="2527" w:type="dxa"/>
            <w:vAlign w:val="center"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117" w:type="dxa"/>
            <w:vAlign w:val="center"/>
          </w:tcPr>
          <w:p w:rsidR="005A7774" w:rsidRPr="004427E6" w:rsidRDefault="005A7774" w:rsidP="008E070F">
            <w:pPr>
              <w:spacing w:line="23" w:lineRule="atLeas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4427E6">
              <w:rPr>
                <w:rFonts w:ascii="Arial" w:hAnsi="Arial" w:cs="Arial"/>
                <w:b/>
                <w:color w:val="000000"/>
                <w:sz w:val="24"/>
                <w:szCs w:val="24"/>
              </w:rPr>
              <w:t>549</w:t>
            </w:r>
          </w:p>
        </w:tc>
      </w:tr>
      <w:tr w:rsidR="005A7774" w:rsidRPr="004427E6" w:rsidTr="008E070F">
        <w:trPr>
          <w:trHeight w:val="300"/>
        </w:trPr>
        <w:tc>
          <w:tcPr>
            <w:tcW w:w="9579" w:type="dxa"/>
            <w:gridSpan w:val="7"/>
            <w:noWrap/>
          </w:tcPr>
          <w:p w:rsidR="005A7774" w:rsidRPr="004427E6" w:rsidRDefault="005A7774" w:rsidP="008E070F">
            <w:pPr>
              <w:spacing w:line="23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27E6">
              <w:rPr>
                <w:rFonts w:ascii="Arial" w:hAnsi="Arial" w:cs="Arial"/>
                <w:sz w:val="24"/>
                <w:szCs w:val="24"/>
              </w:rPr>
              <w:t xml:space="preserve">* These estimates were based on the following assumptions: 30% of births occur in facilities in rural areas, 85% of births occur in facilities in urban areas, 1.5% of </w:t>
            </w:r>
            <w:r>
              <w:rPr>
                <w:rFonts w:ascii="Arial" w:hAnsi="Arial" w:cs="Arial"/>
                <w:sz w:val="24"/>
                <w:szCs w:val="24"/>
              </w:rPr>
              <w:t xml:space="preserve">deliveries result in </w:t>
            </w:r>
            <w:r w:rsidRPr="004427E6">
              <w:rPr>
                <w:rFonts w:ascii="Arial" w:hAnsi="Arial" w:cs="Arial"/>
                <w:sz w:val="24"/>
                <w:szCs w:val="24"/>
              </w:rPr>
              <w:t xml:space="preserve">PPH.  </w:t>
            </w:r>
          </w:p>
          <w:p w:rsidR="005A7774" w:rsidRPr="004427E6" w:rsidRDefault="005A7774" w:rsidP="008E070F">
            <w:pPr>
              <w:spacing w:line="23" w:lineRule="atLeast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27E6">
              <w:rPr>
                <w:rFonts w:ascii="Arial" w:hAnsi="Arial" w:cs="Arial"/>
                <w:sz w:val="24"/>
                <w:szCs w:val="24"/>
              </w:rPr>
              <w:t>** Data is missing for 8 rural secondary/referral health facilities</w:t>
            </w:r>
          </w:p>
        </w:tc>
      </w:tr>
    </w:tbl>
    <w:p w:rsidR="005A7774" w:rsidRPr="004427E6" w:rsidRDefault="005A7774" w:rsidP="005A7774">
      <w:pPr>
        <w:spacing w:line="480" w:lineRule="auto"/>
        <w:jc w:val="both"/>
        <w:rPr>
          <w:rFonts w:ascii="Arial" w:hAnsi="Arial" w:cs="Arial"/>
          <w:b/>
          <w:sz w:val="24"/>
          <w:szCs w:val="24"/>
        </w:rPr>
      </w:pPr>
    </w:p>
    <w:p w:rsidR="005A7774" w:rsidRDefault="005A7774" w:rsidP="005A7774"/>
    <w:p w:rsidR="00E073A1" w:rsidRDefault="00E073A1">
      <w:bookmarkStart w:id="0" w:name="_GoBack"/>
      <w:bookmarkEnd w:id="0"/>
    </w:p>
    <w:sectPr w:rsidR="00E073A1" w:rsidSect="00872351">
      <w:footerReference w:type="default" r:id="rId4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95450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63AB1" w:rsidRDefault="005A777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63AB1" w:rsidRDefault="005A7774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774"/>
    <w:rsid w:val="005A7774"/>
    <w:rsid w:val="00E0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DA29A0-E1A2-450A-8621-2444B14FF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7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A7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774"/>
  </w:style>
  <w:style w:type="character" w:styleId="LineNumber">
    <w:name w:val="line number"/>
    <w:basedOn w:val="DefaultParagraphFont"/>
    <w:uiPriority w:val="99"/>
    <w:semiHidden/>
    <w:unhideWhenUsed/>
    <w:rsid w:val="005A7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Meighan Tarnagada</dc:creator>
  <cp:keywords/>
  <dc:description/>
  <cp:lastModifiedBy>Meighan Tarnagada</cp:lastModifiedBy>
  <cp:revision>1</cp:revision>
  <dcterms:created xsi:type="dcterms:W3CDTF">2019-06-14T13:03:00Z</dcterms:created>
  <dcterms:modified xsi:type="dcterms:W3CDTF">2019-06-14T13:03:00Z</dcterms:modified>
</cp:coreProperties>
</file>