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F8" w:rsidRDefault="00CD22F8" w:rsidP="00CD22F8">
      <w:pPr>
        <w:spacing w:line="360" w:lineRule="auto"/>
        <w:jc w:val="both"/>
        <w:rPr>
          <w:rFonts w:eastAsiaTheme="majorEastAsia" w:cstheme="majorBidi"/>
          <w:b/>
          <w:i/>
          <w:color w:val="000000" w:themeColor="text1"/>
          <w:sz w:val="24"/>
          <w:szCs w:val="24"/>
          <w:u w:color="2F5496"/>
          <w:bdr w:val="nil"/>
          <w:lang w:eastAsia="en-ZA"/>
        </w:rPr>
      </w:pPr>
      <w:bookmarkStart w:id="0" w:name="_GoBack"/>
      <w:r>
        <w:rPr>
          <w:rFonts w:eastAsiaTheme="majorEastAsia" w:cstheme="majorBidi"/>
          <w:b/>
          <w:i/>
          <w:color w:val="000000" w:themeColor="text1"/>
          <w:sz w:val="24"/>
          <w:szCs w:val="24"/>
          <w:u w:color="2F5496"/>
          <w:bdr w:val="nil"/>
          <w:lang w:eastAsia="en-ZA"/>
        </w:rPr>
        <w:t>Appendix 1</w:t>
      </w:r>
      <w:r w:rsidRPr="000F5D07">
        <w:rPr>
          <w:rFonts w:eastAsiaTheme="majorEastAsia" w:cstheme="majorBidi"/>
          <w:b/>
          <w:i/>
          <w:color w:val="000000" w:themeColor="text1"/>
          <w:sz w:val="24"/>
          <w:szCs w:val="24"/>
          <w:u w:color="2F5496"/>
          <w:bdr w:val="nil"/>
          <w:lang w:eastAsia="en-ZA"/>
        </w:rPr>
        <w:t xml:space="preserve">: Summary of </w:t>
      </w:r>
      <w:r>
        <w:rPr>
          <w:rFonts w:eastAsiaTheme="majorEastAsia" w:cstheme="majorBidi"/>
          <w:b/>
          <w:i/>
          <w:color w:val="000000" w:themeColor="text1"/>
          <w:sz w:val="24"/>
          <w:szCs w:val="24"/>
          <w:u w:color="2F5496"/>
          <w:bdr w:val="nil"/>
          <w:lang w:eastAsia="en-ZA"/>
        </w:rPr>
        <w:t>community-linked death review</w:t>
      </w:r>
      <w:r w:rsidRPr="000F5D07">
        <w:rPr>
          <w:rFonts w:eastAsiaTheme="majorEastAsia" w:cstheme="majorBidi"/>
          <w:b/>
          <w:i/>
          <w:color w:val="000000" w:themeColor="text1"/>
          <w:sz w:val="24"/>
          <w:szCs w:val="24"/>
          <w:u w:color="2F5496"/>
          <w:bdr w:val="nil"/>
          <w:lang w:eastAsia="en-ZA"/>
        </w:rPr>
        <w:t xml:space="preserve"> components</w:t>
      </w:r>
    </w:p>
    <w:tbl>
      <w:tblPr>
        <w:tblW w:w="13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43"/>
        <w:gridCol w:w="4140"/>
        <w:gridCol w:w="7087"/>
      </w:tblGrid>
      <w:tr w:rsidR="00CD22F8" w:rsidRPr="0041257F" w:rsidTr="0069677F">
        <w:trPr>
          <w:trHeight w:val="2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bookmarkEnd w:id="0"/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b/>
                <w:bCs/>
                <w:i/>
                <w:iCs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Key components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b/>
                <w:bCs/>
                <w:i/>
                <w:iCs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Approaches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b/>
                <w:bCs/>
                <w:i/>
                <w:iCs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Activities</w:t>
            </w:r>
          </w:p>
        </w:tc>
      </w:tr>
      <w:tr w:rsidR="00CD22F8" w:rsidRPr="0041257F" w:rsidTr="0069677F">
        <w:trPr>
          <w:trHeight w:val="79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1. Establishing an enabling environment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A review of community, local and national maternal and neonatal death reporting systems. 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A review of the community health system linkages to death reporting.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Facilitate sessions with community-based </w:t>
            </w:r>
            <w:proofErr w:type="spellStart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organisations</w:t>
            </w:r>
            <w:proofErr w:type="spellEnd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 to </w:t>
            </w:r>
            <w:proofErr w:type="spellStart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analyse</w:t>
            </w:r>
            <w:proofErr w:type="spellEnd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 and document relevant issues and plan and implement involvement in policy activities at appropriate levels. </w:t>
            </w:r>
          </w:p>
        </w:tc>
      </w:tr>
      <w:tr w:rsidR="00CD22F8" w:rsidRPr="0041257F" w:rsidTr="0069677F">
        <w:trPr>
          <w:trHeight w:val="29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Advocacy, communication and social </w:t>
            </w:r>
            <w:proofErr w:type="spellStart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mobilisation</w:t>
            </w:r>
            <w:proofErr w:type="spellEnd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Conduct a community stakeholder and health system mapping exercise to identify strengths and weaknesses in the reporting systems. 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Advocacy plan addressing implementation and improvement of local and national death reporting systems. </w:t>
            </w:r>
          </w:p>
        </w:tc>
      </w:tr>
      <w:tr w:rsidR="00CD22F8" w:rsidRPr="0041257F" w:rsidTr="0069677F">
        <w:trPr>
          <w:trHeight w:val="13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2. Ensuring </w:t>
            </w:r>
            <w:proofErr w:type="spellStart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intersectoral</w:t>
            </w:r>
            <w:proofErr w:type="spellEnd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 collaboration and coordination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Building community linkages, collaboration and coordination.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Identify functional networks, linkages and partnerships between community actors and local and national health departments.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Plan for collaborating for effective coordination and decision making of all actors.</w:t>
            </w:r>
          </w:p>
        </w:tc>
      </w:tr>
      <w:tr w:rsidR="00CD22F8" w:rsidRPr="0041257F" w:rsidTr="0069677F">
        <w:trPr>
          <w:trHeight w:val="65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3. Resources and capacity building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Human resources: skills building for CHWs, advocacy actors and local leadership.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Develop capacity building </w:t>
            </w:r>
            <w:proofErr w:type="spellStart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programme</w:t>
            </w:r>
            <w:proofErr w:type="spellEnd"/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.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Continuous training for CHWs conducting the death review.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Community actors should have good knowledge of rights, community health, social environments and barriers to access and develop and deliver an effective death review system. </w:t>
            </w:r>
          </w:p>
        </w:tc>
      </w:tr>
      <w:tr w:rsidR="00CD22F8" w:rsidRPr="0041257F" w:rsidTr="0069677F">
        <w:trPr>
          <w:trHeight w:val="131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Financial resources.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Secure core funding and manage financial resources sustainably. </w:t>
            </w:r>
          </w:p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Financial reporting system that is transparent and timely should be implemented.</w:t>
            </w:r>
          </w:p>
        </w:tc>
      </w:tr>
      <w:tr w:rsidR="00CD22F8" w:rsidRPr="0041257F" w:rsidTr="0069677F">
        <w:trPr>
          <w:trHeight w:val="61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Material resources – infrastructure, information and essential commodities (including medical and other products and technologies).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Functional systems should be in place to forecast, quantify, source, manage and use infrastructure and essential commodities in appropriate and efficient ways.</w:t>
            </w:r>
          </w:p>
        </w:tc>
      </w:tr>
      <w:tr w:rsidR="00CD22F8" w:rsidRPr="0041257F" w:rsidTr="0069677F">
        <w:trPr>
          <w:trHeight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4. Community health system and service delivery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CHWs activities and health services – delivery, use, quality.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Effective, no blame, high-quality reporting is enabled; and responding interventions are equitably delivered to those women and neonates in order to prevent mortalities.</w:t>
            </w:r>
          </w:p>
        </w:tc>
      </w:tr>
      <w:tr w:rsidR="00CD22F8" w:rsidRPr="0041257F" w:rsidTr="0069677F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lastRenderedPageBreak/>
              <w:t>5. Organizational and leadership strengthening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Management, accountability and leadership.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While ensuring accountability to all stakeholders CHWs must provide leadership in the development, operation and management of the death reporting.</w:t>
            </w:r>
          </w:p>
        </w:tc>
      </w:tr>
      <w:tr w:rsidR="00CD22F8" w:rsidRPr="0041257F" w:rsidTr="0069677F">
        <w:trPr>
          <w:trHeight w:val="22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6. Monitoring &amp; evaluation and planning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Monitoring &amp; evaluation, evidence</w:t>
            </w:r>
            <w:r w:rsidRPr="0041257F">
              <w:rPr>
                <w:rFonts w:eastAsia="Adobe Caslon Pro Bold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 </w:t>
            </w: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building.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Relevant programmatic qualitative and quantitative data is collected, analyzed, used and shared. Appropriate mechanisms for data quality, feedback and supervision should be in place.</w:t>
            </w:r>
          </w:p>
        </w:tc>
      </w:tr>
      <w:tr w:rsidR="00CD22F8" w:rsidRPr="0041257F" w:rsidTr="0069677F">
        <w:trPr>
          <w:trHeight w:val="2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Strategic and operational planning.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2F8" w:rsidRPr="0041257F" w:rsidRDefault="00CD22F8" w:rsidP="0069677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ZA" w:eastAsia="en-ZA"/>
              </w:rPr>
            </w:pP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Strategic information generated by the M&amp;E system is used for evidence</w:t>
            </w:r>
            <w:r w:rsidRPr="0041257F">
              <w:rPr>
                <w:rFonts w:eastAsia="Adobe Caslon Pro Bold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>‐</w:t>
            </w:r>
            <w:r w:rsidRPr="0041257F">
              <w:rPr>
                <w:rFonts w:eastAsia="Arial Unicode MS" w:cstheme="minorHAnsi"/>
                <w:color w:val="000000"/>
                <w:sz w:val="18"/>
                <w:szCs w:val="18"/>
                <w:u w:color="000000"/>
                <w:bdr w:val="nil"/>
                <w:lang w:val="en-US" w:eastAsia="en-ZA"/>
              </w:rPr>
              <w:t xml:space="preserve">based planning, management, advocacy and policy formulation. </w:t>
            </w:r>
          </w:p>
        </w:tc>
      </w:tr>
    </w:tbl>
    <w:p w:rsidR="00CD22F8" w:rsidRPr="0041257F" w:rsidRDefault="00CD22F8" w:rsidP="00CD22F8">
      <w:pPr>
        <w:spacing w:line="360" w:lineRule="auto"/>
        <w:jc w:val="both"/>
        <w:rPr>
          <w:rFonts w:eastAsiaTheme="majorEastAsia" w:cstheme="majorBidi"/>
          <w:b/>
          <w:color w:val="000000" w:themeColor="text1"/>
          <w:sz w:val="24"/>
          <w:szCs w:val="24"/>
          <w:u w:color="2F5496"/>
          <w:bdr w:val="nil"/>
          <w:lang w:eastAsia="en-ZA"/>
        </w:rPr>
      </w:pPr>
    </w:p>
    <w:p w:rsidR="00CD22F8" w:rsidRPr="00CD22F8" w:rsidRDefault="00CD22F8" w:rsidP="00CD22F8"/>
    <w:sectPr w:rsidR="00CD22F8" w:rsidRPr="00CD22F8" w:rsidSect="004125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Caslon Pro Bold">
    <w:altName w:val="Times New Roman"/>
    <w:charset w:val="00"/>
    <w:family w:val="auto"/>
    <w:pitch w:val="variable"/>
    <w:sig w:usb0="00000001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15585"/>
    <w:rsid w:val="00315585"/>
    <w:rsid w:val="004929B4"/>
    <w:rsid w:val="00A6690D"/>
    <w:rsid w:val="00C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2F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2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ttBodyTextChar">
    <w:name w:val="Mott Body Text Char"/>
    <w:basedOn w:val="DefaultParagraphFont"/>
    <w:link w:val="MottBodyText"/>
    <w:locked/>
    <w:rsid w:val="00315585"/>
    <w:rPr>
      <w:rFonts w:ascii="Arial" w:eastAsia="Times New Roman" w:hAnsi="Arial" w:cs="Arial"/>
      <w:szCs w:val="24"/>
    </w:rPr>
  </w:style>
  <w:style w:type="paragraph" w:customStyle="1" w:styleId="MottBodyText">
    <w:name w:val="Mott Body Text"/>
    <w:basedOn w:val="Normal"/>
    <w:link w:val="MottBodyTextChar"/>
    <w:qFormat/>
    <w:rsid w:val="00315585"/>
    <w:pPr>
      <w:spacing w:after="0" w:line="276" w:lineRule="auto"/>
    </w:pPr>
    <w:rPr>
      <w:rFonts w:ascii="Arial" w:eastAsia="Times New Roman" w:hAnsi="Arial" w:cs="Arial"/>
      <w:szCs w:val="24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CD22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D22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CD22F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D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2F8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2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ttBodyTextChar">
    <w:name w:val="Mott Body Text Char"/>
    <w:basedOn w:val="DefaultParagraphFont"/>
    <w:link w:val="MottBodyText"/>
    <w:locked/>
    <w:rsid w:val="00315585"/>
    <w:rPr>
      <w:rFonts w:ascii="Arial" w:eastAsia="Times New Roman" w:hAnsi="Arial" w:cs="Arial"/>
      <w:szCs w:val="24"/>
    </w:rPr>
  </w:style>
  <w:style w:type="paragraph" w:customStyle="1" w:styleId="MottBodyText">
    <w:name w:val="Mott Body Text"/>
    <w:basedOn w:val="Normal"/>
    <w:link w:val="MottBodyTextChar"/>
    <w:qFormat/>
    <w:rsid w:val="00315585"/>
    <w:pPr>
      <w:spacing w:after="0" w:line="276" w:lineRule="auto"/>
    </w:pPr>
    <w:rPr>
      <w:rFonts w:ascii="Arial" w:eastAsia="Times New Roman" w:hAnsi="Arial" w:cs="Arial"/>
      <w:szCs w:val="24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CD22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D22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CD22F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D2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2531</Characters>
  <Application>Microsoft Office Word</Application>
  <DocSecurity>0</DocSecurity>
  <Lines>72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Igumbor</dc:creator>
  <cp:keywords/>
  <dc:description/>
  <cp:lastModifiedBy>AENCILAY</cp:lastModifiedBy>
  <cp:revision>2</cp:revision>
  <dcterms:created xsi:type="dcterms:W3CDTF">2020-04-10T04:43:00Z</dcterms:created>
  <dcterms:modified xsi:type="dcterms:W3CDTF">2020-11-16T10:40:00Z</dcterms:modified>
</cp:coreProperties>
</file>