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E8B87" w14:textId="77777777" w:rsidR="00AB585C" w:rsidRDefault="003855FE">
      <w:pPr>
        <w:rPr>
          <w:rFonts w:ascii="Tahoma" w:hAnsi="Tahoma" w:cs="Tahoma"/>
          <w:b/>
        </w:rPr>
      </w:pPr>
      <w:r>
        <w:rPr>
          <w:rFonts w:ascii="Tahoma" w:hAnsi="Tahoma" w:cs="Tahoma"/>
          <w:b/>
        </w:rPr>
        <w:t>Table S1 - search strategies (primary literature review)</w:t>
      </w:r>
    </w:p>
    <w:tbl>
      <w:tblPr>
        <w:tblStyle w:val="TableGrid"/>
        <w:tblW w:w="0" w:type="auto"/>
        <w:tblLook w:val="04A0" w:firstRow="1" w:lastRow="0" w:firstColumn="1" w:lastColumn="0" w:noHBand="0" w:noVBand="1"/>
      </w:tblPr>
      <w:tblGrid>
        <w:gridCol w:w="1526"/>
        <w:gridCol w:w="7716"/>
      </w:tblGrid>
      <w:tr w:rsidR="00AB585C" w14:paraId="15120CA7" w14:textId="77777777">
        <w:tc>
          <w:tcPr>
            <w:tcW w:w="1526" w:type="dxa"/>
          </w:tcPr>
          <w:p w14:paraId="6CDB9E5F" w14:textId="77777777" w:rsidR="00AB585C" w:rsidRDefault="003855FE">
            <w:pPr>
              <w:rPr>
                <w:rFonts w:ascii="Tahoma" w:hAnsi="Tahoma" w:cs="Tahoma"/>
                <w:sz w:val="20"/>
                <w:szCs w:val="20"/>
              </w:rPr>
            </w:pPr>
            <w:r>
              <w:rPr>
                <w:rFonts w:ascii="Tahoma" w:hAnsi="Tahoma" w:cs="Tahoma"/>
                <w:sz w:val="20"/>
                <w:szCs w:val="20"/>
              </w:rPr>
              <w:t xml:space="preserve">MEDLINE </w:t>
            </w:r>
          </w:p>
          <w:p w14:paraId="405784AB" w14:textId="77777777" w:rsidR="00AB585C" w:rsidRDefault="00AB585C">
            <w:pPr>
              <w:rPr>
                <w:rFonts w:ascii="Tahoma" w:hAnsi="Tahoma" w:cs="Tahoma"/>
                <w:sz w:val="20"/>
                <w:szCs w:val="20"/>
              </w:rPr>
            </w:pPr>
          </w:p>
        </w:tc>
        <w:tc>
          <w:tcPr>
            <w:tcW w:w="7716" w:type="dxa"/>
          </w:tcPr>
          <w:p w14:paraId="78896C29" w14:textId="77777777" w:rsidR="00AB585C" w:rsidRDefault="003855FE">
            <w:pPr>
              <w:pStyle w:val="ListParagraph"/>
              <w:numPr>
                <w:ilvl w:val="0"/>
                <w:numId w:val="1"/>
              </w:numPr>
              <w:rPr>
                <w:rFonts w:ascii="Tahoma" w:hAnsi="Tahoma" w:cs="Tahoma"/>
              </w:rPr>
            </w:pPr>
            <w:r>
              <w:rPr>
                <w:rFonts w:ascii="Tahoma" w:hAnsi="Tahoma" w:cs="Tahoma"/>
              </w:rPr>
              <w:t xml:space="preserve">economic evaluation[Title/Abstract] OR economic </w:t>
            </w:r>
            <w:proofErr w:type="spellStart"/>
            <w:r>
              <w:rPr>
                <w:rFonts w:ascii="Tahoma" w:hAnsi="Tahoma" w:cs="Tahoma"/>
              </w:rPr>
              <w:t>analys</w:t>
            </w:r>
            <w:proofErr w:type="spellEnd"/>
            <w:r>
              <w:rPr>
                <w:rFonts w:ascii="Tahoma" w:hAnsi="Tahoma" w:cs="Tahoma"/>
              </w:rPr>
              <w:t xml:space="preserve">*[Title/Abstract] OR cost </w:t>
            </w:r>
            <w:proofErr w:type="spellStart"/>
            <w:r>
              <w:rPr>
                <w:rFonts w:ascii="Tahoma" w:hAnsi="Tahoma" w:cs="Tahoma"/>
              </w:rPr>
              <w:t>analys</w:t>
            </w:r>
            <w:proofErr w:type="spellEnd"/>
            <w:r>
              <w:rPr>
                <w:rFonts w:ascii="Tahoma" w:hAnsi="Tahoma" w:cs="Tahoma"/>
              </w:rPr>
              <w:t xml:space="preserve">*[Title/Abstract] OR cost effective* </w:t>
            </w:r>
            <w:proofErr w:type="spellStart"/>
            <w:r>
              <w:rPr>
                <w:rFonts w:ascii="Tahoma" w:hAnsi="Tahoma" w:cs="Tahoma"/>
              </w:rPr>
              <w:t>analys</w:t>
            </w:r>
            <w:proofErr w:type="spellEnd"/>
            <w:r>
              <w:rPr>
                <w:rFonts w:ascii="Tahoma" w:hAnsi="Tahoma" w:cs="Tahoma"/>
              </w:rPr>
              <w:t xml:space="preserve">*[Title/Abstract] OR cost-effective* </w:t>
            </w:r>
            <w:proofErr w:type="spellStart"/>
            <w:r>
              <w:rPr>
                <w:rFonts w:ascii="Tahoma" w:hAnsi="Tahoma" w:cs="Tahoma"/>
              </w:rPr>
              <w:t>analys</w:t>
            </w:r>
            <w:proofErr w:type="spellEnd"/>
            <w:r>
              <w:rPr>
                <w:rFonts w:ascii="Tahoma" w:hAnsi="Tahoma" w:cs="Tahoma"/>
              </w:rPr>
              <w:t xml:space="preserve">*[Title/Abstract] OR cost benefit* </w:t>
            </w:r>
            <w:proofErr w:type="spellStart"/>
            <w:r>
              <w:rPr>
                <w:rFonts w:ascii="Tahoma" w:hAnsi="Tahoma" w:cs="Tahoma"/>
              </w:rPr>
              <w:t>analys</w:t>
            </w:r>
            <w:proofErr w:type="spellEnd"/>
            <w:r>
              <w:rPr>
                <w:rFonts w:ascii="Tahoma" w:hAnsi="Tahoma" w:cs="Tahoma"/>
              </w:rPr>
              <w:t xml:space="preserve">*[Title/Abstract] OR cost utility* </w:t>
            </w:r>
            <w:proofErr w:type="spellStart"/>
            <w:r>
              <w:rPr>
                <w:rFonts w:ascii="Tahoma" w:hAnsi="Tahoma" w:cs="Tahoma"/>
              </w:rPr>
              <w:t>analys</w:t>
            </w:r>
            <w:proofErr w:type="spellEnd"/>
            <w:r>
              <w:rPr>
                <w:rFonts w:ascii="Tahoma" w:hAnsi="Tahoma" w:cs="Tahoma"/>
              </w:rPr>
              <w:t xml:space="preserve">*[Title/Abstract] OR cost-benefit* </w:t>
            </w:r>
            <w:proofErr w:type="spellStart"/>
            <w:r>
              <w:rPr>
                <w:rFonts w:ascii="Tahoma" w:hAnsi="Tahoma" w:cs="Tahoma"/>
              </w:rPr>
              <w:t>analys</w:t>
            </w:r>
            <w:proofErr w:type="spellEnd"/>
            <w:r>
              <w:rPr>
                <w:rFonts w:ascii="Tahoma" w:hAnsi="Tahoma" w:cs="Tahoma"/>
              </w:rPr>
              <w:t xml:space="preserve">*[Title/Abstract] OR cost-utility* </w:t>
            </w:r>
            <w:proofErr w:type="spellStart"/>
            <w:r>
              <w:rPr>
                <w:rFonts w:ascii="Tahoma" w:hAnsi="Tahoma" w:cs="Tahoma"/>
              </w:rPr>
              <w:t>analys</w:t>
            </w:r>
            <w:proofErr w:type="spellEnd"/>
            <w:r>
              <w:rPr>
                <w:rFonts w:ascii="Tahoma" w:hAnsi="Tahoma" w:cs="Tahoma"/>
              </w:rPr>
              <w:t>*[Title/Abstract]</w:t>
            </w:r>
          </w:p>
          <w:p w14:paraId="4B074B24" w14:textId="77777777" w:rsidR="00AB585C" w:rsidRDefault="00AB585C">
            <w:pPr>
              <w:pStyle w:val="ListParagraph"/>
              <w:ind w:left="360"/>
              <w:rPr>
                <w:rFonts w:ascii="Tahoma" w:hAnsi="Tahoma" w:cs="Tahoma"/>
              </w:rPr>
            </w:pPr>
          </w:p>
          <w:p w14:paraId="71DA93CB" w14:textId="77777777" w:rsidR="00AB585C" w:rsidRDefault="003855FE">
            <w:pPr>
              <w:pStyle w:val="ListParagraph"/>
              <w:numPr>
                <w:ilvl w:val="0"/>
                <w:numId w:val="1"/>
              </w:numPr>
              <w:rPr>
                <w:rFonts w:ascii="Tahoma" w:hAnsi="Tahoma" w:cs="Tahoma"/>
              </w:rPr>
            </w:pPr>
            <w:r>
              <w:rPr>
                <w:rFonts w:ascii="Tahoma" w:hAnsi="Tahoma" w:cs="Tahoma"/>
              </w:rPr>
              <w:t xml:space="preserve">breastfeeding OR breast feeding OR breastfed OR breastfeed OR bottle feeding OR bottle fed OR bottle feed OR infant feeding OR human milk OR formula milk OR formula feed OR formula </w:t>
            </w:r>
            <w:proofErr w:type="gramStart"/>
            <w:r>
              <w:rPr>
                <w:rFonts w:ascii="Tahoma" w:hAnsi="Tahoma" w:cs="Tahoma"/>
              </w:rPr>
              <w:t>fed)  AND</w:t>
            </w:r>
            <w:proofErr w:type="gramEnd"/>
            <w:r>
              <w:rPr>
                <w:rFonts w:ascii="Tahoma" w:hAnsi="Tahoma" w:cs="Tahoma"/>
              </w:rPr>
              <w:t xml:space="preserve"> (promote OR promotion OR initiation OR initiate OR support OR sustain</w:t>
            </w:r>
          </w:p>
          <w:p w14:paraId="6964CC47" w14:textId="77777777" w:rsidR="00AB585C" w:rsidRDefault="00AB585C">
            <w:pPr>
              <w:pStyle w:val="ListParagraph"/>
              <w:ind w:left="360"/>
              <w:rPr>
                <w:rFonts w:ascii="Tahoma" w:hAnsi="Tahoma" w:cs="Tahoma"/>
              </w:rPr>
            </w:pPr>
          </w:p>
          <w:p w14:paraId="5AFDB19C" w14:textId="77777777" w:rsidR="00AB585C" w:rsidRDefault="003855FE">
            <w:pPr>
              <w:pStyle w:val="ListParagraph"/>
              <w:numPr>
                <w:ilvl w:val="0"/>
                <w:numId w:val="1"/>
              </w:numPr>
              <w:rPr>
                <w:rFonts w:ascii="Tahoma" w:hAnsi="Tahoma" w:cs="Tahoma"/>
              </w:rPr>
            </w:pPr>
            <w:r>
              <w:rPr>
                <w:rFonts w:ascii="Tahoma" w:hAnsi="Tahoma" w:cs="Tahoma"/>
              </w:rPr>
              <w:t>#1 AND #2</w:t>
            </w:r>
          </w:p>
          <w:p w14:paraId="51938423" w14:textId="77777777" w:rsidR="00AB585C" w:rsidRDefault="00AB585C">
            <w:pPr>
              <w:pStyle w:val="ListParagraph"/>
              <w:ind w:left="360"/>
              <w:rPr>
                <w:rFonts w:ascii="Tahoma" w:hAnsi="Tahoma" w:cs="Tahoma"/>
              </w:rPr>
            </w:pPr>
          </w:p>
          <w:p w14:paraId="23412415" w14:textId="77777777" w:rsidR="00AB585C" w:rsidRDefault="003855FE">
            <w:pPr>
              <w:rPr>
                <w:rFonts w:ascii="Tahoma" w:hAnsi="Tahoma" w:cs="Tahoma"/>
                <w:sz w:val="20"/>
                <w:szCs w:val="20"/>
              </w:rPr>
            </w:pPr>
            <w:r>
              <w:rPr>
                <w:rFonts w:ascii="Tahoma" w:hAnsi="Tahoma" w:cs="Tahoma"/>
              </w:rPr>
              <w:t>Limit #3 to "2000/01/01"[Date - Publication</w:t>
            </w:r>
            <w:proofErr w:type="gramStart"/>
            <w:r>
              <w:rPr>
                <w:rFonts w:ascii="Tahoma" w:hAnsi="Tahoma" w:cs="Tahoma"/>
              </w:rPr>
              <w:t>] :</w:t>
            </w:r>
            <w:proofErr w:type="gramEnd"/>
            <w:r>
              <w:rPr>
                <w:rFonts w:ascii="Tahoma" w:hAnsi="Tahoma" w:cs="Tahoma"/>
              </w:rPr>
              <w:t xml:space="preserve"> "3000"[Date - Publication]</w:t>
            </w:r>
          </w:p>
        </w:tc>
      </w:tr>
      <w:tr w:rsidR="00AB585C" w14:paraId="3A4BE983" w14:textId="77777777">
        <w:tc>
          <w:tcPr>
            <w:tcW w:w="1526" w:type="dxa"/>
          </w:tcPr>
          <w:p w14:paraId="707C2008" w14:textId="77777777" w:rsidR="00AB585C" w:rsidRDefault="003855FE">
            <w:pPr>
              <w:rPr>
                <w:rFonts w:ascii="Tahoma" w:hAnsi="Tahoma" w:cs="Tahoma"/>
                <w:sz w:val="20"/>
                <w:szCs w:val="20"/>
              </w:rPr>
            </w:pPr>
            <w:r>
              <w:rPr>
                <w:rFonts w:ascii="Tahoma" w:hAnsi="Tahoma" w:cs="Tahoma"/>
                <w:sz w:val="20"/>
                <w:szCs w:val="20"/>
              </w:rPr>
              <w:t>Scopus</w:t>
            </w:r>
          </w:p>
        </w:tc>
        <w:tc>
          <w:tcPr>
            <w:tcW w:w="7716" w:type="dxa"/>
          </w:tcPr>
          <w:p w14:paraId="64E5CA0A" w14:textId="77777777" w:rsidR="00AB585C" w:rsidRDefault="003855FE">
            <w:pPr>
              <w:rPr>
                <w:rFonts w:ascii="Tahoma" w:hAnsi="Tahoma" w:cs="Tahoma"/>
              </w:rPr>
            </w:pPr>
            <w:r>
              <w:rPr>
                <w:rFonts w:ascii="Tahoma" w:hAnsi="Tahoma" w:cs="Tahoma"/>
              </w:rPr>
              <w:t xml:space="preserve">economic evaluation OR economic </w:t>
            </w:r>
            <w:proofErr w:type="spellStart"/>
            <w:r>
              <w:rPr>
                <w:rFonts w:ascii="Tahoma" w:hAnsi="Tahoma" w:cs="Tahoma"/>
              </w:rPr>
              <w:t>analys</w:t>
            </w:r>
            <w:proofErr w:type="spellEnd"/>
            <w:r>
              <w:rPr>
                <w:rFonts w:ascii="Tahoma" w:hAnsi="Tahoma" w:cs="Tahoma"/>
              </w:rPr>
              <w:t xml:space="preserve">* OR cost </w:t>
            </w:r>
            <w:proofErr w:type="spellStart"/>
            <w:r>
              <w:rPr>
                <w:rFonts w:ascii="Tahoma" w:hAnsi="Tahoma" w:cs="Tahoma"/>
              </w:rPr>
              <w:t>analys</w:t>
            </w:r>
            <w:proofErr w:type="spellEnd"/>
            <w:r>
              <w:rPr>
                <w:rFonts w:ascii="Tahoma" w:hAnsi="Tahoma" w:cs="Tahoma"/>
              </w:rPr>
              <w:t xml:space="preserve">* OR cost effective* </w:t>
            </w:r>
            <w:proofErr w:type="spellStart"/>
            <w:r>
              <w:rPr>
                <w:rFonts w:ascii="Tahoma" w:hAnsi="Tahoma" w:cs="Tahoma"/>
              </w:rPr>
              <w:t>analys</w:t>
            </w:r>
            <w:proofErr w:type="spellEnd"/>
            <w:r>
              <w:rPr>
                <w:rFonts w:ascii="Tahoma" w:hAnsi="Tahoma" w:cs="Tahoma"/>
              </w:rPr>
              <w:t xml:space="preserve">* OR cost-effective* </w:t>
            </w:r>
            <w:proofErr w:type="spellStart"/>
            <w:r>
              <w:rPr>
                <w:rFonts w:ascii="Tahoma" w:hAnsi="Tahoma" w:cs="Tahoma"/>
              </w:rPr>
              <w:t>analys</w:t>
            </w:r>
            <w:proofErr w:type="spellEnd"/>
            <w:r>
              <w:rPr>
                <w:rFonts w:ascii="Tahoma" w:hAnsi="Tahoma" w:cs="Tahoma"/>
              </w:rPr>
              <w:t xml:space="preserve">* OR cost benefit* </w:t>
            </w:r>
            <w:proofErr w:type="spellStart"/>
            <w:r>
              <w:rPr>
                <w:rFonts w:ascii="Tahoma" w:hAnsi="Tahoma" w:cs="Tahoma"/>
              </w:rPr>
              <w:t>analys</w:t>
            </w:r>
            <w:proofErr w:type="spellEnd"/>
            <w:r>
              <w:rPr>
                <w:rFonts w:ascii="Tahoma" w:hAnsi="Tahoma" w:cs="Tahoma"/>
              </w:rPr>
              <w:t xml:space="preserve">* OR cost utility* </w:t>
            </w:r>
            <w:proofErr w:type="spellStart"/>
            <w:r>
              <w:rPr>
                <w:rFonts w:ascii="Tahoma" w:hAnsi="Tahoma" w:cs="Tahoma"/>
              </w:rPr>
              <w:t>analys</w:t>
            </w:r>
            <w:proofErr w:type="spellEnd"/>
            <w:r>
              <w:rPr>
                <w:rFonts w:ascii="Tahoma" w:hAnsi="Tahoma" w:cs="Tahoma"/>
              </w:rPr>
              <w:t xml:space="preserve">* OR cost-benefit* </w:t>
            </w:r>
            <w:proofErr w:type="spellStart"/>
            <w:r>
              <w:rPr>
                <w:rFonts w:ascii="Tahoma" w:hAnsi="Tahoma" w:cs="Tahoma"/>
              </w:rPr>
              <w:t>analys</w:t>
            </w:r>
            <w:proofErr w:type="spellEnd"/>
            <w:r>
              <w:rPr>
                <w:rFonts w:ascii="Tahoma" w:hAnsi="Tahoma" w:cs="Tahoma"/>
              </w:rPr>
              <w:t xml:space="preserve">* OR cost-utility* </w:t>
            </w:r>
            <w:proofErr w:type="spellStart"/>
            <w:r>
              <w:rPr>
                <w:rFonts w:ascii="Tahoma" w:hAnsi="Tahoma" w:cs="Tahoma"/>
              </w:rPr>
              <w:t>analys</w:t>
            </w:r>
            <w:proofErr w:type="spellEnd"/>
            <w:r>
              <w:rPr>
                <w:rFonts w:ascii="Tahoma" w:hAnsi="Tahoma" w:cs="Tahoma"/>
              </w:rPr>
              <w:t>*</w:t>
            </w:r>
          </w:p>
          <w:p w14:paraId="5E84DAA4" w14:textId="77777777" w:rsidR="00AB585C" w:rsidRDefault="00AB585C">
            <w:pPr>
              <w:pStyle w:val="ListParagraph"/>
              <w:ind w:left="0"/>
              <w:rPr>
                <w:rFonts w:ascii="Tahoma" w:hAnsi="Tahoma" w:cs="Tahoma"/>
              </w:rPr>
            </w:pPr>
          </w:p>
          <w:p w14:paraId="29C4ACD5" w14:textId="77777777" w:rsidR="00AB585C" w:rsidRDefault="003855FE">
            <w:pPr>
              <w:pStyle w:val="ListParagraph"/>
              <w:ind w:left="0"/>
              <w:rPr>
                <w:rFonts w:ascii="Tahoma" w:hAnsi="Tahoma" w:cs="Tahoma"/>
              </w:rPr>
            </w:pPr>
            <w:r>
              <w:rPr>
                <w:rFonts w:ascii="Tahoma" w:hAnsi="Tahoma" w:cs="Tahoma"/>
              </w:rPr>
              <w:t>AND</w:t>
            </w:r>
          </w:p>
          <w:p w14:paraId="79272664" w14:textId="77777777" w:rsidR="00AB585C" w:rsidRDefault="00AB585C">
            <w:pPr>
              <w:pStyle w:val="ListParagraph"/>
              <w:ind w:left="0"/>
              <w:rPr>
                <w:rFonts w:ascii="Tahoma" w:hAnsi="Tahoma" w:cs="Tahoma"/>
              </w:rPr>
            </w:pPr>
          </w:p>
          <w:p w14:paraId="6DF8C150" w14:textId="77777777" w:rsidR="00AB585C" w:rsidRDefault="003855FE">
            <w:pPr>
              <w:rPr>
                <w:rFonts w:ascii="Tahoma" w:hAnsi="Tahoma" w:cs="Tahoma"/>
              </w:rPr>
            </w:pPr>
            <w:r>
              <w:rPr>
                <w:rFonts w:ascii="Tahoma" w:hAnsi="Tahoma" w:cs="Tahoma"/>
              </w:rPr>
              <w:t>breastfeeding OR breast feeding OR breastfed OR breastfeed OR bottle feeding OR bottle fed OR bottle feed OR infant feeding OR human milk OR formula milk OR formula feed OR formula fed</w:t>
            </w:r>
          </w:p>
          <w:p w14:paraId="7B1D04FB" w14:textId="77777777" w:rsidR="00AB585C" w:rsidRDefault="00AB585C">
            <w:pPr>
              <w:pStyle w:val="ListParagraph"/>
              <w:ind w:left="0"/>
              <w:rPr>
                <w:rFonts w:ascii="Tahoma" w:hAnsi="Tahoma" w:cs="Tahoma"/>
              </w:rPr>
            </w:pPr>
          </w:p>
          <w:p w14:paraId="2355192E" w14:textId="77777777" w:rsidR="00AB585C" w:rsidRDefault="003855FE">
            <w:pPr>
              <w:pStyle w:val="ListParagraph"/>
              <w:ind w:left="0"/>
              <w:rPr>
                <w:rFonts w:ascii="Tahoma" w:hAnsi="Tahoma" w:cs="Tahoma"/>
              </w:rPr>
            </w:pPr>
            <w:r>
              <w:rPr>
                <w:rFonts w:ascii="Tahoma" w:hAnsi="Tahoma" w:cs="Tahoma"/>
              </w:rPr>
              <w:t xml:space="preserve">AND  </w:t>
            </w:r>
          </w:p>
          <w:p w14:paraId="12B3C744" w14:textId="77777777" w:rsidR="00AB585C" w:rsidRDefault="00AB585C">
            <w:pPr>
              <w:pStyle w:val="ListParagraph"/>
              <w:ind w:left="0"/>
              <w:rPr>
                <w:rFonts w:ascii="Tahoma" w:hAnsi="Tahoma" w:cs="Tahoma"/>
              </w:rPr>
            </w:pPr>
          </w:p>
          <w:p w14:paraId="15F02F1B" w14:textId="77777777" w:rsidR="00AB585C" w:rsidRDefault="003855FE">
            <w:pPr>
              <w:rPr>
                <w:rFonts w:ascii="Tahoma" w:hAnsi="Tahoma" w:cs="Tahoma"/>
                <w:sz w:val="20"/>
                <w:szCs w:val="20"/>
              </w:rPr>
            </w:pPr>
            <w:proofErr w:type="gramStart"/>
            <w:r>
              <w:rPr>
                <w:rFonts w:ascii="Tahoma" w:hAnsi="Tahoma" w:cs="Tahoma"/>
              </w:rPr>
              <w:t>PUBYEAR  &gt;</w:t>
            </w:r>
            <w:proofErr w:type="gramEnd"/>
            <w:r>
              <w:rPr>
                <w:rFonts w:ascii="Tahoma" w:hAnsi="Tahoma" w:cs="Tahoma"/>
              </w:rPr>
              <w:t xml:space="preserve">  1999</w:t>
            </w:r>
          </w:p>
        </w:tc>
      </w:tr>
      <w:tr w:rsidR="00AB585C" w14:paraId="376764DA" w14:textId="77777777">
        <w:tc>
          <w:tcPr>
            <w:tcW w:w="1526" w:type="dxa"/>
          </w:tcPr>
          <w:p w14:paraId="0D4A241B" w14:textId="77777777" w:rsidR="00AB585C" w:rsidRDefault="003855FE">
            <w:pPr>
              <w:rPr>
                <w:rFonts w:ascii="Tahoma" w:hAnsi="Tahoma" w:cs="Tahoma"/>
                <w:sz w:val="20"/>
                <w:szCs w:val="20"/>
              </w:rPr>
            </w:pPr>
            <w:r>
              <w:rPr>
                <w:rFonts w:ascii="Tahoma" w:hAnsi="Tahoma" w:cs="Tahoma"/>
                <w:sz w:val="20"/>
                <w:szCs w:val="20"/>
              </w:rPr>
              <w:t>NHS EED/HTA</w:t>
            </w:r>
          </w:p>
        </w:tc>
        <w:tc>
          <w:tcPr>
            <w:tcW w:w="7716" w:type="dxa"/>
          </w:tcPr>
          <w:p w14:paraId="7057C74B" w14:textId="77777777" w:rsidR="00AB585C" w:rsidRDefault="003855FE">
            <w:pPr>
              <w:rPr>
                <w:rFonts w:ascii="Tahoma" w:hAnsi="Tahoma" w:cs="Tahoma"/>
                <w:sz w:val="20"/>
                <w:szCs w:val="20"/>
              </w:rPr>
            </w:pPr>
            <w:r>
              <w:rPr>
                <w:rFonts w:ascii="Tahoma" w:hAnsi="Tahoma" w:cs="Tahoma"/>
                <w:sz w:val="20"/>
                <w:szCs w:val="20"/>
              </w:rPr>
              <w:t>*Title search*</w:t>
            </w:r>
          </w:p>
          <w:p w14:paraId="72857DE1" w14:textId="77777777" w:rsidR="00AB585C" w:rsidRDefault="003855FE">
            <w:pPr>
              <w:rPr>
                <w:rFonts w:ascii="Tahoma" w:hAnsi="Tahoma" w:cs="Tahoma"/>
              </w:rPr>
            </w:pPr>
            <w:r>
              <w:rPr>
                <w:rFonts w:ascii="Tahoma" w:hAnsi="Tahoma" w:cs="Tahoma"/>
              </w:rPr>
              <w:t>breastfeeding OR breast feeding OR breastfed OR breastfeed OR bottle feeding OR bottle fed OR bottle feed OR infant feeding OR human milk OR formula milk OR formula feed OR formula fed</w:t>
            </w:r>
          </w:p>
          <w:p w14:paraId="063B27D6" w14:textId="77777777" w:rsidR="00AB585C" w:rsidRDefault="00AB585C">
            <w:pPr>
              <w:rPr>
                <w:rFonts w:ascii="Tahoma" w:hAnsi="Tahoma" w:cs="Tahoma"/>
              </w:rPr>
            </w:pPr>
          </w:p>
          <w:p w14:paraId="26740367" w14:textId="77777777" w:rsidR="00AB585C" w:rsidRDefault="003855FE">
            <w:pPr>
              <w:rPr>
                <w:rFonts w:ascii="Tahoma" w:hAnsi="Tahoma" w:cs="Tahoma"/>
              </w:rPr>
            </w:pPr>
            <w:r>
              <w:rPr>
                <w:rFonts w:ascii="Tahoma" w:hAnsi="Tahoma" w:cs="Tahoma"/>
              </w:rPr>
              <w:t>*HTA: published from 1 January 2000 to 31 March 2018</w:t>
            </w:r>
          </w:p>
          <w:p w14:paraId="4BB344E8" w14:textId="77777777" w:rsidR="00AB585C" w:rsidRDefault="003855FE">
            <w:pPr>
              <w:rPr>
                <w:rFonts w:ascii="Tahoma" w:hAnsi="Tahoma" w:cs="Tahoma"/>
                <w:sz w:val="20"/>
                <w:szCs w:val="20"/>
              </w:rPr>
            </w:pPr>
            <w:r>
              <w:rPr>
                <w:rFonts w:ascii="Tahoma" w:hAnsi="Tahoma" w:cs="Tahoma"/>
              </w:rPr>
              <w:t>*EED: published from 1 January 2000 to 31 March 2015</w:t>
            </w:r>
          </w:p>
        </w:tc>
      </w:tr>
    </w:tbl>
    <w:p w14:paraId="1494E09B" w14:textId="77777777" w:rsidR="00AB585C" w:rsidRDefault="00AB585C">
      <w:pPr>
        <w:rPr>
          <w:rFonts w:ascii="Tahoma" w:hAnsi="Tahoma" w:cs="Tahoma"/>
          <w:b/>
        </w:rPr>
      </w:pPr>
    </w:p>
    <w:p w14:paraId="2E7952E1" w14:textId="77777777" w:rsidR="00AB585C" w:rsidRDefault="00AB585C">
      <w:pPr>
        <w:rPr>
          <w:rFonts w:ascii="Tahoma" w:hAnsi="Tahoma" w:cs="Tahoma"/>
          <w:b/>
        </w:rPr>
      </w:pPr>
    </w:p>
    <w:p w14:paraId="7F6D60E5" w14:textId="77777777" w:rsidR="00AB585C" w:rsidRDefault="003855FE">
      <w:pPr>
        <w:rPr>
          <w:rFonts w:ascii="Tahoma" w:hAnsi="Tahoma" w:cs="Tahoma"/>
          <w:b/>
        </w:rPr>
      </w:pPr>
      <w:r>
        <w:rPr>
          <w:rFonts w:ascii="Tahoma" w:hAnsi="Tahoma" w:cs="Tahoma"/>
          <w:b/>
        </w:rPr>
        <w:br w:type="page"/>
      </w:r>
    </w:p>
    <w:p w14:paraId="122E9642" w14:textId="77777777" w:rsidR="00907ED5" w:rsidRDefault="00907ED5" w:rsidP="00907ED5">
      <w:pPr>
        <w:rPr>
          <w:rFonts w:ascii="Tahoma" w:hAnsi="Tahoma" w:cs="Tahoma"/>
          <w:b/>
        </w:rPr>
      </w:pPr>
      <w:r>
        <w:rPr>
          <w:rFonts w:ascii="Tahoma" w:hAnsi="Tahoma" w:cs="Tahoma"/>
          <w:b/>
        </w:rPr>
        <w:lastRenderedPageBreak/>
        <w:t xml:space="preserve">Table </w:t>
      </w:r>
      <w:proofErr w:type="spellStart"/>
      <w:r>
        <w:rPr>
          <w:rFonts w:ascii="Tahoma" w:hAnsi="Tahoma" w:cs="Tahoma"/>
          <w:b/>
        </w:rPr>
        <w:t>S2</w:t>
      </w:r>
      <w:proofErr w:type="spellEnd"/>
      <w:r>
        <w:rPr>
          <w:rFonts w:ascii="Tahoma" w:hAnsi="Tahoma" w:cs="Tahoma"/>
          <w:b/>
        </w:rPr>
        <w:t xml:space="preserve"> - reasons for exclusion of full texts screened</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709"/>
        <w:gridCol w:w="1559"/>
        <w:gridCol w:w="3544"/>
      </w:tblGrid>
      <w:tr w:rsidR="00907ED5" w:rsidRPr="00EF385F" w14:paraId="74104115" w14:textId="77777777" w:rsidTr="0080759F">
        <w:trPr>
          <w:trHeight w:val="458"/>
        </w:trPr>
        <w:tc>
          <w:tcPr>
            <w:tcW w:w="3402" w:type="dxa"/>
            <w:shd w:val="clear" w:color="auto" w:fill="auto"/>
            <w:hideMark/>
          </w:tcPr>
          <w:p w14:paraId="20470E7C"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Title</w:t>
            </w:r>
          </w:p>
        </w:tc>
        <w:tc>
          <w:tcPr>
            <w:tcW w:w="709" w:type="dxa"/>
            <w:shd w:val="clear" w:color="auto" w:fill="auto"/>
            <w:hideMark/>
          </w:tcPr>
          <w:p w14:paraId="610380D7"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Year</w:t>
            </w:r>
          </w:p>
        </w:tc>
        <w:tc>
          <w:tcPr>
            <w:tcW w:w="1559" w:type="dxa"/>
            <w:shd w:val="clear" w:color="auto" w:fill="auto"/>
            <w:hideMark/>
          </w:tcPr>
          <w:p w14:paraId="5E72911E"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Lead author</w:t>
            </w:r>
          </w:p>
        </w:tc>
        <w:tc>
          <w:tcPr>
            <w:tcW w:w="3544" w:type="dxa"/>
            <w:shd w:val="clear" w:color="auto" w:fill="auto"/>
            <w:hideMark/>
          </w:tcPr>
          <w:p w14:paraId="6C362402"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Reason</w:t>
            </w:r>
          </w:p>
        </w:tc>
      </w:tr>
      <w:tr w:rsidR="00907ED5" w:rsidRPr="00EF385F" w14:paraId="725B0ECE" w14:textId="77777777" w:rsidTr="0080759F">
        <w:trPr>
          <w:trHeight w:val="767"/>
        </w:trPr>
        <w:tc>
          <w:tcPr>
            <w:tcW w:w="3402" w:type="dxa"/>
            <w:shd w:val="clear" w:color="auto" w:fill="auto"/>
          </w:tcPr>
          <w:p w14:paraId="2E9DB33F"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Breastfeeding Duration, Costs, and Benefits of a Support Program for Low-Income Breastfeeding Women</w:t>
            </w:r>
          </w:p>
        </w:tc>
        <w:tc>
          <w:tcPr>
            <w:tcW w:w="709" w:type="dxa"/>
            <w:shd w:val="clear" w:color="auto" w:fill="auto"/>
          </w:tcPr>
          <w:p w14:paraId="72F25206"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2002</w:t>
            </w:r>
          </w:p>
        </w:tc>
        <w:tc>
          <w:tcPr>
            <w:tcW w:w="1559" w:type="dxa"/>
            <w:shd w:val="clear" w:color="auto" w:fill="auto"/>
          </w:tcPr>
          <w:p w14:paraId="55419DB9"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Pugh</w:t>
            </w:r>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{"citationItems":[{"id":"ITEM-1","itemData":{"DOI":"10.1046/j.1523-536X.2002.00169.x","ISSN":"07307659","PMID":"12000411","abstract":"Background: Breastfeeding can ameliorate some of the complex health issues faced by low-income families. Women who breastfeed and their infants have lower health care costs compared with those who formula feed. Increasing the duration of breastfeeding is recognized as a national priority, particularly for low-income women. This community-based randomized clinical trial involving low-income mothers compared usual care with an intervention comprising hospital and home visits, and telephone support by a community health nurse/peer counselor team for 6 months after delivery. Methods: Forty-one women were recruited after delivery of a full-term singleton infant and randomly assigned to intervention or usual care groups. Results: Women receiving the community health intervention breastfed longer than the women receiving usual care. The infants in the intervention group had fewer sick visits and reported use of fewer medications than infants in the usual care group. The intervention cost ($301/mother) was partially offset by cost savings on formula and health care. Conclusions: Community health nurse and peer counselor support can increase breastfeeding duration in low-income women, and has the potential to reduce total costs including the cost of support.","author":[{"dropping-particle":"","family":"Pugh","given":"Linda C.","non-dropping-particle":"","parse-names":false,"suffix":""},{"dropping-particle":"","family":"Milligan","given":"Renee A.","non-dropping-particle":"","parse-names":false,"suffix":""},{"dropping-particle":"","family":"Frick","given":"Kevin D.","non-dropping-particle":"","parse-names":false,"suffix":""},{"dropping-particle":"","family":"Spatz","given":"Diane","non-dropping-particle":"","parse-names":false,"suffix":""},{"dropping-particle":"","family":"Bronner","given":"Yvonne","non-dropping-particle":"","parse-names":false,"suffix":""}],"container-title":"Birth","id":"ITEM-1","issue":"2","issued":{"date-parts":[["2002"]]},"page":"95-100","title":"Breastfeeding duration, costs, and benefits of a support program for low-income breastfeeding women","type":"article-journal","volume":"29"},"uris":["http://www.mendeley.com/documents/?uuid=3711fa2b-15a1-4d2b-8d57-2f550f9fff8d"]}],"mendeley":{"formattedCitation":"[5]","plainTextFormattedCitation":"[5]","previouslyFormattedCitation":"[5]"},"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[5]</w:t>
            </w:r>
            <w:r>
              <w:rPr>
                <w:rFonts w:ascii="Tahoma" w:eastAsia="Times New Roman" w:hAnsi="Tahoma" w:cs="Tahoma"/>
                <w:color w:val="000000"/>
                <w:lang w:eastAsia="en-GB"/>
              </w:rPr>
              <w:fldChar w:fldCharType="end"/>
            </w:r>
          </w:p>
        </w:tc>
        <w:tc>
          <w:tcPr>
            <w:tcW w:w="3544" w:type="dxa"/>
            <w:shd w:val="clear" w:color="auto" w:fill="auto"/>
          </w:tcPr>
          <w:p w14:paraId="514CB1A0" w14:textId="77777777" w:rsidR="00907ED5" w:rsidRPr="00EF385F" w:rsidRDefault="00907ED5" w:rsidP="0080759F">
            <w:pPr>
              <w:jc w:val="left"/>
              <w:rPr>
                <w:rFonts w:ascii="Tahoma" w:eastAsia="Times New Roman" w:hAnsi="Tahoma" w:cs="Tahoma"/>
                <w:color w:val="000000"/>
              </w:rPr>
            </w:pPr>
            <w:r>
              <w:rPr>
                <w:rFonts w:ascii="Tahoma" w:hAnsi="Tahoma" w:cs="Tahoma"/>
                <w:color w:val="000000"/>
              </w:rPr>
              <w:t>C</w:t>
            </w:r>
            <w:r w:rsidRPr="00EF385F">
              <w:rPr>
                <w:rFonts w:ascii="Tahoma" w:hAnsi="Tahoma" w:cs="Tahoma"/>
                <w:color w:val="000000"/>
              </w:rPr>
              <w:t xml:space="preserve">osts and outcomes </w:t>
            </w:r>
            <w:r>
              <w:rPr>
                <w:rFonts w:ascii="Tahoma" w:hAnsi="Tahoma" w:cs="Tahoma"/>
                <w:color w:val="000000"/>
              </w:rPr>
              <w:t xml:space="preserve">reported separately </w:t>
            </w:r>
            <w:r w:rsidRPr="00EF385F">
              <w:rPr>
                <w:rFonts w:ascii="Tahoma" w:hAnsi="Tahoma" w:cs="Tahoma"/>
                <w:color w:val="000000"/>
              </w:rPr>
              <w:t xml:space="preserve">but no incremental analysis </w:t>
            </w:r>
          </w:p>
          <w:p w14:paraId="064724CA" w14:textId="77777777" w:rsidR="00907ED5" w:rsidRPr="00EF385F" w:rsidRDefault="00907ED5" w:rsidP="0080759F">
            <w:pPr>
              <w:spacing w:line="240" w:lineRule="auto"/>
              <w:jc w:val="left"/>
              <w:rPr>
                <w:rFonts w:ascii="Tahoma" w:eastAsia="Times New Roman" w:hAnsi="Tahoma" w:cs="Tahoma"/>
                <w:color w:val="000000"/>
                <w:lang w:eastAsia="en-GB"/>
              </w:rPr>
            </w:pPr>
          </w:p>
        </w:tc>
      </w:tr>
      <w:tr w:rsidR="00907ED5" w:rsidRPr="00EF385F" w14:paraId="2C214179" w14:textId="77777777" w:rsidTr="0080759F">
        <w:trPr>
          <w:trHeight w:val="699"/>
        </w:trPr>
        <w:tc>
          <w:tcPr>
            <w:tcW w:w="3402" w:type="dxa"/>
            <w:shd w:val="clear" w:color="auto" w:fill="auto"/>
          </w:tcPr>
          <w:p w14:paraId="2A53E23C"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A Randomized Trial of Two Public Health Nurse Follow-up Programs after Early Obstetrical Discharge</w:t>
            </w:r>
          </w:p>
        </w:tc>
        <w:tc>
          <w:tcPr>
            <w:tcW w:w="709" w:type="dxa"/>
            <w:shd w:val="clear" w:color="auto" w:fill="auto"/>
          </w:tcPr>
          <w:p w14:paraId="6F1AD2C3"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2003</w:t>
            </w:r>
          </w:p>
        </w:tc>
        <w:tc>
          <w:tcPr>
            <w:tcW w:w="1559" w:type="dxa"/>
            <w:shd w:val="clear" w:color="auto" w:fill="auto"/>
          </w:tcPr>
          <w:p w14:paraId="7314812B"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Steel O’Connor</w:t>
            </w:r>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{"citationItems":[{"id":"ITEM-1","itemData":{"DOI":"10.1007/BF03404580","ISSN":"00084263","abstract":"Objectives: To determine whether the outcomes of routine home visiting by public health nurses (PHN) after early obstetrical discharge differ from those of a screening telephone call designed to identify mothers who need further intervention. Methods: Primiparas delivering a singleton infant and eligible for postpartum follow-up were randomized to a home visit or screening telephone call. Data were collected by telephone from 733 participants located at two tertiary care centres in Ontario. Outcomes included maternal confidence at two weeks, health problems of the infants between discharge and four weeks postpartum, breastfeeding rates at six months and costs of the two models. Results: Differences between the samples at the two sites necessitated stratified analyses. No differences were detected between the groups in maternal confidence (p=0.96), health problems of infants (p=0.87), or rates of breastfeeding at six months (p=0.22). However, at both sites the cost of routine home visits was found to be higher than that of screening by telephone. Conclusion: Although universal access to postpartum support is important, the results suggest that a routine home visit is not always necessary to identify the women who need it. These results can be generalized only to low-risk women and infants.","author":[{"dropping-particle":"","family":"Steel O'Connor","given":"Kathleen O.","non-dropping-particle":"","parse-names":false,"suffix":""},{"dropping-particle":"","family":"Mowat","given":"David L.","non-dropping-particle":"","parse-names":false,"suffix":""},{"dropping-particle":"","family":"Scott","given":"Helen M.","non-dropping-particle":"","parse-names":false,"suffix":""},{"dropping-particle":"","family":"Carr","given":"Pamela A.","non-dropping-particle":"","parse-names":false,"suffix":""},{"dropping-particle":"","family":"Dorland","given":"John L.","non-dropping-particle":"","parse-names":false,"suffix":""},{"dropping-particle":"","family":"Young Tai","given":"Kin Fan W.","non-dropping-particle":"","parse-names":false,"suffix":""}],"container-title":"Canadian Journal of Public Health","id":"ITEM-1","issue":"2","issued":{"date-parts":[["2003"]]},"page":"98-103","title":"A randomized trial of two public health nurse follow-up programs after early obstetrical discharge: An examination of breastfeeding rates, maternal confidence and utilization and costs of health services","type":"article-journal","volume":"94"},"uris":["http://www.mendeley.com/documents/?uuid=96c0d08d-2c31-4117-b081-28dceab03a4e"]}],"mendeley":{"formattedCitation":"[6]","plainTextFormattedCitation":"[6]","previouslyFormattedCitation":"[6]"},"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[6]</w:t>
            </w:r>
            <w:r>
              <w:rPr>
                <w:rFonts w:ascii="Tahoma" w:eastAsia="Times New Roman" w:hAnsi="Tahoma" w:cs="Tahoma"/>
                <w:color w:val="000000"/>
                <w:lang w:eastAsia="en-GB"/>
              </w:rPr>
              <w:fldChar w:fldCharType="end"/>
            </w:r>
          </w:p>
        </w:tc>
        <w:tc>
          <w:tcPr>
            <w:tcW w:w="3544" w:type="dxa"/>
            <w:shd w:val="clear" w:color="auto" w:fill="auto"/>
          </w:tcPr>
          <w:p w14:paraId="74AC320C" w14:textId="77777777" w:rsidR="00907ED5" w:rsidRPr="00EF385F" w:rsidRDefault="00907ED5" w:rsidP="0080759F">
            <w:pPr>
              <w:jc w:val="left"/>
              <w:rPr>
                <w:rFonts w:ascii="Tahoma" w:eastAsia="Times New Roman" w:hAnsi="Tahoma" w:cs="Tahoma"/>
                <w:color w:val="000000"/>
              </w:rPr>
            </w:pPr>
            <w:r>
              <w:rPr>
                <w:rFonts w:ascii="Tahoma" w:hAnsi="Tahoma" w:cs="Tahoma"/>
                <w:color w:val="000000"/>
              </w:rPr>
              <w:t>C</w:t>
            </w:r>
            <w:r w:rsidRPr="00EF385F">
              <w:rPr>
                <w:rFonts w:ascii="Tahoma" w:hAnsi="Tahoma" w:cs="Tahoma"/>
                <w:color w:val="000000"/>
              </w:rPr>
              <w:t xml:space="preserve">osts and outcomes </w:t>
            </w:r>
            <w:r>
              <w:rPr>
                <w:rFonts w:ascii="Tahoma" w:hAnsi="Tahoma" w:cs="Tahoma"/>
                <w:color w:val="000000"/>
              </w:rPr>
              <w:t xml:space="preserve">reported separately </w:t>
            </w:r>
            <w:r w:rsidRPr="00EF385F">
              <w:rPr>
                <w:rFonts w:ascii="Tahoma" w:hAnsi="Tahoma" w:cs="Tahoma"/>
                <w:color w:val="000000"/>
              </w:rPr>
              <w:t xml:space="preserve">but no incremental analysis </w:t>
            </w:r>
          </w:p>
          <w:p w14:paraId="0D08F810" w14:textId="77777777" w:rsidR="00907ED5" w:rsidRPr="00EF385F" w:rsidRDefault="00907ED5" w:rsidP="0080759F">
            <w:pPr>
              <w:spacing w:line="240" w:lineRule="auto"/>
              <w:jc w:val="left"/>
              <w:rPr>
                <w:rFonts w:ascii="Tahoma" w:eastAsia="Times New Roman" w:hAnsi="Tahoma" w:cs="Tahoma"/>
                <w:color w:val="000000"/>
                <w:lang w:eastAsia="en-GB"/>
              </w:rPr>
            </w:pPr>
          </w:p>
        </w:tc>
      </w:tr>
      <w:tr w:rsidR="00907ED5" w:rsidRPr="00EF385F" w14:paraId="78DD624E" w14:textId="77777777" w:rsidTr="0080759F">
        <w:trPr>
          <w:trHeight w:val="972"/>
        </w:trPr>
        <w:tc>
          <w:tcPr>
            <w:tcW w:w="3402" w:type="dxa"/>
            <w:shd w:val="clear" w:color="auto" w:fill="auto"/>
          </w:tcPr>
          <w:p w14:paraId="12D999A0"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The cost-effectiveness of a child nutrition education programme in Peru</w:t>
            </w:r>
          </w:p>
        </w:tc>
        <w:tc>
          <w:tcPr>
            <w:tcW w:w="709" w:type="dxa"/>
            <w:shd w:val="clear" w:color="auto" w:fill="auto"/>
          </w:tcPr>
          <w:p w14:paraId="40E73A5C"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2006</w:t>
            </w:r>
          </w:p>
        </w:tc>
        <w:tc>
          <w:tcPr>
            <w:tcW w:w="1559" w:type="dxa"/>
            <w:shd w:val="clear" w:color="auto" w:fill="auto"/>
          </w:tcPr>
          <w:p w14:paraId="01B6ADD9"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Waters</w:t>
            </w:r>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{"citationItems":[{"id":"ITEM-1","itemData":{"DOI":"10.1093/heapol/czl010","ISSN":"02681080","abstract":"This article reports impact and cost results from a health facility-based nutrition education programme targeting children less than 2 years of age in Trujillo, Peru. Key elements of the programme included participative complementary feeding demonstrations, growth monitoring sessions and an accreditation process. Data were collected from six intervention and six control health facilities to measure utilization and costs associated with the intervention. To calculate the unit costs of services, these costs are allocated using activity-based costing. To measure the effects of the intervention, 338 children were followed through household surveys at regular intervals from birth until the age of 18 months. The intervention had a clear positive impact both on the use of nutrition-related services and on children's growth outcomes. Children in the intervention areas made 17.6 visits to health facilities in the first 18 months of life, compared with 14.1 visits for children in the control areas (P&lt;0.001). This pattern holds true for all socioeconomic groups. The intervention prevented 11.1 cases of stunting per 100 children. In multivariate logistic regression analysis, children in the intervention were 0.33 times as likely to be stunted as the controls (P = 0.002). The marginal cost of the intervention - including external costs, training, health education materials and extra travel and equipment - is US$6.12 per child reached and US$55.16 per case of stunting prevented. The estimated marginal cost of the intervention per death averted is US$1952. © The Author 2006. Published by Oxford University Press in association with The London School of Hygiene and Tropical Medicine. All rights reserved.","author":[{"dropping-particle":"","family":"Waters","given":"Hugh R.","non-dropping-particle":"","parse-names":false,"suffix":""},{"dropping-particle":"","family":"Penny","given":"Mary E.","non-dropping-particle":"","parse-names":false,"suffix":""},{"dropping-particle":"","family":"Creed-Kanashiro","given":"Hilary M.","non-dropping-particle":"","parse-names":false,"suffix":""},{"dropping-particle":"","family":"Robert","given":"Rebecca C.","non-dropping-particle":"","parse-names":false,"suffix":""},{"dropping-particle":"","family":"Narro","given":"Rocío","non-dropping-particle":"","parse-names":false,"suffix":""},{"dropping-particle":"","family":"Willis","given":"Jeff","non-dropping-particle":"","parse-names":false,"suffix":""},{"dropping-particle":"","family":"Caulfield","given":"Laura E.","non-dropping-particle":"","parse-names":false,"suffix":""},{"dropping-particle":"","family":"Black","given":"Robert E.","non-dropping-particle":"","parse-names":false,"suffix":""}],"container-title":"Health Policy and Planning","id":"ITEM-1","issue":"4","issued":{"date-parts":[["2006"]]},"page":"257-64","title":"The cost-effectiveness of a child nutrition education programme in Peru","type":"article-journal","volume":"21"},"uris":["http://www.mendeley.com/documents/?uuid=0be1aec7-a229-4e35-9bfb-270debd8730a"]}],"mendeley":{"formattedCitation":"[7]","plainTextFormattedCitation":"[7]","previouslyFormattedCitation":"[7]"},"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[7]</w:t>
            </w:r>
            <w:r>
              <w:rPr>
                <w:rFonts w:ascii="Tahoma" w:eastAsia="Times New Roman" w:hAnsi="Tahoma" w:cs="Tahoma"/>
                <w:color w:val="000000"/>
                <w:lang w:eastAsia="en-GB"/>
              </w:rPr>
              <w:fldChar w:fldCharType="end"/>
            </w:r>
          </w:p>
        </w:tc>
        <w:tc>
          <w:tcPr>
            <w:tcW w:w="3544" w:type="dxa"/>
            <w:shd w:val="clear" w:color="auto" w:fill="auto"/>
          </w:tcPr>
          <w:p w14:paraId="583809D0" w14:textId="77777777" w:rsidR="00907ED5" w:rsidRPr="00EF385F" w:rsidRDefault="00907ED5" w:rsidP="0080759F">
            <w:pPr>
              <w:spacing w:line="240" w:lineRule="auto"/>
              <w:jc w:val="left"/>
              <w:rPr>
                <w:rFonts w:ascii="Tahoma" w:eastAsia="Times New Roman" w:hAnsi="Tahoma" w:cs="Tahoma"/>
                <w:color w:val="000000"/>
                <w:lang w:eastAsia="en-GB"/>
              </w:rPr>
            </w:pPr>
            <w:r>
              <w:rPr>
                <w:rFonts w:ascii="Tahoma" w:eastAsia="Times New Roman" w:hAnsi="Tahoma" w:cs="Tahoma"/>
                <w:color w:val="000000"/>
                <w:lang w:eastAsia="en-GB"/>
              </w:rPr>
              <w:t>I</w:t>
            </w:r>
            <w:r w:rsidRPr="00EF385F">
              <w:rPr>
                <w:rFonts w:ascii="Tahoma" w:eastAsia="Times New Roman" w:hAnsi="Tahoma" w:cs="Tahoma"/>
                <w:color w:val="000000"/>
                <w:lang w:eastAsia="en-GB"/>
              </w:rPr>
              <w:t xml:space="preserve">ntervention </w:t>
            </w:r>
            <w:r>
              <w:rPr>
                <w:rFonts w:ascii="Tahoma" w:eastAsia="Times New Roman" w:hAnsi="Tahoma" w:cs="Tahoma"/>
                <w:color w:val="000000"/>
                <w:lang w:val="en-US" w:eastAsia="en-GB"/>
              </w:rPr>
              <w:t>did</w:t>
            </w:r>
            <w:r w:rsidRPr="00EF385F">
              <w:rPr>
                <w:rFonts w:ascii="Tahoma" w:eastAsia="Times New Roman" w:hAnsi="Tahoma" w:cs="Tahoma"/>
                <w:color w:val="000000"/>
                <w:lang w:val="en-US" w:eastAsia="en-GB"/>
              </w:rPr>
              <w:t xml:space="preserve"> </w:t>
            </w:r>
            <w:r w:rsidRPr="00EF385F">
              <w:rPr>
                <w:rFonts w:ascii="Tahoma" w:eastAsia="Times New Roman" w:hAnsi="Tahoma" w:cs="Tahoma"/>
                <w:color w:val="000000"/>
                <w:lang w:eastAsia="en-GB"/>
              </w:rPr>
              <w:t>no</w:t>
            </w:r>
            <w:r w:rsidRPr="00EF385F">
              <w:rPr>
                <w:rFonts w:ascii="Tahoma" w:eastAsia="Times New Roman" w:hAnsi="Tahoma" w:cs="Tahoma"/>
                <w:color w:val="000000"/>
                <w:lang w:val="en-US" w:eastAsia="en-GB"/>
              </w:rPr>
              <w:t>t</w:t>
            </w:r>
            <w:r w:rsidRPr="00EF385F">
              <w:rPr>
                <w:rFonts w:ascii="Tahoma" w:eastAsia="Times New Roman" w:hAnsi="Tahoma" w:cs="Tahoma"/>
                <w:color w:val="000000"/>
                <w:lang w:eastAsia="en-GB"/>
              </w:rPr>
              <w:t xml:space="preserve"> </w:t>
            </w:r>
            <w:r>
              <w:rPr>
                <w:rFonts w:ascii="Tahoma" w:eastAsia="Times New Roman" w:hAnsi="Tahoma" w:cs="Tahoma"/>
                <w:color w:val="000000"/>
                <w:lang w:eastAsia="en-GB"/>
              </w:rPr>
              <w:t xml:space="preserve">aim </w:t>
            </w:r>
            <w:r w:rsidRPr="00EF385F">
              <w:rPr>
                <w:rFonts w:ascii="Tahoma" w:eastAsia="Times New Roman" w:hAnsi="Tahoma" w:cs="Tahoma"/>
                <w:color w:val="000000"/>
                <w:lang w:eastAsia="en-GB"/>
              </w:rPr>
              <w:t>to promote</w:t>
            </w:r>
            <w:r>
              <w:rPr>
                <w:rFonts w:ascii="Tahoma" w:eastAsia="Times New Roman" w:hAnsi="Tahoma" w:cs="Tahoma"/>
                <w:color w:val="000000"/>
                <w:lang w:eastAsia="en-GB"/>
              </w:rPr>
              <w:t>/support</w:t>
            </w:r>
            <w:r w:rsidRPr="00EF385F">
              <w:rPr>
                <w:rFonts w:ascii="Tahoma" w:eastAsia="Times New Roman" w:hAnsi="Tahoma" w:cs="Tahoma"/>
                <w:color w:val="000000"/>
                <w:lang w:eastAsia="en-GB"/>
              </w:rPr>
              <w:t xml:space="preserve"> breastfeeding</w:t>
            </w:r>
          </w:p>
        </w:tc>
      </w:tr>
      <w:tr w:rsidR="00907ED5" w:rsidRPr="00EF385F" w14:paraId="32E3A9DB" w14:textId="77777777" w:rsidTr="0080759F">
        <w:trPr>
          <w:trHeight w:val="688"/>
        </w:trPr>
        <w:tc>
          <w:tcPr>
            <w:tcW w:w="3402" w:type="dxa"/>
            <w:shd w:val="clear" w:color="auto" w:fill="auto"/>
          </w:tcPr>
          <w:p w14:paraId="601130D6"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Effectiveness of policy to provide breastfeeding groups (BIG) for pregnant and breastfeeding others in primary care: cluster randomised controlled trial</w:t>
            </w:r>
          </w:p>
        </w:tc>
        <w:tc>
          <w:tcPr>
            <w:tcW w:w="709" w:type="dxa"/>
            <w:shd w:val="clear" w:color="auto" w:fill="auto"/>
          </w:tcPr>
          <w:p w14:paraId="0E8B6E2B"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2009</w:t>
            </w:r>
          </w:p>
        </w:tc>
        <w:tc>
          <w:tcPr>
            <w:tcW w:w="1559" w:type="dxa"/>
            <w:shd w:val="clear" w:color="auto" w:fill="auto"/>
          </w:tcPr>
          <w:p w14:paraId="160E14BB" w14:textId="77777777" w:rsidR="00907ED5" w:rsidRPr="00EF385F" w:rsidRDefault="00907ED5" w:rsidP="0080759F">
            <w:pPr>
              <w:spacing w:line="240" w:lineRule="auto"/>
              <w:jc w:val="left"/>
              <w:rPr>
                <w:rFonts w:ascii="Tahoma" w:eastAsia="Times New Roman" w:hAnsi="Tahoma" w:cs="Tahoma"/>
                <w:color w:val="000000"/>
                <w:lang w:eastAsia="en-GB"/>
              </w:rPr>
            </w:pPr>
            <w:proofErr w:type="spellStart"/>
            <w:r w:rsidRPr="00EF385F">
              <w:rPr>
                <w:rFonts w:ascii="Tahoma" w:eastAsia="Times New Roman" w:hAnsi="Tahoma" w:cs="Tahoma"/>
                <w:color w:val="000000"/>
                <w:lang w:eastAsia="en-GB"/>
              </w:rPr>
              <w:t>Hoddinott</w:t>
            </w:r>
            <w:proofErr w:type="spellEnd"/>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{"citationItems":[{"id":"ITEM-1","itemData":{"DOI":"10.1136/bmj.a3026","ISSN":"17561833","abstract":"Objective: To assess the clinical effectiveness and cost effectiveness of a policy to provide breastfeeding groups for pregnant and breastfeeding women. Design: Cluster randomised controlled trial with prospective mixed method embedded case studies to evaluate implementation processes. Setting: Primary care in Scotland. Participants: Pregnant women, breastfeeding mothers, and babies registered with 14 of 66 eligible clusters of general practices (localities) in Scotland that routinely collect breastfeeding outcome data. Intervention: Localities set up new breastfeeding groups to provide population coverage; control localities did not change group activity. Main outcome measures: Primary outcome: any breast feeding at 6-8 weeks from routinely collected data for two pre-trial years and two trial years. Secondary outcomes: any breast feeding at birth, 5-7 days, and 8-9 months; maternal satisfaction. Results: Between 1 February 2005 and 31 January 2007, 9747 birth records existed for intervention localities and 9111 for control localities. The number of breastfeeding groups increased from 10 to 27 in intervention localities, where 1310 women attended, and remained at 10 groups in control localities. No significant differences in breastfeeding outcomes were found. Any breastfeeding at 6-8 weeks declined from 27% to 26% in intervention localities and increased from 29% to 30% in control localities (P=0.08, adjusted for pre-trial rate). Any breast feeding at 6-8 weeks increased from 38% to 39% in localities not participating in the trial. Women who attended breastfeeding groups were older (P&lt;0.001) than women initiating breast feeding who did not attend and had higher income (P=0.02) than women in the control localities who attended postnatal groups. The locality cost was £13 400 (€14 410; $20 144) a year. Conclusion: A policy for providing breastfeeding groups in relatively deprived areas of Scotland did not improve breastfeeding rates at 6-8 weeks. The costs of running groups would be similar to the costs of visiting women at home. Trial registration: Current Controlled Trials ISRCTN44857041.","author":[{"dropping-particle":"","family":"Hoddinott","given":"Pat","non-dropping-particle":"","parse-names":false,"suffix":""},{"dropping-particle":"","family":"Britten","given":"Jane","non-dropping-particle":"","parse-names":false,"suffix":""},{"dropping-particle":"","family":"Prescott","given":"Gordon J.","non-dropping-particle":"","parse-names":false,"suffix":""},{"dropping-particle":"","family":"Tappin","given":"David","non-dropping-particle":"","parse-names":false,"suffix":""},{"dropping-particle":"","family":"Ludbrook","given":"Anne","non-dropping-particle":"","parse-names":false,"suffix":""},{"dropping-particle":"","family":"Godden","given":"David J.","non-dropping-particle":"","parse-names":false,"suffix":""}],"container-title":"BMJ","id":"ITEM-1","issued":{"date-parts":[["2009"]]},"page":"a3026","title":"Effectiveness of policy to provide breastfeeding groups (BIG) for pregnant and breastfeeding mothers in primary care: Cluster randomised controlled trial","type":"article-journal","volume":"338"},"uris":["http://www.mendeley.com/documents/?uuid=a0c82452-db2d-4300-b9d0-afaf9459b3b1"]}],"mendeley":{"formattedCitation":"[8]","plainTextFormattedCitation":"[8]","previouslyFormattedCitation":"[8]"},"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[8]</w:t>
            </w:r>
            <w:r>
              <w:rPr>
                <w:rFonts w:ascii="Tahoma" w:eastAsia="Times New Roman" w:hAnsi="Tahoma" w:cs="Tahoma"/>
                <w:color w:val="000000"/>
                <w:lang w:eastAsia="en-GB"/>
              </w:rPr>
              <w:fldChar w:fldCharType="end"/>
            </w:r>
          </w:p>
        </w:tc>
        <w:tc>
          <w:tcPr>
            <w:tcW w:w="3544" w:type="dxa"/>
            <w:shd w:val="clear" w:color="auto" w:fill="auto"/>
          </w:tcPr>
          <w:p w14:paraId="353E0ABF" w14:textId="77777777" w:rsidR="00907ED5" w:rsidRPr="00EF385F" w:rsidRDefault="00907ED5" w:rsidP="0080759F">
            <w:pPr>
              <w:jc w:val="left"/>
              <w:rPr>
                <w:rFonts w:ascii="Tahoma" w:eastAsia="Times New Roman" w:hAnsi="Tahoma" w:cs="Tahoma"/>
                <w:color w:val="000000"/>
              </w:rPr>
            </w:pPr>
            <w:r>
              <w:rPr>
                <w:rFonts w:ascii="Tahoma" w:hAnsi="Tahoma" w:cs="Tahoma"/>
                <w:color w:val="000000"/>
              </w:rPr>
              <w:t>C</w:t>
            </w:r>
            <w:r w:rsidRPr="00EF385F">
              <w:rPr>
                <w:rFonts w:ascii="Tahoma" w:hAnsi="Tahoma" w:cs="Tahoma"/>
                <w:color w:val="000000"/>
              </w:rPr>
              <w:t xml:space="preserve">osts and outcomes </w:t>
            </w:r>
            <w:r>
              <w:rPr>
                <w:rFonts w:ascii="Tahoma" w:hAnsi="Tahoma" w:cs="Tahoma"/>
                <w:color w:val="000000"/>
              </w:rPr>
              <w:t xml:space="preserve">reported separately </w:t>
            </w:r>
            <w:r w:rsidRPr="00EF385F">
              <w:rPr>
                <w:rFonts w:ascii="Tahoma" w:hAnsi="Tahoma" w:cs="Tahoma"/>
                <w:color w:val="000000"/>
              </w:rPr>
              <w:t xml:space="preserve">but no incremental analysis </w:t>
            </w:r>
          </w:p>
          <w:p w14:paraId="282F1FCC" w14:textId="77777777" w:rsidR="00907ED5" w:rsidRPr="00EF385F" w:rsidRDefault="00907ED5" w:rsidP="0080759F">
            <w:pPr>
              <w:spacing w:line="240" w:lineRule="auto"/>
              <w:jc w:val="left"/>
              <w:rPr>
                <w:rFonts w:ascii="Tahoma" w:eastAsia="Times New Roman" w:hAnsi="Tahoma" w:cs="Tahoma"/>
                <w:color w:val="000000"/>
                <w:lang w:eastAsia="en-GB"/>
              </w:rPr>
            </w:pPr>
          </w:p>
        </w:tc>
      </w:tr>
      <w:tr w:rsidR="00907ED5" w:rsidRPr="00EF385F" w14:paraId="0F9F9A69" w14:textId="77777777" w:rsidTr="0080759F">
        <w:trPr>
          <w:trHeight w:val="798"/>
        </w:trPr>
        <w:tc>
          <w:tcPr>
            <w:tcW w:w="3402" w:type="dxa"/>
            <w:shd w:val="clear" w:color="auto" w:fill="auto"/>
          </w:tcPr>
          <w:p w14:paraId="62F7FABE"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Breastfeeding promotion for infants in neonatal units: a systematic review and economic analysis</w:t>
            </w:r>
          </w:p>
        </w:tc>
        <w:tc>
          <w:tcPr>
            <w:tcW w:w="709" w:type="dxa"/>
            <w:shd w:val="clear" w:color="auto" w:fill="auto"/>
          </w:tcPr>
          <w:p w14:paraId="5E5B301A"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2009</w:t>
            </w:r>
          </w:p>
        </w:tc>
        <w:tc>
          <w:tcPr>
            <w:tcW w:w="1559" w:type="dxa"/>
            <w:shd w:val="clear" w:color="auto" w:fill="auto"/>
          </w:tcPr>
          <w:p w14:paraId="6B51308E"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Renfrew</w:t>
            </w:r>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{"citationItems":[{"id":"ITEM-1","itemData":{"DOI":"10.3310/hta13400","ISSN":"13665278","abstract":"Objectives: To evaluate the effectiveness and cost-effectiveness of interventions that promote or inhibit breastfeeding or feeding with breastmilk for infants admitted to neonatal units, and to identify an agenda for future research. Data sources: Electronic databases were searched (including MEDLINE and MEDLINE In-Process Citations, EMBASE, CINAHL, Maternity and Infant Care, PsycINFO, British Nursing Index and Archive, Health Management Information Consortium, Cochrane Central Register of Controlled Trials, Science Citation Index, Pascal, Latin American and Caribbean Health Sciences, MetaRegister of Controlled Trials, Cochrane Database of Systematic Reviews, Database of Abstracts of Reviews of Effectiveness, Health Technology Assessment Database, National Research Register) from inception to February 2008. Advisors identified further published or unpublished material. Review methods: All papers fulfilled eligibility criteria covering participants, interventions, study design and outcomes. Results from primary studies were assessed and summarised in a qualitative synthesis for each type of intervention and across types of intervention. To estimate long-term cost utility, a decision tree was developed to synthesise data on enhanced staff contact, breastmilk effectiveness, incidence of necrotising enterocolitis (NEC) and sepsis, resource use, survival and utilities. Results: Forty-eight studies met the selection criteria for the effectiveness review, of which 65% (31/48) were RCTs, and 17% (8/48) were conducted in the UK. Seven were rated as good quality and 28 as moderate quality. No studies met the selection criteria for the health economics review. There is strong evidence that short periods of kangaroo skin-to-skin contact increased the duration of any breastfeeding for 1 month after discharge [risk ratio (RR) 4.76, 95% confidence interval (CI) 1.19 to 19.10] and for more than 6 weeks (RR 1.95, 95% CI 1.03 to 3.70) among clinically stable infants in industrialised settings. There is strong evidence for the effectiveness of peer support at home (in Manila) for mothers of term, low birthweight infants on any breastfeeding up to 24 weeks (RR 2.18, 95% CI 1.45 to 3.29) and exclusive breastfeeding from birth to 6 months (RR 65.94, 95% CI 4.12 to 1055.70), and for the effectiveness of peer support in hospital and at home for mothers of infants in Special Care Baby Units on providing any breastmilk at 12 weeks [odds ratio (OR) 2.81, 95% CI 1.11 to 7.14; p = …","author":[{"dropping-particle":"","family":"Renfrew","given":"M. J.","non-dropping-particle":"","parse-names":false,"suffix":""},{"dropping-particle":"","family":"Craig","given":"D.","non-dropping-particle":"","parse-names":false,"suffix":""},{"dropping-particle":"","family":"Dyson","given":"L.","non-dropping-particle":"","parse-names":false,"suffix":""},{"dropping-particle":"","family":"McCormick","given":"F.","non-dropping-particle":"","parse-names":false,"suffix":""},{"dropping-particle":"","family":"Rice","given":"S.","non-dropping-particle":"","parse-names":false,"suffix":""},{"dropping-particle":"","family":"King","given":"S. E.","non-dropping-particle":"","parse-names":false,"suffix":""},{"dropping-particle":"","family":"Misso","given":"K.","non-dropping-particle":"","parse-names":false,"suffix":""},{"dropping-particle":"","family":"Stenhouse","given":"E.","non-dropping-particle":"","parse-names":false,"suffix":""},{"dropping-particle":"","family":"Williams","given":"A. F.","non-dropping-particle":"","parse-names":false,"suffix":""}],"container-title":"Health Technology Assessment","id":"ITEM-1","issued":{"date-parts":[["2009"]]},"title":"Breastfeeding promotion for infants in neonatal units: A systematic review and economic analysis","type":"report"},"uris":["http://www.mendeley.com/documents/?uuid=637f4f59-1166-4870-a5eb-339a31c6ac70"]}],"mendeley":{"formattedCitation":"[9]","plainTextFormattedCitation":"[9]","previouslyFormattedCitation":"[9]"},"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[9]</w:t>
            </w:r>
            <w:r>
              <w:rPr>
                <w:rFonts w:ascii="Tahoma" w:eastAsia="Times New Roman" w:hAnsi="Tahoma" w:cs="Tahoma"/>
                <w:color w:val="000000"/>
                <w:lang w:eastAsia="en-GB"/>
              </w:rPr>
              <w:fldChar w:fldCharType="end"/>
            </w:r>
          </w:p>
        </w:tc>
        <w:tc>
          <w:tcPr>
            <w:tcW w:w="3544" w:type="dxa"/>
            <w:shd w:val="clear" w:color="auto" w:fill="auto"/>
          </w:tcPr>
          <w:p w14:paraId="24C0B2FF" w14:textId="77777777" w:rsidR="00907ED5" w:rsidRPr="00EF385F" w:rsidRDefault="00907ED5" w:rsidP="0080759F">
            <w:pPr>
              <w:spacing w:line="240" w:lineRule="auto"/>
              <w:jc w:val="left"/>
              <w:rPr>
                <w:rFonts w:ascii="Tahoma" w:eastAsia="Times New Roman" w:hAnsi="Tahoma" w:cs="Tahoma"/>
                <w:color w:val="000000"/>
                <w:lang w:eastAsia="en-GB"/>
              </w:rPr>
            </w:pPr>
            <w:r>
              <w:rPr>
                <w:rFonts w:ascii="Tahoma" w:eastAsia="Times New Roman" w:hAnsi="Tahoma" w:cs="Tahoma"/>
                <w:color w:val="000000"/>
                <w:lang w:eastAsia="en-GB"/>
              </w:rPr>
              <w:t xml:space="preserve">Duplicates analysis reported in </w:t>
            </w:r>
            <w:r w:rsidRPr="00EF385F">
              <w:rPr>
                <w:rFonts w:ascii="Tahoma" w:eastAsia="Times New Roman" w:hAnsi="Tahoma" w:cs="Tahoma"/>
                <w:color w:val="000000"/>
                <w:lang w:val="en-US" w:eastAsia="en-GB"/>
              </w:rPr>
              <w:t>a study</w:t>
            </w:r>
            <w:r w:rsidRPr="00EF385F">
              <w:rPr>
                <w:rFonts w:ascii="Tahoma" w:eastAsia="Times New Roman" w:hAnsi="Tahoma" w:cs="Tahoma"/>
                <w:color w:val="000000"/>
                <w:lang w:eastAsia="en-GB"/>
              </w:rPr>
              <w:t xml:space="preserve"> </w:t>
            </w:r>
            <w:r>
              <w:rPr>
                <w:rFonts w:ascii="Tahoma" w:eastAsia="Times New Roman" w:hAnsi="Tahoma" w:cs="Tahoma"/>
                <w:color w:val="000000"/>
                <w:lang w:eastAsia="en-GB"/>
              </w:rPr>
              <w:t xml:space="preserve">included in the review </w:t>
            </w:r>
            <w:r w:rsidRPr="00EF385F">
              <w:rPr>
                <w:rFonts w:ascii="Tahoma" w:eastAsia="Times New Roman" w:hAnsi="Tahoma" w:cs="Tahoma"/>
                <w:color w:val="000000"/>
                <w:lang w:val="en-US" w:eastAsia="en-GB"/>
              </w:rPr>
              <w:t>(</w:t>
            </w:r>
            <w:r w:rsidRPr="00EF385F">
              <w:rPr>
                <w:rFonts w:ascii="Tahoma" w:eastAsia="Times New Roman" w:hAnsi="Tahoma" w:cs="Tahoma"/>
                <w:color w:val="000000"/>
                <w:lang w:eastAsia="en-GB"/>
              </w:rPr>
              <w:t>Rice et a</w:t>
            </w:r>
            <w:r w:rsidRPr="00EF385F">
              <w:rPr>
                <w:rFonts w:ascii="Tahoma" w:eastAsia="Times New Roman" w:hAnsi="Tahoma" w:cs="Tahoma"/>
                <w:color w:val="000000"/>
                <w:lang w:val="en-US" w:eastAsia="en-GB"/>
              </w:rPr>
              <w:t>l</w:t>
            </w:r>
            <w:r>
              <w:rPr>
                <w:rFonts w:ascii="Tahoma" w:eastAsia="Times New Roman" w:hAnsi="Tahoma" w:cs="Tahoma"/>
                <w:color w:val="000000"/>
                <w:lang w:val="en-US" w:eastAsia="en-GB"/>
              </w:rPr>
              <w:t xml:space="preserve"> </w:t>
            </w:r>
            <w:r>
              <w:rPr>
                <w:rFonts w:ascii="Tahoma" w:eastAsia="Times New Roman" w:hAnsi="Tahoma" w:cs="Tahoma"/>
                <w:color w:val="000000"/>
                <w:lang w:val="en-US" w:eastAsia="en-GB"/>
              </w:rPr>
              <w:fldChar w:fldCharType="begin" w:fldLock="1"/>
            </w:r>
            <w:r>
              <w:rPr>
                <w:rFonts w:ascii="Tahoma" w:eastAsia="Times New Roman" w:hAnsi="Tahoma" w:cs="Tahoma"/>
                <w:color w:val="000000"/>
                <w:lang w:val="en-US" w:eastAsia="en-GB"/>
              </w:rPr>
              <w:instrText>ADDIN CSL_CITATION {"citationItems":[{"id":"ITEM-1","itemData":{"DOI":"10.1017/S0266462310000115","ISSN":"02664623","abstract":"Objectives: There is evidence that breastmilk feeding reduces mortality and short and long-term morbidity among infants born too soon or too small. The aim of this study was to evaluate the cost-effectiveness of enhanced staff contact for mothers with infants in a neonatal unit with a birth weight of 500-2,500 g from the perspective of the UK National Health Service. Methods: A decision-tree model linked clinical outcomes with long-term health outcomes. The study population was divided into three weight bands: 500-999 g, 1000-1,749 g, and 1,750-2,500 g. Clinical and resource use data were obtained from literature reviews. The measure of benefit was quality-adjusted life-years. Uncertainty was evaluated using cost-effectiveness acceptability curves and sensitivity analyses. Results: The intervention was less costly and more effective than the comparator in the base-case analysis for each birth weight group. The results were quite robust to the sensitivity analyses performed. Conclusions: This is the first economic evaluation in this complex field and offers a model to be developed in future research. The results provide preliminary indications that enhanced staff contact may be cost-effective. However, the limited evidence available, and the limited UK data in particular, suggest that further research is required to provide results with confidence. Copyright © 2010 Cambridge University Press.","author":[{"dropping-particle":"","family":"Rice","given":"Stephen J.C.","non-dropping-particle":"","parse-names":false,"suffix":""},{"dropping-particle":"","family":"Craig","given":"Dawn","non-dropping-particle":"","parse-names":false,"suffix":""},{"dropping-particle":"","family":"McCormick","given":"Felicia","non-dropping-particle":"","parse-names":false,"suffix":""},{"dropping-particle":"","family":"Renfrew","given":"Mary J.","non-dropping-particle":"","parse-names":false,"suffix":""},{"dropping-particle":"","family":"Williams","given":"Anthony F.","non-dropping-particle":"","parse-names":false,"suffix":""}],"container-title":"International Journal of Technology Assessment in Health Care","id":"ITEM-1","issue":"2","issued":{"date-parts":[["2010","4"]]},"page":"133-140","title":"Economic evaluation of enhanced staff contact for the promotion of breastfeeding for low birth weight infants","type":"article-journal","volume":"26"},"uris":["http://www.mendeley.com/documents/?uuid=32b7ec6f-4fe9-381b-8d95-d619c4f68e4e"]}],"mendeley":{"formattedCitation":"[2]","plainTextFormattedCitation":"[2]","previouslyFormattedCitation":"[2]"},"properties":{"noteIndex":0},"schema":"https://github.com/citation-style-language/schema/raw/master/csl-citation.json"}</w:instrText>
            </w:r>
            <w:r>
              <w:rPr>
                <w:rFonts w:ascii="Tahoma" w:eastAsia="Times New Roman" w:hAnsi="Tahoma" w:cs="Tahoma"/>
                <w:color w:val="000000"/>
                <w:lang w:val="en-US" w:eastAsia="en-GB"/>
              </w:rPr>
              <w:fldChar w:fldCharType="separate"/>
            </w:r>
            <w:r w:rsidRPr="00FF02BC">
              <w:rPr>
                <w:rFonts w:ascii="Tahoma" w:eastAsia="Times New Roman" w:hAnsi="Tahoma" w:cs="Tahoma"/>
                <w:noProof/>
                <w:color w:val="000000"/>
                <w:lang w:val="en-US" w:eastAsia="en-GB"/>
              </w:rPr>
              <w:t>[2]</w:t>
            </w:r>
            <w:r>
              <w:rPr>
                <w:rFonts w:ascii="Tahoma" w:eastAsia="Times New Roman" w:hAnsi="Tahoma" w:cs="Tahoma"/>
                <w:color w:val="000000"/>
                <w:lang w:val="en-US" w:eastAsia="en-GB"/>
              </w:rPr>
              <w:fldChar w:fldCharType="end"/>
            </w:r>
            <w:r w:rsidRPr="00EF385F">
              <w:rPr>
                <w:rFonts w:ascii="Tahoma" w:eastAsia="Times New Roman" w:hAnsi="Tahoma" w:cs="Tahoma"/>
                <w:color w:val="000000"/>
                <w:lang w:val="en-US" w:eastAsia="en-GB"/>
              </w:rPr>
              <w:t>)</w:t>
            </w:r>
          </w:p>
        </w:tc>
      </w:tr>
      <w:tr w:rsidR="00907ED5" w:rsidRPr="00EF385F" w14:paraId="3D67BDE2" w14:textId="77777777" w:rsidTr="0080759F">
        <w:trPr>
          <w:trHeight w:val="840"/>
        </w:trPr>
        <w:tc>
          <w:tcPr>
            <w:tcW w:w="3402" w:type="dxa"/>
            <w:shd w:val="clear" w:color="auto" w:fill="auto"/>
          </w:tcPr>
          <w:p w14:paraId="78F36357"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Costs Related to Promoting Breastfeeding Among Urban Low-Income Women</w:t>
            </w:r>
          </w:p>
        </w:tc>
        <w:tc>
          <w:tcPr>
            <w:tcW w:w="709" w:type="dxa"/>
            <w:shd w:val="clear" w:color="auto" w:fill="auto"/>
          </w:tcPr>
          <w:p w14:paraId="2C36FF76"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2012</w:t>
            </w:r>
          </w:p>
        </w:tc>
        <w:tc>
          <w:tcPr>
            <w:tcW w:w="1559" w:type="dxa"/>
            <w:shd w:val="clear" w:color="auto" w:fill="auto"/>
          </w:tcPr>
          <w:p w14:paraId="54F31946"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Frick</w:t>
            </w:r>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{"citationItems":[{"id":"ITEM-1","itemData":{"DOI":"10.1111/j.1552-6909.2011.01316.x","ISSN":"15526909","abstract":"Objective: To describe the costs of providing support to breastfeeding low-income women and compares costs to cost offsets of the intervention. Design: Secondary analysis of data from a randomized controlled trial of an intervention to promote breastfeeding among low-income women with full-term infants. Setting: A university hospital and a community hospital in Baltimore, Maryland. Participants: Special Supplemental Nutrition Program for Women, Infants, and Children (WIC) eligible breastfeeding women (N = 328) were randomized to usual care or the community health nurse/peer counselor intervention. Methods: The researchers collected and described personnel and mileage costs over the entire duration of the intervention (24 weeks). Researchers also compared (using t tests) change in resources associated with breastfeeding including the number of clinic visits, hospital nights, emergency room visits, prescriptions, and formula feedings per day up to 12 weeks. Results: The cost of the personnel and travel required for the intervention was $296 per woman. The use of medical care and number of formula feedings per day were similar for the intervention and usual care groups. When differences in use of medical care and formula feeding were statistically significant, the intervention group used fewer resources. Conclusion: Support for breastfeeding by community health nurses and peer counselors is partially offset by reducing medical care utilization and formula feeding costs. © 2011 AWHONN, the Association of Women's Health, Obsteric and Neonatal Nurses.","author":[{"dropping-particle":"","family":"Frick","given":"Kevin D.","non-dropping-particle":"","parse-names":false,"suffix":""},{"dropping-particle":"","family":"Pugh","given":"Linda C.","non-dropping-particle":"","parse-names":false,"suffix":""},{"dropping-particle":"","family":"Milligan","given":"Renee A.","non-dropping-particle":"","parse-names":false,"suffix":""}],"container-title":"JOGNN - Journal of Obstetric, Gynecologic, and Neonatal Nursing","id":"ITEM-1","issue":"1","issued":{"date-parts":[["2012"]]},"page":"144-50","title":"Costs Related to Promoting Breastfeeding Among Urban Low-Income Women","type":"article-journal","volume":"41"},"uris":["http://www.mendeley.com/documents/?uuid=53508a37-2562-473e-bad0-db09e0033670"]}],"mendeley":{"formattedCitation":"[10]","plainTextFormattedCitation":"[10]","previouslyFormattedCitation":"[10]"},"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[10]</w:t>
            </w:r>
            <w:r>
              <w:rPr>
                <w:rFonts w:ascii="Tahoma" w:eastAsia="Times New Roman" w:hAnsi="Tahoma" w:cs="Tahoma"/>
                <w:color w:val="000000"/>
                <w:lang w:eastAsia="en-GB"/>
              </w:rPr>
              <w:fldChar w:fldCharType="end"/>
            </w:r>
          </w:p>
        </w:tc>
        <w:tc>
          <w:tcPr>
            <w:tcW w:w="3544" w:type="dxa"/>
            <w:shd w:val="clear" w:color="auto" w:fill="auto"/>
          </w:tcPr>
          <w:p w14:paraId="0D1D703E" w14:textId="77777777" w:rsidR="00907ED5" w:rsidRPr="00EF385F" w:rsidRDefault="00907ED5" w:rsidP="0080759F">
            <w:pPr>
              <w:jc w:val="left"/>
              <w:rPr>
                <w:rFonts w:ascii="Tahoma" w:eastAsia="Times New Roman" w:hAnsi="Tahoma" w:cs="Tahoma"/>
                <w:color w:val="000000"/>
              </w:rPr>
            </w:pPr>
            <w:r>
              <w:rPr>
                <w:rFonts w:ascii="Tahoma" w:hAnsi="Tahoma" w:cs="Tahoma"/>
                <w:color w:val="000000"/>
              </w:rPr>
              <w:t>C</w:t>
            </w:r>
            <w:r w:rsidRPr="00EF385F">
              <w:rPr>
                <w:rFonts w:ascii="Tahoma" w:hAnsi="Tahoma" w:cs="Tahoma"/>
                <w:color w:val="000000"/>
              </w:rPr>
              <w:t xml:space="preserve">osts and outcomes </w:t>
            </w:r>
            <w:r>
              <w:rPr>
                <w:rFonts w:ascii="Tahoma" w:hAnsi="Tahoma" w:cs="Tahoma"/>
                <w:color w:val="000000"/>
              </w:rPr>
              <w:t xml:space="preserve">reported separately </w:t>
            </w:r>
            <w:r w:rsidRPr="00EF385F">
              <w:rPr>
                <w:rFonts w:ascii="Tahoma" w:hAnsi="Tahoma" w:cs="Tahoma"/>
                <w:color w:val="000000"/>
              </w:rPr>
              <w:t xml:space="preserve">but no incremental analysis </w:t>
            </w:r>
          </w:p>
        </w:tc>
      </w:tr>
      <w:tr w:rsidR="00907ED5" w:rsidRPr="00EF385F" w14:paraId="12CF732C" w14:textId="77777777" w:rsidTr="0080759F">
        <w:trPr>
          <w:trHeight w:val="708"/>
        </w:trPr>
        <w:tc>
          <w:tcPr>
            <w:tcW w:w="3402" w:type="dxa"/>
            <w:shd w:val="clear" w:color="auto" w:fill="auto"/>
          </w:tcPr>
          <w:p w14:paraId="4FEC6C41"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Healthy Beginnings Trial Phase 2 study: Follow-up and cost-effectiveness analysis</w:t>
            </w:r>
          </w:p>
        </w:tc>
        <w:tc>
          <w:tcPr>
            <w:tcW w:w="709" w:type="dxa"/>
            <w:shd w:val="clear" w:color="auto" w:fill="auto"/>
          </w:tcPr>
          <w:p w14:paraId="3C01DBB2"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2012</w:t>
            </w:r>
          </w:p>
        </w:tc>
        <w:tc>
          <w:tcPr>
            <w:tcW w:w="1559" w:type="dxa"/>
            <w:shd w:val="clear" w:color="auto" w:fill="auto"/>
          </w:tcPr>
          <w:p w14:paraId="2E560C97"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Wen</w:t>
            </w:r>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{"citationItems":[{"id":"ITEM-1","itemData":{"DOI":"10.1016/j.cct.2011.11.008","ISSN":"15517144","abstract":"Background: In 2007, we commenced the Healthy Beginnings Trial (HBT) Phase 1 study, which is the first randomised controlled trial (RCT) to test the effectiveness of an early childhood obesity intervention in children aged up to 2. years. The results were promising with significant improvements in infant feeding practices and a lower mean body mass index (BMI). The aims of this proposed Phase 2 study are to determine if the early intervention will lead to a lower mean BMI, lower screen time, improved dietary behaviours and demonstrated cost-effectiveness of the intervention, in children aged 31/2 and 5. years. Methods/design: In Phase 1 of HBT 667 families participated in the RCT. No further intervention will be carried out in HBT Phase 2. In this study the intervention and control groups will be compared for children's outcomes at ages 31/2 and 5. years. Primary outcome measures will be 1) BMI, 2) selected dietary measures using a validated survey tool, and 3) physical activity and screen time using a new generation of tri-axial accelerometers. Intention to treat principles will be used in the analysis. Multiple imputation will be used to impute outcomes for subjects lost to follow-up. A cost-effectiveness analysis (CEA) and cost-utility analysis for both HBT Phase 1 and 2 will also be conducted. Discussion: This is the first time that a home-based early intervention strategy has been implemented to prevent the development of childhood obesity and obesity-conducive behaviours. The results of this trial will ascertain whether early intervention during the first 2. years of life is effective and cost-effective in preventing childhood overweight and obesity at 31/2 and 5. years old. © 2011 Elsevier Inc.","author":[{"dropping-particle":"","family":"Wen","given":"Li Ming","non-dropping-particle":"","parse-names":false,"suffix":""},{"dropping-particle":"","family":"Baur","given":"Louise A.","non-dropping-particle":"","parse-names":false,"suffix":""},{"dropping-particle":"","family":"Rissel","given":"Chris","non-dropping-particle":"","parse-names":false,"suffix":""},{"dropping-particle":"","family":"Flood","given":"Vicki","non-dropping-particle":"","parse-names":false,"suffix":""},{"dropping-particle":"","family":"Simpson","given":"Judy M.","non-dropping-particle":"","parse-names":false,"suffix":""},{"dropping-particle":"","family":"Hayes","given":"Alison","non-dropping-particle":"","parse-names":false,"suffix":""},{"dropping-particle":"","family":"Hardy","given":"Louise L.","non-dropping-particle":"","parse-names":false,"suffix":""},{"dropping-particle":"","family":"Wardle","given":"Karen","non-dropping-particle":"","parse-names":false,"suffix":""}],"container-title":"Contemporary Clinical Trials","id":"ITEM-1","issue":"2","issued":{"date-parts":[["2012"]]},"page":"396-401","title":"Healthy Beginnings Trial Phase 2 study: Follow-up and cost-effectiveness analysis","type":"article-journal","volume":"33"},"uris":["http://www.mendeley.com/documents/?uuid=dfd70a6c-6c48-4df3-be92-87da7abf4588"]}],"mendeley":{"formattedCitation":"[11]","plainTextFormattedCitation":"[11]","previouslyFormattedCitation":"[11]"},"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[11]</w:t>
            </w:r>
            <w:r>
              <w:rPr>
                <w:rFonts w:ascii="Tahoma" w:eastAsia="Times New Roman" w:hAnsi="Tahoma" w:cs="Tahoma"/>
                <w:color w:val="000000"/>
                <w:lang w:eastAsia="en-GB"/>
              </w:rPr>
              <w:fldChar w:fldCharType="end"/>
            </w:r>
          </w:p>
        </w:tc>
        <w:tc>
          <w:tcPr>
            <w:tcW w:w="3544" w:type="dxa"/>
            <w:shd w:val="clear" w:color="auto" w:fill="auto"/>
          </w:tcPr>
          <w:p w14:paraId="362DB6ED" w14:textId="77777777" w:rsidR="00907ED5" w:rsidRPr="00EF385F" w:rsidRDefault="00907ED5" w:rsidP="0080759F">
            <w:pPr>
              <w:spacing w:line="240" w:lineRule="auto"/>
              <w:jc w:val="left"/>
              <w:rPr>
                <w:rFonts w:ascii="Tahoma" w:eastAsia="Times New Roman" w:hAnsi="Tahoma" w:cs="Tahoma"/>
                <w:color w:val="000000"/>
                <w:lang w:eastAsia="en-GB"/>
              </w:rPr>
            </w:pPr>
            <w:r>
              <w:rPr>
                <w:rFonts w:ascii="Tahoma" w:eastAsia="Times New Roman" w:hAnsi="Tahoma" w:cs="Tahoma"/>
                <w:color w:val="000000"/>
                <w:lang w:eastAsia="en-GB"/>
              </w:rPr>
              <w:t>P</w:t>
            </w:r>
            <w:r w:rsidRPr="00EF385F">
              <w:rPr>
                <w:rFonts w:ascii="Tahoma" w:eastAsia="Times New Roman" w:hAnsi="Tahoma" w:cs="Tahoma"/>
                <w:color w:val="000000"/>
                <w:lang w:eastAsia="en-GB"/>
              </w:rPr>
              <w:t>rotocol</w:t>
            </w:r>
          </w:p>
        </w:tc>
      </w:tr>
      <w:tr w:rsidR="00907ED5" w:rsidRPr="00EF385F" w14:paraId="3CD95E24" w14:textId="77777777" w:rsidTr="0080759F">
        <w:trPr>
          <w:trHeight w:val="973"/>
        </w:trPr>
        <w:tc>
          <w:tcPr>
            <w:tcW w:w="3402" w:type="dxa"/>
            <w:shd w:val="clear" w:color="auto" w:fill="auto"/>
          </w:tcPr>
          <w:p w14:paraId="3B8226FE"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Effect of breastfeeding promotion interventions on cost-effectiveness of rotavirus immunization in Indonesia</w:t>
            </w:r>
          </w:p>
        </w:tc>
        <w:tc>
          <w:tcPr>
            <w:tcW w:w="709" w:type="dxa"/>
            <w:shd w:val="clear" w:color="auto" w:fill="auto"/>
          </w:tcPr>
          <w:p w14:paraId="0B1EA71B"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2013</w:t>
            </w:r>
          </w:p>
        </w:tc>
        <w:tc>
          <w:tcPr>
            <w:tcW w:w="1559" w:type="dxa"/>
            <w:shd w:val="clear" w:color="auto" w:fill="auto"/>
          </w:tcPr>
          <w:p w14:paraId="31FD7F91" w14:textId="77777777" w:rsidR="00907ED5" w:rsidRPr="00EF385F" w:rsidRDefault="00907ED5" w:rsidP="0080759F">
            <w:pPr>
              <w:spacing w:line="240" w:lineRule="auto"/>
              <w:jc w:val="left"/>
              <w:rPr>
                <w:rFonts w:ascii="Tahoma" w:eastAsia="Times New Roman" w:hAnsi="Tahoma" w:cs="Tahoma"/>
                <w:color w:val="000000"/>
                <w:lang w:eastAsia="en-GB"/>
              </w:rPr>
            </w:pPr>
            <w:proofErr w:type="spellStart"/>
            <w:r w:rsidRPr="00EF385F">
              <w:rPr>
                <w:rFonts w:ascii="Tahoma" w:eastAsia="Times New Roman" w:hAnsi="Tahoma" w:cs="Tahoma"/>
                <w:color w:val="000000"/>
                <w:lang w:eastAsia="en-GB"/>
              </w:rPr>
              <w:t>Suwantika</w:t>
            </w:r>
            <w:proofErr w:type="spellEnd"/>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{"citationItems":[{"id":"ITEM-1","itemData":{"DOI":"10.1186/1471-2458-13-1106","ISSN":"14712458","abstract":"Background: Rotavirus infection has been reported to be responsible for the majority of severe diarrhea in children under-5-years-old in Indonesia. Breast milk is considered to give protection against rotavirus infection. Increasing breastfeeding promotion programs could be an alternative target to reduce the incidence of rotavirus diarrhea. This study aims to investigate the effect of breastfeeding promotion interventions on cost-effectiveness of rotavirus immunization in Indonesia, focusing on breastfeeding education and support interventions. Methods. An age-structured cohort model was developed for the 2011 Indonesia birth cohort. We compared four interventions in scenarios: (I) base-case (I0) reflecting the current situation for the population of under-5-years-old, (II) with an additional breastfeeding education intervention (I1), (III) with a support intervention on initiation and duration (I2) and (IV) with both of these two interventions combined (I 3). The model applied a 5-years time horizon, with 1 month analytical cycles for children less than 1 year of age and annually thereafter. Monte Carlo simulations were used to examine the economic acceptability and affordability of rotavirus vaccination. Results: Rotavirus immunization would effectively reduce severe cases of rotavirus during the first 5 years of a child's life even assuming various breastfeeding promotion interventions. The total yearly vaccine cost would amount to US$ 64 million under the market vaccine price. Cost-effectiveness would increase to US$ 153 per quality-adjusted-life-year (societal perspective) with an optimal breastfeeding promotion intervention. Obviously, this is much lower than the 2011 Gross Domestic Product (GDP) per capita of US$ 3,495. Affordability results showed that at the market vaccine price, rotavirus vaccination could be affordable for the Indonesian health system. Conclusions: Rotavirus immunization would be a highly cost-effective public health intervention for Indonesia even under various breastfeeding promotion interventions based on the WHO's criteria for cost-effectiveness in universal immunization. © 2013 Suwantika and Postma; licensee BioMed Central Ltd.","author":[{"dropping-particle":"","family":"Suwantika","given":"Auliya A.","non-dropping-particle":"","parse-names":false,"suffix":""},{"dropping-particle":"","family":"Postma","given":"Maarten J.","non-dropping-particle":"","parse-names":false,"suffix":""}],"container-title":"BMC Public Health","id":"ITEM-1","issued":{"date-parts":[["2013"]]},"page":"1106","title":"Effect of breastfeeding promotion interventions on cost-effectiveness of rotavirus immunization in Indonesia","type":"article-journal","volume":"13"},"uris":["http://www.mendeley.com/documents/?uuid=92397729-749f-412e-b90e-14694519947e"]}],"mendeley":{"formattedCitation":"[12]","plainTextFormattedCitation":"[12]","previouslyFormattedCitation":"[12]"},"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[12]</w:t>
            </w:r>
            <w:r>
              <w:rPr>
                <w:rFonts w:ascii="Tahoma" w:eastAsia="Times New Roman" w:hAnsi="Tahoma" w:cs="Tahoma"/>
                <w:color w:val="000000"/>
                <w:lang w:eastAsia="en-GB"/>
              </w:rPr>
              <w:fldChar w:fldCharType="end"/>
            </w:r>
          </w:p>
        </w:tc>
        <w:tc>
          <w:tcPr>
            <w:tcW w:w="3544" w:type="dxa"/>
            <w:shd w:val="clear" w:color="auto" w:fill="auto"/>
          </w:tcPr>
          <w:p w14:paraId="65139F76" w14:textId="77777777" w:rsidR="00907ED5" w:rsidRPr="00EF385F" w:rsidRDefault="00907ED5" w:rsidP="0080759F">
            <w:pPr>
              <w:spacing w:line="240" w:lineRule="auto"/>
              <w:jc w:val="left"/>
              <w:rPr>
                <w:rFonts w:ascii="Tahoma" w:eastAsia="Times New Roman" w:hAnsi="Tahoma" w:cs="Tahoma"/>
                <w:color w:val="000000"/>
                <w:lang w:eastAsia="en-GB"/>
              </w:rPr>
            </w:pPr>
            <w:r>
              <w:rPr>
                <w:rFonts w:ascii="Tahoma" w:eastAsia="Times New Roman" w:hAnsi="Tahoma" w:cs="Tahoma"/>
                <w:color w:val="000000"/>
                <w:lang w:val="en-US" w:eastAsia="en-GB"/>
              </w:rPr>
              <w:t>A</w:t>
            </w:r>
            <w:r w:rsidRPr="00EF385F">
              <w:rPr>
                <w:rFonts w:ascii="Tahoma" w:eastAsia="Times New Roman" w:hAnsi="Tahoma" w:cs="Tahoma"/>
                <w:color w:val="000000"/>
                <w:lang w:val="en-US" w:eastAsia="en-GB"/>
              </w:rPr>
              <w:t xml:space="preserve">lthough intervention </w:t>
            </w:r>
            <w:r>
              <w:rPr>
                <w:rFonts w:ascii="Tahoma" w:eastAsia="Times New Roman" w:hAnsi="Tahoma" w:cs="Tahoma"/>
                <w:color w:val="000000"/>
                <w:lang w:val="en-US" w:eastAsia="en-GB"/>
              </w:rPr>
              <w:t xml:space="preserve">aimed to </w:t>
            </w:r>
            <w:r w:rsidRPr="00EF385F">
              <w:rPr>
                <w:rFonts w:ascii="Tahoma" w:eastAsia="Times New Roman" w:hAnsi="Tahoma" w:cs="Tahoma"/>
                <w:color w:val="000000"/>
                <w:lang w:val="en-US" w:eastAsia="en-GB"/>
              </w:rPr>
              <w:t xml:space="preserve">promote breastfeeding, the economic evaluation </w:t>
            </w:r>
            <w:r w:rsidRPr="00EF385F">
              <w:rPr>
                <w:rFonts w:ascii="Tahoma" w:eastAsia="Times New Roman" w:hAnsi="Tahoma" w:cs="Tahoma"/>
                <w:color w:val="000000"/>
                <w:lang w:eastAsia="en-GB"/>
              </w:rPr>
              <w:t>focus</w:t>
            </w:r>
            <w:r w:rsidRPr="00EF385F">
              <w:rPr>
                <w:rFonts w:ascii="Tahoma" w:eastAsia="Times New Roman" w:hAnsi="Tahoma" w:cs="Tahoma"/>
                <w:color w:val="000000"/>
                <w:lang w:val="en-US" w:eastAsia="en-GB"/>
              </w:rPr>
              <w:t>es</w:t>
            </w:r>
            <w:r w:rsidRPr="00EF385F">
              <w:rPr>
                <w:rFonts w:ascii="Tahoma" w:eastAsia="Times New Roman" w:hAnsi="Tahoma" w:cs="Tahoma"/>
                <w:color w:val="000000"/>
                <w:lang w:eastAsia="en-GB"/>
              </w:rPr>
              <w:t xml:space="preserve"> on </w:t>
            </w:r>
            <w:r w:rsidRPr="00EF385F">
              <w:rPr>
                <w:rFonts w:ascii="Tahoma" w:eastAsia="Times New Roman" w:hAnsi="Tahoma" w:cs="Tahoma"/>
                <w:color w:val="000000"/>
                <w:lang w:val="en-US" w:eastAsia="en-GB"/>
              </w:rPr>
              <w:t xml:space="preserve">the </w:t>
            </w:r>
            <w:r w:rsidRPr="00EF385F">
              <w:rPr>
                <w:rFonts w:ascii="Tahoma" w:eastAsia="Times New Roman" w:hAnsi="Tahoma" w:cs="Tahoma"/>
                <w:color w:val="000000"/>
                <w:lang w:eastAsia="en-GB"/>
              </w:rPr>
              <w:t>cost-effectiveness of rota-virus vaccination rather than breastfeeding</w:t>
            </w:r>
            <w:r w:rsidRPr="00EF385F">
              <w:rPr>
                <w:rFonts w:ascii="Tahoma" w:eastAsia="Times New Roman" w:hAnsi="Tahoma" w:cs="Tahoma"/>
                <w:color w:val="000000"/>
                <w:lang w:val="en-US" w:eastAsia="en-GB"/>
              </w:rPr>
              <w:t xml:space="preserve"> outcomes </w:t>
            </w:r>
          </w:p>
        </w:tc>
      </w:tr>
      <w:tr w:rsidR="00907ED5" w:rsidRPr="00EF385F" w14:paraId="30B0AC73" w14:textId="77777777" w:rsidTr="0080759F">
        <w:trPr>
          <w:trHeight w:val="689"/>
        </w:trPr>
        <w:tc>
          <w:tcPr>
            <w:tcW w:w="3402" w:type="dxa"/>
            <w:shd w:val="clear" w:color="auto" w:fill="auto"/>
          </w:tcPr>
          <w:p w14:paraId="79FD509C"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South-Africa (</w:t>
            </w:r>
            <w:proofErr w:type="spellStart"/>
            <w:r w:rsidRPr="00EF385F">
              <w:rPr>
                <w:rFonts w:ascii="Tahoma" w:eastAsia="Times New Roman" w:hAnsi="Tahoma" w:cs="Tahoma"/>
                <w:color w:val="000000"/>
                <w:lang w:eastAsia="en-GB"/>
              </w:rPr>
              <w:t>Goodstart</w:t>
            </w:r>
            <w:proofErr w:type="spellEnd"/>
            <w:r w:rsidRPr="00EF385F">
              <w:rPr>
                <w:rFonts w:ascii="Tahoma" w:eastAsia="Times New Roman" w:hAnsi="Tahoma" w:cs="Tahoma"/>
                <w:color w:val="000000"/>
                <w:lang w:eastAsia="en-GB"/>
              </w:rPr>
              <w:t xml:space="preserve"> III) trial: community based maternal and newborn care economic analysis</w:t>
            </w:r>
          </w:p>
        </w:tc>
        <w:tc>
          <w:tcPr>
            <w:tcW w:w="709" w:type="dxa"/>
            <w:shd w:val="clear" w:color="auto" w:fill="auto"/>
          </w:tcPr>
          <w:p w14:paraId="060A6018" w14:textId="77777777" w:rsidR="00907ED5" w:rsidRPr="00EF385F" w:rsidRDefault="00907ED5" w:rsidP="0080759F">
            <w:pPr>
              <w:spacing w:line="240" w:lineRule="auto"/>
              <w:jc w:val="left"/>
              <w:rPr>
                <w:rFonts w:ascii="Tahoma" w:eastAsia="Times New Roman" w:hAnsi="Tahoma" w:cs="Tahoma"/>
                <w:color w:val="000000"/>
                <w:lang w:eastAsia="en-GB"/>
              </w:rPr>
            </w:pPr>
            <w:r w:rsidRPr="00EF385F">
              <w:rPr>
                <w:rFonts w:ascii="Tahoma" w:eastAsia="Times New Roman" w:hAnsi="Tahoma" w:cs="Tahoma"/>
                <w:color w:val="000000"/>
                <w:lang w:eastAsia="en-GB"/>
              </w:rPr>
              <w:t>2017</w:t>
            </w:r>
          </w:p>
        </w:tc>
        <w:tc>
          <w:tcPr>
            <w:tcW w:w="1559" w:type="dxa"/>
            <w:shd w:val="clear" w:color="auto" w:fill="auto"/>
          </w:tcPr>
          <w:p w14:paraId="57153017" w14:textId="77777777" w:rsidR="00907ED5" w:rsidRPr="00EF385F" w:rsidRDefault="00907ED5" w:rsidP="0080759F">
            <w:pPr>
              <w:spacing w:line="240" w:lineRule="auto"/>
              <w:jc w:val="left"/>
              <w:rPr>
                <w:rFonts w:ascii="Tahoma" w:eastAsia="Times New Roman" w:hAnsi="Tahoma" w:cs="Tahoma"/>
                <w:color w:val="000000"/>
                <w:lang w:eastAsia="en-GB"/>
              </w:rPr>
            </w:pPr>
            <w:proofErr w:type="spellStart"/>
            <w:r w:rsidRPr="00EF385F">
              <w:rPr>
                <w:rFonts w:ascii="Tahoma" w:eastAsia="Times New Roman" w:hAnsi="Tahoma" w:cs="Tahoma"/>
                <w:color w:val="000000"/>
                <w:lang w:eastAsia="en-GB"/>
              </w:rPr>
              <w:t>Daviaud</w:t>
            </w:r>
            <w:proofErr w:type="spellEnd"/>
            <w:r>
              <w:rPr>
                <w:rFonts w:ascii="Tahoma" w:eastAsia="Times New Roman" w:hAnsi="Tahoma" w:cs="Tahoma"/>
                <w:color w:val="000000"/>
                <w:lang w:eastAsia="en-GB"/>
              </w:rPr>
              <w:t xml:space="preserve"> </w:t>
            </w:r>
            <w:r>
              <w:rPr>
                <w:rFonts w:ascii="Tahoma" w:eastAsia="Times New Roman" w:hAnsi="Tahoma" w:cs="Tahoma"/>
                <w:color w:val="000000"/>
                <w:lang w:eastAsia="en-GB"/>
              </w:rPr>
              <w:fldChar w:fldCharType="begin" w:fldLock="1"/>
            </w:r>
            <w:r>
              <w:rPr>
                <w:rFonts w:ascii="Tahoma" w:eastAsia="Times New Roman" w:hAnsi="Tahoma" w:cs="Tahoma"/>
                <w:color w:val="000000"/>
                <w:lang w:eastAsia="en-GB"/>
              </w:rPr>
              <w:instrText>ADDIN CSL_CITATION {"citationItems":[{"id":"ITEM-1","itemData":{"DOI":"10.1093/heapol/czw112","ISSN":"14602237","abstract":"In light of South Africa's generalized HIV/AIDS epidemic coupled with high infant mortality, we undertook a cluster Randomized Control Trial (2008-10) assessing the effect of Community Health Worker (CHW) antenatal and postnatal home visits on, amongst other indicators, levels of HIV-free survival, and exclusive and appropriate infant feeding at 12 weeks. Cost and time implications were calculated, by assessing the 15 participating CHWs, using financial records, mHealth and interviews. Sustainability and scalability were assessed, enabling identification of health system issues. The majority (96%) of women in the community received an average of 4.1 visits (target seven). The paid, single purpose CHWs spent 13 h/week on the programme. The financial cost per mother amounted to $94 ($23 per home visit). Modelling target coverage (95% mothers, seven visits) and increased efficiency showed that if CHWs spent 25h/week on the programme, the number of CHWs required would decrease from 15 to 12. The intervention almost doubled exclusive breastfeeding (EBF) at 12 weeks and showed a 6% relative increase in EBF with each additional CHW visit. Home visit programmes improve access and prevention but are not an inexpensive alternative: The observed cost per home visit is twice that of a clinic visit and in target/efficiency scenario decreases to 70% of the cost of a clinic visit. Ensuring sustainability requires optimizing the design of programmes and deployment of human resources, whilst maintaining impact. However, low remuneration of CHWs leads to shorter working hours, low motivation and sub-optimal coverage even in a situation with well-resourced supervision. The communitybased care programme in South-Africa is based on multi-purpose CHWs, its cost and impact should be compared with results from this study. Quality of support for multi-purpose CHWs may be the biggest challenge to address to achieving higher efficiency of community-based services.","author":[{"dropping-particle":"","family":"Daviaud","given":"Emmanuelle","non-dropping-particle":"","parse-names":false,"suffix":""},{"dropping-particle":"","family":"Nkonki","given":"Lungiswa","non-dropping-particle":"","parse-names":false,"suffix":""},{"dropping-particle":"","family":"Ijumba","given":"Petrida","non-dropping-particle":"","parse-names":false,"suffix":""},{"dropping-particle":"","family":"Doherty","given":"Tanya","non-dropping-particle":"","parse-names":false,"suffix":""},{"dropping-particle":"","family":"Lawn","given":"Joy E.","non-dropping-particle":"","parse-names":false,"suffix":""},{"dropping-particle":"","family":"Owen","given":"Helen","non-dropping-particle":"","parse-names":false,"suffix":""},{"dropping-particle":"","family":"Jackson","given":"Debra","non-dropping-particle":"","parse-names":false,"suffix":""},{"dropping-particle":"","family":"Tomlinson","given":"Mark","non-dropping-particle":"","parse-names":false,"suffix":""}],"container-title":"Health Policy and Planning","id":"ITEM-1","issue":"suppl_1","issued":{"date-parts":[["2017"]]},"page":"i53-63","title":"South-Africa (Goodstart III) trial: Community-based maternal and newborn care economic analysis","type":"article-journal","volume":"32"},"uris":["http://www.mendeley.com/documents/?uuid=1b83476c-23cd-4a87-8836-91b726eb199a"]}],"mendeley":{"formattedCitation":"[13]","plainTextFormattedCitation":"[13]","previouslyFormattedCitation":"[13]"},"properties":{"noteIndex":0},"schema":"https://github.com/citation-style-language/schema/raw/master/csl-citation.json"}</w:instrText>
            </w:r>
            <w:r>
              <w:rPr>
                <w:rFonts w:ascii="Tahoma" w:eastAsia="Times New Roman" w:hAnsi="Tahoma" w:cs="Tahoma"/>
                <w:color w:val="000000"/>
                <w:lang w:eastAsia="en-GB"/>
              </w:rPr>
              <w:fldChar w:fldCharType="separate"/>
            </w:r>
            <w:r w:rsidRPr="00FF02BC">
              <w:rPr>
                <w:rFonts w:ascii="Tahoma" w:eastAsia="Times New Roman" w:hAnsi="Tahoma" w:cs="Tahoma"/>
                <w:noProof/>
                <w:color w:val="000000"/>
                <w:lang w:eastAsia="en-GB"/>
              </w:rPr>
              <w:t>[13]</w:t>
            </w:r>
            <w:r>
              <w:rPr>
                <w:rFonts w:ascii="Tahoma" w:eastAsia="Times New Roman" w:hAnsi="Tahoma" w:cs="Tahoma"/>
                <w:color w:val="000000"/>
                <w:lang w:eastAsia="en-GB"/>
              </w:rPr>
              <w:fldChar w:fldCharType="end"/>
            </w:r>
          </w:p>
        </w:tc>
        <w:tc>
          <w:tcPr>
            <w:tcW w:w="3544" w:type="dxa"/>
            <w:shd w:val="clear" w:color="auto" w:fill="auto"/>
          </w:tcPr>
          <w:p w14:paraId="62E2C51C" w14:textId="77777777" w:rsidR="00907ED5" w:rsidRPr="00EF385F" w:rsidRDefault="00907ED5" w:rsidP="0080759F">
            <w:pPr>
              <w:spacing w:line="240" w:lineRule="auto"/>
              <w:jc w:val="left"/>
              <w:rPr>
                <w:rFonts w:ascii="Tahoma" w:eastAsia="Times New Roman" w:hAnsi="Tahoma" w:cs="Tahoma"/>
                <w:color w:val="000000"/>
                <w:lang w:eastAsia="en-GB"/>
              </w:rPr>
            </w:pPr>
            <w:r>
              <w:rPr>
                <w:rFonts w:ascii="Tahoma" w:hAnsi="Tahoma" w:cs="Tahoma"/>
                <w:color w:val="000000"/>
              </w:rPr>
              <w:t>C</w:t>
            </w:r>
            <w:r w:rsidRPr="00EF385F">
              <w:rPr>
                <w:rFonts w:ascii="Tahoma" w:hAnsi="Tahoma" w:cs="Tahoma"/>
                <w:color w:val="000000"/>
              </w:rPr>
              <w:t xml:space="preserve">osts and outcomes </w:t>
            </w:r>
            <w:r>
              <w:rPr>
                <w:rFonts w:ascii="Tahoma" w:hAnsi="Tahoma" w:cs="Tahoma"/>
                <w:color w:val="000000"/>
              </w:rPr>
              <w:t xml:space="preserve">reported separately </w:t>
            </w:r>
            <w:r w:rsidRPr="00EF385F">
              <w:rPr>
                <w:rFonts w:ascii="Tahoma" w:hAnsi="Tahoma" w:cs="Tahoma"/>
                <w:color w:val="000000"/>
              </w:rPr>
              <w:t>but no incremental analysis</w:t>
            </w:r>
          </w:p>
        </w:tc>
      </w:tr>
    </w:tbl>
    <w:p w14:paraId="04D47320" w14:textId="77777777" w:rsidR="00907ED5" w:rsidRDefault="00907ED5" w:rsidP="00907ED5">
      <w:pPr>
        <w:rPr>
          <w:rFonts w:ascii="Tahoma" w:hAnsi="Tahoma" w:cs="Tahoma"/>
        </w:rPr>
      </w:pPr>
    </w:p>
    <w:p w14:paraId="792C2E6D" w14:textId="77777777" w:rsidR="00907ED5" w:rsidRDefault="00907ED5">
      <w:pPr>
        <w:rPr>
          <w:rFonts w:ascii="Tahoma" w:hAnsi="Tahoma" w:cs="Tahoma"/>
          <w:b/>
        </w:rPr>
      </w:pPr>
      <w:r>
        <w:rPr>
          <w:rFonts w:ascii="Tahoma" w:hAnsi="Tahoma" w:cs="Tahoma"/>
          <w:b/>
        </w:rPr>
        <w:br w:type="page"/>
      </w:r>
    </w:p>
    <w:p w14:paraId="222B2542" w14:textId="617F5B95" w:rsidR="00AB585C" w:rsidRDefault="003855FE">
      <w:pPr>
        <w:rPr>
          <w:rFonts w:ascii="Tahoma" w:hAnsi="Tahoma" w:cs="Tahoma"/>
        </w:rPr>
      </w:pPr>
      <w:r>
        <w:rPr>
          <w:rFonts w:ascii="Tahoma" w:hAnsi="Tahoma" w:cs="Tahoma"/>
          <w:b/>
        </w:rPr>
        <w:lastRenderedPageBreak/>
        <w:t xml:space="preserve">Table </w:t>
      </w:r>
      <w:proofErr w:type="spellStart"/>
      <w:r>
        <w:rPr>
          <w:rFonts w:ascii="Tahoma" w:hAnsi="Tahoma" w:cs="Tahoma"/>
          <w:b/>
        </w:rPr>
        <w:t>S</w:t>
      </w:r>
      <w:r w:rsidR="00907ED5">
        <w:rPr>
          <w:rFonts w:ascii="Tahoma" w:hAnsi="Tahoma" w:cs="Tahoma"/>
          <w:b/>
        </w:rPr>
        <w:t>3</w:t>
      </w:r>
      <w:proofErr w:type="spellEnd"/>
      <w:r>
        <w:rPr>
          <w:rFonts w:ascii="Tahoma" w:hAnsi="Tahoma" w:cs="Tahoma"/>
          <w:b/>
        </w:rPr>
        <w:t xml:space="preserve"> - </w:t>
      </w:r>
      <w:r>
        <w:rPr>
          <w:rFonts w:ascii="Tahoma" w:hAnsi="Tahoma" w:cs="Tahoma"/>
        </w:rPr>
        <w:t>Data extraction and quality assessment form</w:t>
      </w:r>
    </w:p>
    <w:tbl>
      <w:tblPr>
        <w:tblW w:w="9151"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2046"/>
      </w:tblGrid>
      <w:tr w:rsidR="00AB585C" w14:paraId="09D6C39E" w14:textId="77777777">
        <w:trPr>
          <w:trHeight w:val="283"/>
        </w:trPr>
        <w:tc>
          <w:tcPr>
            <w:tcW w:w="7105" w:type="dxa"/>
            <w:shd w:val="clear" w:color="auto" w:fill="auto"/>
            <w:vAlign w:val="center"/>
            <w:hideMark/>
          </w:tcPr>
          <w:p w14:paraId="6C411663"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Subject of the study</w:t>
            </w:r>
          </w:p>
        </w:tc>
        <w:tc>
          <w:tcPr>
            <w:tcW w:w="2046" w:type="dxa"/>
          </w:tcPr>
          <w:p w14:paraId="1804C3C3"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24EA94FF" w14:textId="77777777">
        <w:trPr>
          <w:trHeight w:val="283"/>
        </w:trPr>
        <w:tc>
          <w:tcPr>
            <w:tcW w:w="7105" w:type="dxa"/>
            <w:shd w:val="clear" w:color="auto" w:fill="auto"/>
            <w:vAlign w:val="center"/>
            <w:hideMark/>
          </w:tcPr>
          <w:p w14:paraId="0F1B4B95"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Intervention(s)</w:t>
            </w:r>
          </w:p>
        </w:tc>
        <w:tc>
          <w:tcPr>
            <w:tcW w:w="2046" w:type="dxa"/>
          </w:tcPr>
          <w:p w14:paraId="252F5C09" w14:textId="77777777" w:rsidR="00AB585C" w:rsidRDefault="00AB585C">
            <w:pPr>
              <w:spacing w:line="240" w:lineRule="auto"/>
              <w:jc w:val="left"/>
              <w:rPr>
                <w:rFonts w:ascii="Tahoma" w:eastAsia="Times New Roman" w:hAnsi="Tahoma" w:cs="Tahoma"/>
                <w:sz w:val="20"/>
                <w:szCs w:val="20"/>
                <w:lang w:eastAsia="en-GB"/>
              </w:rPr>
            </w:pPr>
          </w:p>
        </w:tc>
      </w:tr>
      <w:tr w:rsidR="00AB585C" w14:paraId="11E5EBC7" w14:textId="77777777">
        <w:trPr>
          <w:trHeight w:val="283"/>
        </w:trPr>
        <w:tc>
          <w:tcPr>
            <w:tcW w:w="7105" w:type="dxa"/>
            <w:shd w:val="clear" w:color="auto" w:fill="auto"/>
            <w:vAlign w:val="center"/>
            <w:hideMark/>
          </w:tcPr>
          <w:p w14:paraId="5662B84D"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Comparator(s)</w:t>
            </w:r>
          </w:p>
        </w:tc>
        <w:tc>
          <w:tcPr>
            <w:tcW w:w="2046" w:type="dxa"/>
          </w:tcPr>
          <w:p w14:paraId="24454E9F" w14:textId="77777777" w:rsidR="00AB585C" w:rsidRDefault="00AB585C">
            <w:pPr>
              <w:spacing w:line="240" w:lineRule="auto"/>
              <w:jc w:val="left"/>
              <w:rPr>
                <w:rFonts w:ascii="Tahoma" w:eastAsia="Times New Roman" w:hAnsi="Tahoma" w:cs="Tahoma"/>
                <w:sz w:val="20"/>
                <w:szCs w:val="20"/>
                <w:lang w:eastAsia="en-GB"/>
              </w:rPr>
            </w:pPr>
          </w:p>
        </w:tc>
      </w:tr>
      <w:tr w:rsidR="00AB585C" w14:paraId="799DFD20" w14:textId="77777777">
        <w:trPr>
          <w:trHeight w:val="283"/>
        </w:trPr>
        <w:tc>
          <w:tcPr>
            <w:tcW w:w="7105" w:type="dxa"/>
            <w:shd w:val="clear" w:color="auto" w:fill="auto"/>
            <w:vAlign w:val="center"/>
            <w:hideMark/>
          </w:tcPr>
          <w:p w14:paraId="3C92E5BE"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Key elements of the study</w:t>
            </w:r>
          </w:p>
        </w:tc>
        <w:tc>
          <w:tcPr>
            <w:tcW w:w="2046" w:type="dxa"/>
          </w:tcPr>
          <w:p w14:paraId="6A84898E"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0174B10B" w14:textId="77777777">
        <w:trPr>
          <w:trHeight w:val="283"/>
        </w:trPr>
        <w:tc>
          <w:tcPr>
            <w:tcW w:w="7105" w:type="dxa"/>
            <w:shd w:val="clear" w:color="auto" w:fill="auto"/>
            <w:vAlign w:val="center"/>
            <w:hideMark/>
          </w:tcPr>
          <w:p w14:paraId="3D04AE16"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Type of economic analysis</w:t>
            </w:r>
          </w:p>
        </w:tc>
        <w:tc>
          <w:tcPr>
            <w:tcW w:w="2046" w:type="dxa"/>
          </w:tcPr>
          <w:p w14:paraId="77974666" w14:textId="77777777" w:rsidR="00AB585C" w:rsidRDefault="00AB585C">
            <w:pPr>
              <w:spacing w:line="240" w:lineRule="auto"/>
              <w:jc w:val="left"/>
              <w:rPr>
                <w:rFonts w:ascii="Tahoma" w:eastAsia="Times New Roman" w:hAnsi="Tahoma" w:cs="Tahoma"/>
                <w:sz w:val="20"/>
                <w:szCs w:val="20"/>
                <w:lang w:eastAsia="en-GB"/>
              </w:rPr>
            </w:pPr>
          </w:p>
        </w:tc>
      </w:tr>
      <w:tr w:rsidR="00AB585C" w14:paraId="1E486A9A" w14:textId="77777777">
        <w:trPr>
          <w:trHeight w:val="283"/>
        </w:trPr>
        <w:tc>
          <w:tcPr>
            <w:tcW w:w="7105" w:type="dxa"/>
            <w:shd w:val="clear" w:color="auto" w:fill="auto"/>
            <w:vAlign w:val="center"/>
            <w:hideMark/>
          </w:tcPr>
          <w:p w14:paraId="74B89B61"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Study population</w:t>
            </w:r>
          </w:p>
        </w:tc>
        <w:tc>
          <w:tcPr>
            <w:tcW w:w="2046" w:type="dxa"/>
          </w:tcPr>
          <w:p w14:paraId="692DD4C5" w14:textId="77777777" w:rsidR="00AB585C" w:rsidRDefault="00AB585C">
            <w:pPr>
              <w:spacing w:line="240" w:lineRule="auto"/>
              <w:jc w:val="left"/>
              <w:rPr>
                <w:rFonts w:ascii="Tahoma" w:eastAsia="Times New Roman" w:hAnsi="Tahoma" w:cs="Tahoma"/>
                <w:sz w:val="20"/>
                <w:szCs w:val="20"/>
                <w:lang w:eastAsia="en-GB"/>
              </w:rPr>
            </w:pPr>
          </w:p>
        </w:tc>
      </w:tr>
      <w:tr w:rsidR="00AB585C" w14:paraId="0696801A" w14:textId="77777777">
        <w:trPr>
          <w:trHeight w:val="283"/>
        </w:trPr>
        <w:tc>
          <w:tcPr>
            <w:tcW w:w="7105" w:type="dxa"/>
            <w:shd w:val="clear" w:color="auto" w:fill="auto"/>
            <w:vAlign w:val="center"/>
            <w:hideMark/>
          </w:tcPr>
          <w:p w14:paraId="5B2E5209"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 xml:space="preserve">Details of model (if applicable) </w:t>
            </w:r>
          </w:p>
        </w:tc>
        <w:tc>
          <w:tcPr>
            <w:tcW w:w="2046" w:type="dxa"/>
          </w:tcPr>
          <w:p w14:paraId="1B0E1709" w14:textId="77777777" w:rsidR="00AB585C" w:rsidRDefault="00AB585C">
            <w:pPr>
              <w:spacing w:line="240" w:lineRule="auto"/>
              <w:jc w:val="left"/>
              <w:rPr>
                <w:rFonts w:ascii="Tahoma" w:eastAsia="Times New Roman" w:hAnsi="Tahoma" w:cs="Tahoma"/>
                <w:sz w:val="20"/>
                <w:szCs w:val="20"/>
                <w:lang w:eastAsia="en-GB"/>
              </w:rPr>
            </w:pPr>
          </w:p>
        </w:tc>
      </w:tr>
      <w:tr w:rsidR="00AB585C" w14:paraId="1E794C3B" w14:textId="77777777">
        <w:trPr>
          <w:trHeight w:val="283"/>
        </w:trPr>
        <w:tc>
          <w:tcPr>
            <w:tcW w:w="7105" w:type="dxa"/>
            <w:shd w:val="clear" w:color="auto" w:fill="auto"/>
            <w:vAlign w:val="center"/>
            <w:hideMark/>
          </w:tcPr>
          <w:p w14:paraId="56BD1207"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Setting</w:t>
            </w:r>
          </w:p>
        </w:tc>
        <w:tc>
          <w:tcPr>
            <w:tcW w:w="2046" w:type="dxa"/>
          </w:tcPr>
          <w:p w14:paraId="2E69734E" w14:textId="77777777" w:rsidR="00AB585C" w:rsidRDefault="00AB585C">
            <w:pPr>
              <w:spacing w:line="240" w:lineRule="auto"/>
              <w:jc w:val="left"/>
              <w:rPr>
                <w:rFonts w:ascii="Tahoma" w:eastAsia="Times New Roman" w:hAnsi="Tahoma" w:cs="Tahoma"/>
                <w:sz w:val="20"/>
                <w:szCs w:val="20"/>
                <w:lang w:eastAsia="en-GB"/>
              </w:rPr>
            </w:pPr>
          </w:p>
        </w:tc>
      </w:tr>
      <w:tr w:rsidR="00AB585C" w14:paraId="60614C18" w14:textId="77777777">
        <w:trPr>
          <w:trHeight w:val="283"/>
        </w:trPr>
        <w:tc>
          <w:tcPr>
            <w:tcW w:w="7105" w:type="dxa"/>
            <w:shd w:val="clear" w:color="auto" w:fill="auto"/>
            <w:vAlign w:val="center"/>
            <w:hideMark/>
          </w:tcPr>
          <w:p w14:paraId="2E6E458E"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Country</w:t>
            </w:r>
          </w:p>
        </w:tc>
        <w:tc>
          <w:tcPr>
            <w:tcW w:w="2046" w:type="dxa"/>
          </w:tcPr>
          <w:p w14:paraId="576F356C" w14:textId="77777777" w:rsidR="00AB585C" w:rsidRDefault="00AB585C">
            <w:pPr>
              <w:spacing w:line="240" w:lineRule="auto"/>
              <w:jc w:val="left"/>
              <w:rPr>
                <w:rFonts w:ascii="Tahoma" w:eastAsia="Times New Roman" w:hAnsi="Tahoma" w:cs="Tahoma"/>
                <w:sz w:val="20"/>
                <w:szCs w:val="20"/>
                <w:lang w:eastAsia="en-GB"/>
              </w:rPr>
            </w:pPr>
          </w:p>
        </w:tc>
      </w:tr>
      <w:tr w:rsidR="00AB585C" w14:paraId="04A7FB73" w14:textId="77777777">
        <w:trPr>
          <w:trHeight w:val="283"/>
        </w:trPr>
        <w:tc>
          <w:tcPr>
            <w:tcW w:w="7105" w:type="dxa"/>
            <w:shd w:val="clear" w:color="auto" w:fill="auto"/>
            <w:vAlign w:val="center"/>
            <w:hideMark/>
          </w:tcPr>
          <w:p w14:paraId="0FB12916"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Clinical evidence</w:t>
            </w:r>
          </w:p>
        </w:tc>
        <w:tc>
          <w:tcPr>
            <w:tcW w:w="2046" w:type="dxa"/>
          </w:tcPr>
          <w:p w14:paraId="1A81E7D8"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3C91F846" w14:textId="77777777">
        <w:trPr>
          <w:trHeight w:val="283"/>
        </w:trPr>
        <w:tc>
          <w:tcPr>
            <w:tcW w:w="7105" w:type="dxa"/>
            <w:shd w:val="clear" w:color="auto" w:fill="auto"/>
            <w:vAlign w:val="center"/>
            <w:hideMark/>
          </w:tcPr>
          <w:p w14:paraId="3B66242C"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Data sources</w:t>
            </w:r>
          </w:p>
        </w:tc>
        <w:tc>
          <w:tcPr>
            <w:tcW w:w="2046" w:type="dxa"/>
          </w:tcPr>
          <w:p w14:paraId="58868B11" w14:textId="77777777" w:rsidR="00AB585C" w:rsidRDefault="00AB585C">
            <w:pPr>
              <w:spacing w:line="240" w:lineRule="auto"/>
              <w:jc w:val="left"/>
              <w:rPr>
                <w:rFonts w:ascii="Tahoma" w:eastAsia="Times New Roman" w:hAnsi="Tahoma" w:cs="Tahoma"/>
                <w:sz w:val="20"/>
                <w:szCs w:val="20"/>
                <w:lang w:eastAsia="en-GB"/>
              </w:rPr>
            </w:pPr>
          </w:p>
        </w:tc>
      </w:tr>
      <w:tr w:rsidR="00AB585C" w14:paraId="41DA58CA" w14:textId="77777777">
        <w:trPr>
          <w:trHeight w:val="283"/>
        </w:trPr>
        <w:tc>
          <w:tcPr>
            <w:tcW w:w="7105" w:type="dxa"/>
            <w:shd w:val="clear" w:color="auto" w:fill="auto"/>
            <w:noWrap/>
            <w:vAlign w:val="center"/>
            <w:hideMark/>
          </w:tcPr>
          <w:p w14:paraId="46EE5AE3"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Measures of health benefit</w:t>
            </w:r>
          </w:p>
        </w:tc>
        <w:tc>
          <w:tcPr>
            <w:tcW w:w="2046" w:type="dxa"/>
          </w:tcPr>
          <w:p w14:paraId="41219EEA"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5B0E8D68" w14:textId="77777777">
        <w:trPr>
          <w:trHeight w:val="283"/>
        </w:trPr>
        <w:tc>
          <w:tcPr>
            <w:tcW w:w="7105" w:type="dxa"/>
            <w:shd w:val="clear" w:color="auto" w:fill="auto"/>
            <w:vAlign w:val="center"/>
            <w:hideMark/>
          </w:tcPr>
          <w:p w14:paraId="708D18CB"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Summary measure of health benefit</w:t>
            </w:r>
          </w:p>
        </w:tc>
        <w:tc>
          <w:tcPr>
            <w:tcW w:w="2046" w:type="dxa"/>
          </w:tcPr>
          <w:p w14:paraId="6FFD14A9" w14:textId="77777777" w:rsidR="00AB585C" w:rsidRDefault="00AB585C">
            <w:pPr>
              <w:spacing w:line="240" w:lineRule="auto"/>
              <w:jc w:val="left"/>
              <w:rPr>
                <w:rFonts w:ascii="Tahoma" w:eastAsia="Times New Roman" w:hAnsi="Tahoma" w:cs="Tahoma"/>
                <w:sz w:val="20"/>
                <w:szCs w:val="20"/>
                <w:lang w:eastAsia="en-GB"/>
              </w:rPr>
            </w:pPr>
          </w:p>
        </w:tc>
      </w:tr>
      <w:tr w:rsidR="00AB585C" w14:paraId="50BC87E7" w14:textId="77777777">
        <w:trPr>
          <w:trHeight w:val="283"/>
        </w:trPr>
        <w:tc>
          <w:tcPr>
            <w:tcW w:w="7105" w:type="dxa"/>
            <w:shd w:val="clear" w:color="auto" w:fill="auto"/>
            <w:vAlign w:val="center"/>
            <w:hideMark/>
          </w:tcPr>
          <w:p w14:paraId="5853ABEA"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Method of utility valuation</w:t>
            </w:r>
          </w:p>
        </w:tc>
        <w:tc>
          <w:tcPr>
            <w:tcW w:w="2046" w:type="dxa"/>
          </w:tcPr>
          <w:p w14:paraId="1CF727BF" w14:textId="77777777" w:rsidR="00AB585C" w:rsidRDefault="00AB585C">
            <w:pPr>
              <w:spacing w:line="240" w:lineRule="auto"/>
              <w:jc w:val="left"/>
              <w:rPr>
                <w:rFonts w:ascii="Tahoma" w:eastAsia="Times New Roman" w:hAnsi="Tahoma" w:cs="Tahoma"/>
                <w:sz w:val="20"/>
                <w:szCs w:val="20"/>
                <w:lang w:eastAsia="en-GB"/>
              </w:rPr>
            </w:pPr>
          </w:p>
        </w:tc>
      </w:tr>
      <w:tr w:rsidR="00AB585C" w14:paraId="7F495429" w14:textId="77777777">
        <w:trPr>
          <w:trHeight w:val="283"/>
        </w:trPr>
        <w:tc>
          <w:tcPr>
            <w:tcW w:w="7105" w:type="dxa"/>
            <w:shd w:val="clear" w:color="auto" w:fill="auto"/>
            <w:vAlign w:val="center"/>
            <w:hideMark/>
          </w:tcPr>
          <w:p w14:paraId="6BB687A0"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Time horizon</w:t>
            </w:r>
          </w:p>
        </w:tc>
        <w:tc>
          <w:tcPr>
            <w:tcW w:w="2046" w:type="dxa"/>
          </w:tcPr>
          <w:p w14:paraId="547DF5BE" w14:textId="77777777" w:rsidR="00AB585C" w:rsidRDefault="00AB585C">
            <w:pPr>
              <w:spacing w:line="240" w:lineRule="auto"/>
              <w:jc w:val="left"/>
              <w:rPr>
                <w:rFonts w:ascii="Tahoma" w:eastAsia="Times New Roman" w:hAnsi="Tahoma" w:cs="Tahoma"/>
                <w:sz w:val="20"/>
                <w:szCs w:val="20"/>
                <w:lang w:eastAsia="en-GB"/>
              </w:rPr>
            </w:pPr>
          </w:p>
        </w:tc>
      </w:tr>
      <w:tr w:rsidR="00AB585C" w14:paraId="247E8779" w14:textId="77777777">
        <w:trPr>
          <w:trHeight w:val="283"/>
        </w:trPr>
        <w:tc>
          <w:tcPr>
            <w:tcW w:w="7105" w:type="dxa"/>
            <w:shd w:val="clear" w:color="auto" w:fill="auto"/>
            <w:vAlign w:val="center"/>
            <w:hideMark/>
          </w:tcPr>
          <w:p w14:paraId="3B2E9671"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Discount rate for health benefit</w:t>
            </w:r>
          </w:p>
        </w:tc>
        <w:tc>
          <w:tcPr>
            <w:tcW w:w="2046" w:type="dxa"/>
          </w:tcPr>
          <w:p w14:paraId="054E361C" w14:textId="77777777" w:rsidR="00AB585C" w:rsidRDefault="00AB585C">
            <w:pPr>
              <w:spacing w:line="240" w:lineRule="auto"/>
              <w:jc w:val="left"/>
              <w:rPr>
                <w:rFonts w:ascii="Tahoma" w:eastAsia="Times New Roman" w:hAnsi="Tahoma" w:cs="Tahoma"/>
                <w:sz w:val="20"/>
                <w:szCs w:val="20"/>
                <w:lang w:eastAsia="en-GB"/>
              </w:rPr>
            </w:pPr>
          </w:p>
        </w:tc>
      </w:tr>
      <w:tr w:rsidR="00AB585C" w14:paraId="5585782F" w14:textId="77777777">
        <w:trPr>
          <w:trHeight w:val="283"/>
        </w:trPr>
        <w:tc>
          <w:tcPr>
            <w:tcW w:w="7105" w:type="dxa"/>
            <w:shd w:val="clear" w:color="auto" w:fill="auto"/>
            <w:noWrap/>
            <w:vAlign w:val="center"/>
            <w:hideMark/>
          </w:tcPr>
          <w:p w14:paraId="251FE262" w14:textId="77777777" w:rsidR="00AB585C" w:rsidRDefault="00AB7385">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C</w:t>
            </w:r>
            <w:r w:rsidR="003855FE">
              <w:rPr>
                <w:rFonts w:ascii="Tahoma" w:eastAsia="Times New Roman" w:hAnsi="Tahoma" w:cs="Tahoma"/>
                <w:b/>
                <w:bCs/>
                <w:sz w:val="20"/>
                <w:szCs w:val="20"/>
                <w:lang w:eastAsia="en-GB"/>
              </w:rPr>
              <w:t>osts</w:t>
            </w:r>
          </w:p>
        </w:tc>
        <w:tc>
          <w:tcPr>
            <w:tcW w:w="2046" w:type="dxa"/>
          </w:tcPr>
          <w:p w14:paraId="533C90A2"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39850B69" w14:textId="77777777">
        <w:trPr>
          <w:trHeight w:val="283"/>
        </w:trPr>
        <w:tc>
          <w:tcPr>
            <w:tcW w:w="7105" w:type="dxa"/>
            <w:shd w:val="clear" w:color="auto" w:fill="auto"/>
            <w:vAlign w:val="center"/>
            <w:hideMark/>
          </w:tcPr>
          <w:p w14:paraId="7C607B09" w14:textId="77777777" w:rsidR="00AB585C" w:rsidRDefault="00AB7385">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C</w:t>
            </w:r>
            <w:r w:rsidR="003855FE">
              <w:rPr>
                <w:rFonts w:ascii="Tahoma" w:eastAsia="Times New Roman" w:hAnsi="Tahoma" w:cs="Tahoma"/>
                <w:sz w:val="20"/>
                <w:szCs w:val="20"/>
                <w:lang w:eastAsia="en-GB"/>
              </w:rPr>
              <w:t>osts included</w:t>
            </w:r>
          </w:p>
        </w:tc>
        <w:tc>
          <w:tcPr>
            <w:tcW w:w="2046" w:type="dxa"/>
          </w:tcPr>
          <w:p w14:paraId="1C5D11EA" w14:textId="77777777" w:rsidR="00AB585C" w:rsidRDefault="00AB585C">
            <w:pPr>
              <w:spacing w:line="240" w:lineRule="auto"/>
              <w:jc w:val="left"/>
              <w:rPr>
                <w:rFonts w:ascii="Tahoma" w:eastAsia="Times New Roman" w:hAnsi="Tahoma" w:cs="Tahoma"/>
                <w:sz w:val="20"/>
                <w:szCs w:val="20"/>
                <w:lang w:eastAsia="en-GB"/>
              </w:rPr>
            </w:pPr>
          </w:p>
        </w:tc>
      </w:tr>
      <w:tr w:rsidR="00AB585C" w14:paraId="20C7392E" w14:textId="77777777">
        <w:trPr>
          <w:trHeight w:val="283"/>
        </w:trPr>
        <w:tc>
          <w:tcPr>
            <w:tcW w:w="7105" w:type="dxa"/>
            <w:shd w:val="clear" w:color="auto" w:fill="auto"/>
            <w:vAlign w:val="center"/>
            <w:hideMark/>
          </w:tcPr>
          <w:p w14:paraId="401386F9"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Source of resource use data</w:t>
            </w:r>
          </w:p>
        </w:tc>
        <w:tc>
          <w:tcPr>
            <w:tcW w:w="2046" w:type="dxa"/>
          </w:tcPr>
          <w:p w14:paraId="482DD167" w14:textId="77777777" w:rsidR="00AB585C" w:rsidRDefault="00AB585C">
            <w:pPr>
              <w:spacing w:line="240" w:lineRule="auto"/>
              <w:jc w:val="left"/>
              <w:rPr>
                <w:rFonts w:ascii="Tahoma" w:eastAsia="Times New Roman" w:hAnsi="Tahoma" w:cs="Tahoma"/>
                <w:sz w:val="20"/>
                <w:szCs w:val="20"/>
                <w:lang w:eastAsia="en-GB"/>
              </w:rPr>
            </w:pPr>
          </w:p>
        </w:tc>
      </w:tr>
      <w:tr w:rsidR="00AB585C" w14:paraId="6D7B12CB" w14:textId="77777777">
        <w:trPr>
          <w:trHeight w:val="283"/>
        </w:trPr>
        <w:tc>
          <w:tcPr>
            <w:tcW w:w="7105" w:type="dxa"/>
            <w:shd w:val="clear" w:color="auto" w:fill="auto"/>
            <w:vAlign w:val="center"/>
            <w:hideMark/>
          </w:tcPr>
          <w:p w14:paraId="15E96E9C"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 xml:space="preserve">Resource use reported separately from costs </w:t>
            </w:r>
          </w:p>
        </w:tc>
        <w:tc>
          <w:tcPr>
            <w:tcW w:w="2046" w:type="dxa"/>
          </w:tcPr>
          <w:p w14:paraId="3745026E" w14:textId="77777777" w:rsidR="00AB585C" w:rsidRDefault="00AB585C">
            <w:pPr>
              <w:spacing w:line="240" w:lineRule="auto"/>
              <w:jc w:val="left"/>
              <w:rPr>
                <w:rFonts w:ascii="Tahoma" w:eastAsia="Times New Roman" w:hAnsi="Tahoma" w:cs="Tahoma"/>
                <w:sz w:val="20"/>
                <w:szCs w:val="20"/>
                <w:lang w:eastAsia="en-GB"/>
              </w:rPr>
            </w:pPr>
          </w:p>
        </w:tc>
      </w:tr>
      <w:tr w:rsidR="00AB585C" w14:paraId="43D5FA75" w14:textId="77777777">
        <w:trPr>
          <w:trHeight w:val="283"/>
        </w:trPr>
        <w:tc>
          <w:tcPr>
            <w:tcW w:w="7105" w:type="dxa"/>
            <w:shd w:val="clear" w:color="auto" w:fill="auto"/>
            <w:vAlign w:val="center"/>
            <w:hideMark/>
          </w:tcPr>
          <w:p w14:paraId="258CF7F9"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Sources of unit prices</w:t>
            </w:r>
          </w:p>
        </w:tc>
        <w:tc>
          <w:tcPr>
            <w:tcW w:w="2046" w:type="dxa"/>
          </w:tcPr>
          <w:p w14:paraId="2C11D99C" w14:textId="77777777" w:rsidR="00AB585C" w:rsidRDefault="00AB585C">
            <w:pPr>
              <w:spacing w:line="240" w:lineRule="auto"/>
              <w:jc w:val="left"/>
              <w:rPr>
                <w:rFonts w:ascii="Tahoma" w:eastAsia="Times New Roman" w:hAnsi="Tahoma" w:cs="Tahoma"/>
                <w:sz w:val="20"/>
                <w:szCs w:val="20"/>
                <w:lang w:eastAsia="en-GB"/>
              </w:rPr>
            </w:pPr>
          </w:p>
        </w:tc>
      </w:tr>
      <w:tr w:rsidR="00AB585C" w14:paraId="33AED82F" w14:textId="77777777">
        <w:trPr>
          <w:trHeight w:val="283"/>
        </w:trPr>
        <w:tc>
          <w:tcPr>
            <w:tcW w:w="7105" w:type="dxa"/>
            <w:shd w:val="clear" w:color="auto" w:fill="auto"/>
            <w:vAlign w:val="center"/>
            <w:hideMark/>
          </w:tcPr>
          <w:p w14:paraId="02F62A9B"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Currency and price year</w:t>
            </w:r>
          </w:p>
        </w:tc>
        <w:tc>
          <w:tcPr>
            <w:tcW w:w="2046" w:type="dxa"/>
          </w:tcPr>
          <w:p w14:paraId="38CD3674" w14:textId="77777777" w:rsidR="00AB585C" w:rsidRDefault="00AB585C">
            <w:pPr>
              <w:spacing w:line="240" w:lineRule="auto"/>
              <w:jc w:val="left"/>
              <w:rPr>
                <w:rFonts w:ascii="Tahoma" w:eastAsia="Times New Roman" w:hAnsi="Tahoma" w:cs="Tahoma"/>
                <w:sz w:val="20"/>
                <w:szCs w:val="20"/>
                <w:lang w:eastAsia="en-GB"/>
              </w:rPr>
            </w:pPr>
          </w:p>
        </w:tc>
      </w:tr>
      <w:tr w:rsidR="00AB585C" w14:paraId="500E0D12" w14:textId="77777777">
        <w:trPr>
          <w:trHeight w:val="283"/>
        </w:trPr>
        <w:tc>
          <w:tcPr>
            <w:tcW w:w="7105" w:type="dxa"/>
            <w:shd w:val="clear" w:color="auto" w:fill="auto"/>
            <w:vAlign w:val="center"/>
            <w:hideMark/>
          </w:tcPr>
          <w:p w14:paraId="55A85DF6"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Adjustment for inflation; other adjustments</w:t>
            </w:r>
          </w:p>
        </w:tc>
        <w:tc>
          <w:tcPr>
            <w:tcW w:w="2046" w:type="dxa"/>
          </w:tcPr>
          <w:p w14:paraId="37298CDF" w14:textId="77777777" w:rsidR="00AB585C" w:rsidRDefault="00AB585C">
            <w:pPr>
              <w:spacing w:line="240" w:lineRule="auto"/>
              <w:jc w:val="left"/>
              <w:rPr>
                <w:rFonts w:ascii="Tahoma" w:eastAsia="Times New Roman" w:hAnsi="Tahoma" w:cs="Tahoma"/>
                <w:sz w:val="20"/>
                <w:szCs w:val="20"/>
                <w:lang w:eastAsia="en-GB"/>
              </w:rPr>
            </w:pPr>
          </w:p>
        </w:tc>
      </w:tr>
      <w:tr w:rsidR="00AB585C" w14:paraId="55197A54" w14:textId="77777777">
        <w:trPr>
          <w:trHeight w:val="283"/>
        </w:trPr>
        <w:tc>
          <w:tcPr>
            <w:tcW w:w="7105" w:type="dxa"/>
            <w:shd w:val="clear" w:color="auto" w:fill="auto"/>
            <w:vAlign w:val="center"/>
            <w:hideMark/>
          </w:tcPr>
          <w:p w14:paraId="46183F02"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Costs excluded</w:t>
            </w:r>
          </w:p>
        </w:tc>
        <w:tc>
          <w:tcPr>
            <w:tcW w:w="2046" w:type="dxa"/>
          </w:tcPr>
          <w:p w14:paraId="2B3616E8" w14:textId="77777777" w:rsidR="00AB585C" w:rsidRDefault="00AB585C">
            <w:pPr>
              <w:spacing w:line="240" w:lineRule="auto"/>
              <w:jc w:val="left"/>
              <w:rPr>
                <w:rFonts w:ascii="Tahoma" w:eastAsia="Times New Roman" w:hAnsi="Tahoma" w:cs="Tahoma"/>
                <w:sz w:val="20"/>
                <w:szCs w:val="20"/>
                <w:lang w:eastAsia="en-GB"/>
              </w:rPr>
            </w:pPr>
          </w:p>
        </w:tc>
      </w:tr>
      <w:tr w:rsidR="00AB585C" w14:paraId="53C134C2" w14:textId="77777777">
        <w:trPr>
          <w:trHeight w:val="283"/>
        </w:trPr>
        <w:tc>
          <w:tcPr>
            <w:tcW w:w="7105" w:type="dxa"/>
            <w:shd w:val="clear" w:color="auto" w:fill="auto"/>
            <w:vAlign w:val="center"/>
            <w:hideMark/>
          </w:tcPr>
          <w:p w14:paraId="4D76BD42"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Time horizon</w:t>
            </w:r>
          </w:p>
        </w:tc>
        <w:tc>
          <w:tcPr>
            <w:tcW w:w="2046" w:type="dxa"/>
          </w:tcPr>
          <w:p w14:paraId="5F477786" w14:textId="77777777" w:rsidR="00AB585C" w:rsidRDefault="00AB585C">
            <w:pPr>
              <w:spacing w:line="240" w:lineRule="auto"/>
              <w:jc w:val="left"/>
              <w:rPr>
                <w:rFonts w:ascii="Tahoma" w:eastAsia="Times New Roman" w:hAnsi="Tahoma" w:cs="Tahoma"/>
                <w:sz w:val="20"/>
                <w:szCs w:val="20"/>
                <w:lang w:eastAsia="en-GB"/>
              </w:rPr>
            </w:pPr>
          </w:p>
        </w:tc>
      </w:tr>
      <w:tr w:rsidR="00AB585C" w14:paraId="44B8F19D" w14:textId="77777777">
        <w:trPr>
          <w:trHeight w:val="283"/>
        </w:trPr>
        <w:tc>
          <w:tcPr>
            <w:tcW w:w="7105" w:type="dxa"/>
            <w:shd w:val="clear" w:color="auto" w:fill="auto"/>
            <w:vAlign w:val="center"/>
            <w:hideMark/>
          </w:tcPr>
          <w:p w14:paraId="3611D197" w14:textId="77777777" w:rsidR="00AB585C" w:rsidRDefault="003855FE" w:rsidP="00AB7385">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Discount rate for costs</w:t>
            </w:r>
          </w:p>
        </w:tc>
        <w:tc>
          <w:tcPr>
            <w:tcW w:w="2046" w:type="dxa"/>
          </w:tcPr>
          <w:p w14:paraId="64A262E6" w14:textId="77777777" w:rsidR="00AB585C" w:rsidRDefault="00AB585C">
            <w:pPr>
              <w:spacing w:line="240" w:lineRule="auto"/>
              <w:jc w:val="left"/>
              <w:rPr>
                <w:rFonts w:ascii="Tahoma" w:eastAsia="Times New Roman" w:hAnsi="Tahoma" w:cs="Tahoma"/>
                <w:sz w:val="20"/>
                <w:szCs w:val="20"/>
                <w:lang w:eastAsia="en-GB"/>
              </w:rPr>
            </w:pPr>
          </w:p>
        </w:tc>
      </w:tr>
      <w:tr w:rsidR="00AB585C" w14:paraId="77ADBD66" w14:textId="77777777">
        <w:trPr>
          <w:trHeight w:val="283"/>
        </w:trPr>
        <w:tc>
          <w:tcPr>
            <w:tcW w:w="7105" w:type="dxa"/>
            <w:shd w:val="clear" w:color="auto" w:fill="auto"/>
            <w:noWrap/>
            <w:vAlign w:val="center"/>
            <w:hideMark/>
          </w:tcPr>
          <w:p w14:paraId="0619E8A2"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Analysis of uncertainty</w:t>
            </w:r>
          </w:p>
        </w:tc>
        <w:tc>
          <w:tcPr>
            <w:tcW w:w="2046" w:type="dxa"/>
          </w:tcPr>
          <w:p w14:paraId="2AFE451A"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505D21AB" w14:textId="77777777">
        <w:trPr>
          <w:trHeight w:val="283"/>
        </w:trPr>
        <w:tc>
          <w:tcPr>
            <w:tcW w:w="7105" w:type="dxa"/>
            <w:shd w:val="clear" w:color="auto" w:fill="auto"/>
            <w:vAlign w:val="center"/>
            <w:hideMark/>
          </w:tcPr>
          <w:p w14:paraId="5F47F2C8" w14:textId="77777777" w:rsidR="00AB585C" w:rsidRDefault="003855FE">
            <w:pPr>
              <w:spacing w:line="240" w:lineRule="auto"/>
              <w:jc w:val="left"/>
              <w:rPr>
                <w:rFonts w:ascii="Tahoma" w:eastAsia="Times New Roman" w:hAnsi="Tahoma" w:cs="Tahoma"/>
                <w:i/>
                <w:iCs/>
                <w:sz w:val="20"/>
                <w:szCs w:val="20"/>
                <w:lang w:eastAsia="en-GB"/>
              </w:rPr>
            </w:pPr>
            <w:r>
              <w:rPr>
                <w:rFonts w:ascii="Tahoma" w:eastAsia="Times New Roman" w:hAnsi="Tahoma" w:cs="Tahoma"/>
                <w:i/>
                <w:iCs/>
                <w:sz w:val="20"/>
                <w:szCs w:val="20"/>
                <w:lang w:eastAsia="en-GB"/>
              </w:rPr>
              <w:t xml:space="preserve">If model: </w:t>
            </w:r>
            <w:r>
              <w:rPr>
                <w:rFonts w:ascii="Tahoma" w:eastAsia="Times New Roman" w:hAnsi="Tahoma" w:cs="Tahoma"/>
                <w:sz w:val="20"/>
                <w:szCs w:val="20"/>
                <w:lang w:eastAsia="en-GB"/>
              </w:rPr>
              <w:t xml:space="preserve"> exploration of parameter uncertainty</w:t>
            </w:r>
          </w:p>
        </w:tc>
        <w:tc>
          <w:tcPr>
            <w:tcW w:w="2046" w:type="dxa"/>
          </w:tcPr>
          <w:p w14:paraId="6639BEE4" w14:textId="77777777" w:rsidR="00AB585C" w:rsidRDefault="00AB585C">
            <w:pPr>
              <w:spacing w:line="240" w:lineRule="auto"/>
              <w:jc w:val="left"/>
              <w:rPr>
                <w:rFonts w:ascii="Tahoma" w:eastAsia="Times New Roman" w:hAnsi="Tahoma" w:cs="Tahoma"/>
                <w:i/>
                <w:iCs/>
                <w:sz w:val="20"/>
                <w:szCs w:val="20"/>
                <w:lang w:eastAsia="en-GB"/>
              </w:rPr>
            </w:pPr>
          </w:p>
        </w:tc>
      </w:tr>
      <w:tr w:rsidR="00AB585C" w14:paraId="5BC93730" w14:textId="77777777">
        <w:trPr>
          <w:trHeight w:val="283"/>
        </w:trPr>
        <w:tc>
          <w:tcPr>
            <w:tcW w:w="7105" w:type="dxa"/>
            <w:shd w:val="clear" w:color="auto" w:fill="auto"/>
            <w:vAlign w:val="center"/>
            <w:hideMark/>
          </w:tcPr>
          <w:p w14:paraId="1FE18C18" w14:textId="77777777" w:rsidR="00AB585C" w:rsidRDefault="003855FE">
            <w:pPr>
              <w:spacing w:line="240" w:lineRule="auto"/>
              <w:jc w:val="left"/>
              <w:rPr>
                <w:rFonts w:ascii="Tahoma" w:eastAsia="Times New Roman" w:hAnsi="Tahoma" w:cs="Tahoma"/>
                <w:i/>
                <w:iCs/>
                <w:sz w:val="20"/>
                <w:szCs w:val="20"/>
                <w:lang w:eastAsia="en-GB"/>
              </w:rPr>
            </w:pPr>
            <w:r>
              <w:rPr>
                <w:rFonts w:ascii="Tahoma" w:eastAsia="Times New Roman" w:hAnsi="Tahoma" w:cs="Tahoma"/>
                <w:i/>
                <w:iCs/>
                <w:sz w:val="20"/>
                <w:szCs w:val="20"/>
                <w:lang w:eastAsia="en-GB"/>
              </w:rPr>
              <w:t xml:space="preserve">If model: </w:t>
            </w:r>
            <w:r>
              <w:rPr>
                <w:rFonts w:ascii="Tahoma" w:eastAsia="Times New Roman" w:hAnsi="Tahoma" w:cs="Tahoma"/>
                <w:sz w:val="20"/>
                <w:szCs w:val="20"/>
                <w:lang w:eastAsia="en-GB"/>
              </w:rPr>
              <w:t xml:space="preserve">exploration of structural uncertainty </w:t>
            </w:r>
          </w:p>
        </w:tc>
        <w:tc>
          <w:tcPr>
            <w:tcW w:w="2046" w:type="dxa"/>
          </w:tcPr>
          <w:p w14:paraId="2AC82892" w14:textId="77777777" w:rsidR="00AB585C" w:rsidRDefault="00AB585C">
            <w:pPr>
              <w:spacing w:line="240" w:lineRule="auto"/>
              <w:jc w:val="left"/>
              <w:rPr>
                <w:rFonts w:ascii="Tahoma" w:eastAsia="Times New Roman" w:hAnsi="Tahoma" w:cs="Tahoma"/>
                <w:i/>
                <w:iCs/>
                <w:sz w:val="20"/>
                <w:szCs w:val="20"/>
                <w:lang w:eastAsia="en-GB"/>
              </w:rPr>
            </w:pPr>
          </w:p>
        </w:tc>
      </w:tr>
      <w:tr w:rsidR="00AB585C" w14:paraId="064D725E" w14:textId="77777777">
        <w:trPr>
          <w:trHeight w:val="283"/>
        </w:trPr>
        <w:tc>
          <w:tcPr>
            <w:tcW w:w="7105" w:type="dxa"/>
            <w:shd w:val="clear" w:color="auto" w:fill="auto"/>
            <w:vAlign w:val="center"/>
            <w:hideMark/>
          </w:tcPr>
          <w:p w14:paraId="51571796" w14:textId="77777777" w:rsidR="00AB585C" w:rsidRDefault="003855FE">
            <w:pPr>
              <w:spacing w:line="240" w:lineRule="auto"/>
              <w:jc w:val="left"/>
              <w:rPr>
                <w:rFonts w:ascii="Tahoma" w:eastAsia="Times New Roman" w:hAnsi="Tahoma" w:cs="Tahoma"/>
                <w:i/>
                <w:iCs/>
                <w:sz w:val="20"/>
                <w:szCs w:val="20"/>
                <w:lang w:eastAsia="en-GB"/>
              </w:rPr>
            </w:pPr>
            <w:r>
              <w:rPr>
                <w:rFonts w:ascii="Tahoma" w:eastAsia="Times New Roman" w:hAnsi="Tahoma" w:cs="Tahoma"/>
                <w:i/>
                <w:iCs/>
                <w:sz w:val="20"/>
                <w:szCs w:val="20"/>
                <w:lang w:eastAsia="en-GB"/>
              </w:rPr>
              <w:t xml:space="preserve">All studies: </w:t>
            </w:r>
            <w:r>
              <w:rPr>
                <w:rFonts w:ascii="Tahoma" w:eastAsia="Times New Roman" w:hAnsi="Tahoma" w:cs="Tahoma"/>
                <w:sz w:val="20"/>
                <w:szCs w:val="20"/>
                <w:lang w:eastAsia="en-GB"/>
              </w:rPr>
              <w:t>exploration of alternative subgroups / settings</w:t>
            </w:r>
          </w:p>
        </w:tc>
        <w:tc>
          <w:tcPr>
            <w:tcW w:w="2046" w:type="dxa"/>
          </w:tcPr>
          <w:p w14:paraId="1530A598" w14:textId="77777777" w:rsidR="00AB585C" w:rsidRDefault="00AB585C">
            <w:pPr>
              <w:spacing w:line="240" w:lineRule="auto"/>
              <w:jc w:val="left"/>
              <w:rPr>
                <w:rFonts w:ascii="Tahoma" w:eastAsia="Times New Roman" w:hAnsi="Tahoma" w:cs="Tahoma"/>
                <w:i/>
                <w:iCs/>
                <w:sz w:val="20"/>
                <w:szCs w:val="20"/>
                <w:lang w:eastAsia="en-GB"/>
              </w:rPr>
            </w:pPr>
          </w:p>
        </w:tc>
      </w:tr>
      <w:tr w:rsidR="00AB585C" w14:paraId="33114820" w14:textId="77777777">
        <w:trPr>
          <w:trHeight w:val="283"/>
        </w:trPr>
        <w:tc>
          <w:tcPr>
            <w:tcW w:w="7105" w:type="dxa"/>
            <w:shd w:val="clear" w:color="auto" w:fill="auto"/>
            <w:vAlign w:val="center"/>
            <w:hideMark/>
          </w:tcPr>
          <w:p w14:paraId="642931D3"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Estimated benefits</w:t>
            </w:r>
          </w:p>
        </w:tc>
        <w:tc>
          <w:tcPr>
            <w:tcW w:w="2046" w:type="dxa"/>
          </w:tcPr>
          <w:p w14:paraId="1B6955E7"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4693FA60" w14:textId="77777777">
        <w:trPr>
          <w:trHeight w:val="283"/>
        </w:trPr>
        <w:tc>
          <w:tcPr>
            <w:tcW w:w="7105" w:type="dxa"/>
            <w:shd w:val="clear" w:color="auto" w:fill="auto"/>
            <w:vAlign w:val="center"/>
            <w:hideMark/>
          </w:tcPr>
          <w:p w14:paraId="3908B8DC"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Total benefit: intervention arm(s)</w:t>
            </w:r>
          </w:p>
        </w:tc>
        <w:tc>
          <w:tcPr>
            <w:tcW w:w="2046" w:type="dxa"/>
          </w:tcPr>
          <w:p w14:paraId="1EA8A378" w14:textId="77777777" w:rsidR="00AB585C" w:rsidRDefault="00AB585C">
            <w:pPr>
              <w:spacing w:line="240" w:lineRule="auto"/>
              <w:jc w:val="left"/>
              <w:rPr>
                <w:rFonts w:ascii="Tahoma" w:eastAsia="Times New Roman" w:hAnsi="Tahoma" w:cs="Tahoma"/>
                <w:sz w:val="20"/>
                <w:szCs w:val="20"/>
                <w:lang w:eastAsia="en-GB"/>
              </w:rPr>
            </w:pPr>
          </w:p>
        </w:tc>
      </w:tr>
      <w:tr w:rsidR="00AB585C" w14:paraId="396DB0E7" w14:textId="77777777">
        <w:trPr>
          <w:trHeight w:val="283"/>
        </w:trPr>
        <w:tc>
          <w:tcPr>
            <w:tcW w:w="7105" w:type="dxa"/>
            <w:shd w:val="clear" w:color="auto" w:fill="auto"/>
            <w:vAlign w:val="center"/>
            <w:hideMark/>
          </w:tcPr>
          <w:p w14:paraId="35F90F2A"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Total benefit: comparator arm(s)</w:t>
            </w:r>
          </w:p>
        </w:tc>
        <w:tc>
          <w:tcPr>
            <w:tcW w:w="2046" w:type="dxa"/>
          </w:tcPr>
          <w:p w14:paraId="2EC79361" w14:textId="77777777" w:rsidR="00AB585C" w:rsidRDefault="00AB585C">
            <w:pPr>
              <w:spacing w:line="240" w:lineRule="auto"/>
              <w:jc w:val="left"/>
              <w:rPr>
                <w:rFonts w:ascii="Tahoma" w:eastAsia="Times New Roman" w:hAnsi="Tahoma" w:cs="Tahoma"/>
                <w:sz w:val="20"/>
                <w:szCs w:val="20"/>
                <w:lang w:eastAsia="en-GB"/>
              </w:rPr>
            </w:pPr>
          </w:p>
        </w:tc>
      </w:tr>
      <w:tr w:rsidR="00AB585C" w14:paraId="658489DC" w14:textId="77777777">
        <w:trPr>
          <w:trHeight w:val="283"/>
        </w:trPr>
        <w:tc>
          <w:tcPr>
            <w:tcW w:w="7105" w:type="dxa"/>
            <w:shd w:val="clear" w:color="auto" w:fill="auto"/>
            <w:vAlign w:val="center"/>
            <w:hideMark/>
          </w:tcPr>
          <w:p w14:paraId="40285E64"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Net (incremental) benefit</w:t>
            </w:r>
          </w:p>
        </w:tc>
        <w:tc>
          <w:tcPr>
            <w:tcW w:w="2046" w:type="dxa"/>
          </w:tcPr>
          <w:p w14:paraId="67B9FF50" w14:textId="77777777" w:rsidR="00AB585C" w:rsidRDefault="00AB585C">
            <w:pPr>
              <w:spacing w:line="240" w:lineRule="auto"/>
              <w:jc w:val="left"/>
              <w:rPr>
                <w:rFonts w:ascii="Tahoma" w:eastAsia="Times New Roman" w:hAnsi="Tahoma" w:cs="Tahoma"/>
                <w:sz w:val="20"/>
                <w:szCs w:val="20"/>
                <w:lang w:eastAsia="en-GB"/>
              </w:rPr>
            </w:pPr>
          </w:p>
        </w:tc>
      </w:tr>
      <w:tr w:rsidR="00AB585C" w14:paraId="5CE3D04D" w14:textId="77777777">
        <w:trPr>
          <w:trHeight w:val="283"/>
        </w:trPr>
        <w:tc>
          <w:tcPr>
            <w:tcW w:w="7105" w:type="dxa"/>
            <w:shd w:val="clear" w:color="auto" w:fill="auto"/>
            <w:vAlign w:val="center"/>
            <w:hideMark/>
          </w:tcPr>
          <w:p w14:paraId="28A9A90C"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Estimated costs</w:t>
            </w:r>
          </w:p>
        </w:tc>
        <w:tc>
          <w:tcPr>
            <w:tcW w:w="2046" w:type="dxa"/>
          </w:tcPr>
          <w:p w14:paraId="0FC6E8F6"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0A1580B5" w14:textId="77777777">
        <w:trPr>
          <w:trHeight w:val="283"/>
        </w:trPr>
        <w:tc>
          <w:tcPr>
            <w:tcW w:w="7105" w:type="dxa"/>
            <w:shd w:val="clear" w:color="auto" w:fill="auto"/>
            <w:vAlign w:val="center"/>
            <w:hideMark/>
          </w:tcPr>
          <w:p w14:paraId="2ABAF6E3"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Total cost: intervention arm(s)</w:t>
            </w:r>
          </w:p>
        </w:tc>
        <w:tc>
          <w:tcPr>
            <w:tcW w:w="2046" w:type="dxa"/>
          </w:tcPr>
          <w:p w14:paraId="619E1EEE" w14:textId="77777777" w:rsidR="00AB585C" w:rsidRDefault="00AB585C">
            <w:pPr>
              <w:spacing w:line="240" w:lineRule="auto"/>
              <w:jc w:val="left"/>
              <w:rPr>
                <w:rFonts w:ascii="Tahoma" w:eastAsia="Times New Roman" w:hAnsi="Tahoma" w:cs="Tahoma"/>
                <w:sz w:val="20"/>
                <w:szCs w:val="20"/>
                <w:lang w:eastAsia="en-GB"/>
              </w:rPr>
            </w:pPr>
          </w:p>
        </w:tc>
      </w:tr>
      <w:tr w:rsidR="00AB585C" w14:paraId="573D23BB" w14:textId="77777777">
        <w:trPr>
          <w:trHeight w:val="283"/>
        </w:trPr>
        <w:tc>
          <w:tcPr>
            <w:tcW w:w="7105" w:type="dxa"/>
            <w:shd w:val="clear" w:color="auto" w:fill="auto"/>
            <w:vAlign w:val="center"/>
            <w:hideMark/>
          </w:tcPr>
          <w:p w14:paraId="75F756F9"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Total cost: comparator arm(s)</w:t>
            </w:r>
          </w:p>
        </w:tc>
        <w:tc>
          <w:tcPr>
            <w:tcW w:w="2046" w:type="dxa"/>
          </w:tcPr>
          <w:p w14:paraId="2CD089A4" w14:textId="77777777" w:rsidR="00AB585C" w:rsidRDefault="00AB585C">
            <w:pPr>
              <w:spacing w:line="240" w:lineRule="auto"/>
              <w:jc w:val="left"/>
              <w:rPr>
                <w:rFonts w:ascii="Tahoma" w:eastAsia="Times New Roman" w:hAnsi="Tahoma" w:cs="Tahoma"/>
                <w:sz w:val="20"/>
                <w:szCs w:val="20"/>
                <w:lang w:eastAsia="en-GB"/>
              </w:rPr>
            </w:pPr>
          </w:p>
        </w:tc>
      </w:tr>
      <w:tr w:rsidR="00AB585C" w14:paraId="658667F2" w14:textId="77777777">
        <w:trPr>
          <w:trHeight w:val="283"/>
        </w:trPr>
        <w:tc>
          <w:tcPr>
            <w:tcW w:w="7105" w:type="dxa"/>
            <w:shd w:val="clear" w:color="auto" w:fill="auto"/>
            <w:vAlign w:val="center"/>
            <w:hideMark/>
          </w:tcPr>
          <w:p w14:paraId="5F909DE4"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Net (incremental) cost (intervention versus comparator)</w:t>
            </w:r>
          </w:p>
        </w:tc>
        <w:tc>
          <w:tcPr>
            <w:tcW w:w="2046" w:type="dxa"/>
          </w:tcPr>
          <w:p w14:paraId="4A060F51" w14:textId="77777777" w:rsidR="00AB585C" w:rsidRDefault="00AB585C">
            <w:pPr>
              <w:spacing w:line="240" w:lineRule="auto"/>
              <w:jc w:val="left"/>
              <w:rPr>
                <w:rFonts w:ascii="Tahoma" w:eastAsia="Times New Roman" w:hAnsi="Tahoma" w:cs="Tahoma"/>
                <w:sz w:val="20"/>
                <w:szCs w:val="20"/>
                <w:lang w:eastAsia="en-GB"/>
              </w:rPr>
            </w:pPr>
          </w:p>
        </w:tc>
      </w:tr>
      <w:tr w:rsidR="00AB585C" w14:paraId="2377C693" w14:textId="77777777">
        <w:trPr>
          <w:trHeight w:val="283"/>
        </w:trPr>
        <w:tc>
          <w:tcPr>
            <w:tcW w:w="7105" w:type="dxa"/>
            <w:shd w:val="clear" w:color="auto" w:fill="auto"/>
            <w:vAlign w:val="center"/>
            <w:hideMark/>
          </w:tcPr>
          <w:p w14:paraId="704EA0BA"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Synthesis of benefits &amp; costs, and conclusions</w:t>
            </w:r>
          </w:p>
        </w:tc>
        <w:tc>
          <w:tcPr>
            <w:tcW w:w="2046" w:type="dxa"/>
          </w:tcPr>
          <w:p w14:paraId="1378FC67"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7D188E25" w14:textId="77777777">
        <w:trPr>
          <w:trHeight w:val="283"/>
        </w:trPr>
        <w:tc>
          <w:tcPr>
            <w:tcW w:w="7105" w:type="dxa"/>
            <w:shd w:val="clear" w:color="auto" w:fill="auto"/>
            <w:vAlign w:val="center"/>
            <w:hideMark/>
          </w:tcPr>
          <w:p w14:paraId="4509AFFF"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Synthesis of benefits and costs conducted (e.g. ICER)</w:t>
            </w:r>
          </w:p>
        </w:tc>
        <w:tc>
          <w:tcPr>
            <w:tcW w:w="2046" w:type="dxa"/>
          </w:tcPr>
          <w:p w14:paraId="1FB1A520" w14:textId="77777777" w:rsidR="00AB585C" w:rsidRDefault="00AB585C">
            <w:pPr>
              <w:spacing w:line="240" w:lineRule="auto"/>
              <w:jc w:val="left"/>
              <w:rPr>
                <w:rFonts w:ascii="Tahoma" w:eastAsia="Times New Roman" w:hAnsi="Tahoma" w:cs="Tahoma"/>
                <w:sz w:val="20"/>
                <w:szCs w:val="20"/>
                <w:lang w:eastAsia="en-GB"/>
              </w:rPr>
            </w:pPr>
          </w:p>
        </w:tc>
      </w:tr>
      <w:tr w:rsidR="00AB585C" w14:paraId="27363D4A" w14:textId="77777777">
        <w:trPr>
          <w:trHeight w:val="283"/>
        </w:trPr>
        <w:tc>
          <w:tcPr>
            <w:tcW w:w="7105" w:type="dxa"/>
            <w:shd w:val="clear" w:color="auto" w:fill="auto"/>
            <w:vAlign w:val="center"/>
            <w:hideMark/>
          </w:tcPr>
          <w:p w14:paraId="32121342"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ICER</w:t>
            </w:r>
            <w:r w:rsidR="00AB7385">
              <w:rPr>
                <w:rFonts w:ascii="Tahoma" w:eastAsia="Times New Roman" w:hAnsi="Tahoma" w:cs="Tahoma"/>
                <w:sz w:val="20"/>
                <w:szCs w:val="20"/>
                <w:lang w:eastAsia="en-GB"/>
              </w:rPr>
              <w:t xml:space="preserve"> value</w:t>
            </w:r>
          </w:p>
        </w:tc>
        <w:tc>
          <w:tcPr>
            <w:tcW w:w="2046" w:type="dxa"/>
          </w:tcPr>
          <w:p w14:paraId="7A79A184" w14:textId="77777777" w:rsidR="00AB585C" w:rsidRDefault="00AB585C">
            <w:pPr>
              <w:spacing w:line="240" w:lineRule="auto"/>
              <w:jc w:val="left"/>
              <w:rPr>
                <w:rFonts w:ascii="Tahoma" w:eastAsia="Times New Roman" w:hAnsi="Tahoma" w:cs="Tahoma"/>
                <w:sz w:val="20"/>
                <w:szCs w:val="20"/>
                <w:lang w:eastAsia="en-GB"/>
              </w:rPr>
            </w:pPr>
          </w:p>
        </w:tc>
      </w:tr>
      <w:tr w:rsidR="00AB585C" w14:paraId="627BC3DF" w14:textId="77777777">
        <w:trPr>
          <w:trHeight w:val="283"/>
        </w:trPr>
        <w:tc>
          <w:tcPr>
            <w:tcW w:w="7105" w:type="dxa"/>
            <w:shd w:val="clear" w:color="auto" w:fill="auto"/>
            <w:vAlign w:val="center"/>
            <w:hideMark/>
          </w:tcPr>
          <w:p w14:paraId="66DA0EEE"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Probability cost-effective</w:t>
            </w:r>
          </w:p>
        </w:tc>
        <w:tc>
          <w:tcPr>
            <w:tcW w:w="2046" w:type="dxa"/>
          </w:tcPr>
          <w:p w14:paraId="567BB280" w14:textId="77777777" w:rsidR="00AB585C" w:rsidRDefault="00AB585C">
            <w:pPr>
              <w:spacing w:line="240" w:lineRule="auto"/>
              <w:jc w:val="left"/>
              <w:rPr>
                <w:rFonts w:ascii="Tahoma" w:eastAsia="Times New Roman" w:hAnsi="Tahoma" w:cs="Tahoma"/>
                <w:sz w:val="20"/>
                <w:szCs w:val="20"/>
                <w:lang w:eastAsia="en-GB"/>
              </w:rPr>
            </w:pPr>
          </w:p>
        </w:tc>
      </w:tr>
      <w:tr w:rsidR="00AB585C" w14:paraId="7B61FEBE" w14:textId="77777777">
        <w:trPr>
          <w:trHeight w:val="283"/>
        </w:trPr>
        <w:tc>
          <w:tcPr>
            <w:tcW w:w="7105" w:type="dxa"/>
            <w:shd w:val="clear" w:color="auto" w:fill="auto"/>
            <w:vAlign w:val="center"/>
            <w:hideMark/>
          </w:tcPr>
          <w:p w14:paraId="41162704"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Important differences in results for subgroups or sensitivity analyses</w:t>
            </w:r>
          </w:p>
        </w:tc>
        <w:tc>
          <w:tcPr>
            <w:tcW w:w="2046" w:type="dxa"/>
          </w:tcPr>
          <w:p w14:paraId="09E3989A" w14:textId="77777777" w:rsidR="00AB585C" w:rsidRDefault="00AB585C">
            <w:pPr>
              <w:spacing w:line="240" w:lineRule="auto"/>
              <w:jc w:val="left"/>
              <w:rPr>
                <w:rFonts w:ascii="Tahoma" w:eastAsia="Times New Roman" w:hAnsi="Tahoma" w:cs="Tahoma"/>
                <w:sz w:val="20"/>
                <w:szCs w:val="20"/>
                <w:lang w:eastAsia="en-GB"/>
              </w:rPr>
            </w:pPr>
          </w:p>
        </w:tc>
      </w:tr>
      <w:tr w:rsidR="00AB585C" w14:paraId="46FBA6D5" w14:textId="77777777">
        <w:trPr>
          <w:trHeight w:val="283"/>
        </w:trPr>
        <w:tc>
          <w:tcPr>
            <w:tcW w:w="7105" w:type="dxa"/>
            <w:shd w:val="clear" w:color="auto" w:fill="auto"/>
            <w:vAlign w:val="center"/>
            <w:hideMark/>
          </w:tcPr>
          <w:p w14:paraId="7976C511"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Summary of authors' conclusions</w:t>
            </w:r>
          </w:p>
        </w:tc>
        <w:tc>
          <w:tcPr>
            <w:tcW w:w="2046" w:type="dxa"/>
          </w:tcPr>
          <w:p w14:paraId="5C731BBA" w14:textId="77777777" w:rsidR="00AB585C" w:rsidRDefault="00AB585C">
            <w:pPr>
              <w:spacing w:line="240" w:lineRule="auto"/>
              <w:jc w:val="left"/>
              <w:rPr>
                <w:rFonts w:ascii="Tahoma" w:eastAsia="Times New Roman" w:hAnsi="Tahoma" w:cs="Tahoma"/>
                <w:sz w:val="20"/>
                <w:szCs w:val="20"/>
                <w:lang w:eastAsia="en-GB"/>
              </w:rPr>
            </w:pPr>
          </w:p>
        </w:tc>
      </w:tr>
      <w:tr w:rsidR="00AB585C" w14:paraId="513B1FF9" w14:textId="77777777">
        <w:trPr>
          <w:trHeight w:val="283"/>
        </w:trPr>
        <w:tc>
          <w:tcPr>
            <w:tcW w:w="7105" w:type="dxa"/>
            <w:shd w:val="clear" w:color="auto" w:fill="auto"/>
            <w:vAlign w:val="center"/>
            <w:hideMark/>
          </w:tcPr>
          <w:p w14:paraId="3F3C014F"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Critical review</w:t>
            </w:r>
          </w:p>
        </w:tc>
        <w:tc>
          <w:tcPr>
            <w:tcW w:w="2046" w:type="dxa"/>
          </w:tcPr>
          <w:p w14:paraId="7C0B1BEC"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133B3CFE" w14:textId="77777777">
        <w:trPr>
          <w:trHeight w:val="283"/>
        </w:trPr>
        <w:tc>
          <w:tcPr>
            <w:tcW w:w="7105" w:type="dxa"/>
            <w:shd w:val="clear" w:color="auto" w:fill="auto"/>
            <w:vAlign w:val="center"/>
            <w:hideMark/>
          </w:tcPr>
          <w:p w14:paraId="64467B61"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Is the choice of comparator suitably justified?</w:t>
            </w:r>
          </w:p>
        </w:tc>
        <w:tc>
          <w:tcPr>
            <w:tcW w:w="2046" w:type="dxa"/>
          </w:tcPr>
          <w:p w14:paraId="7EF835F7" w14:textId="77777777" w:rsidR="00AB585C" w:rsidRDefault="00AB585C">
            <w:pPr>
              <w:spacing w:line="240" w:lineRule="auto"/>
              <w:jc w:val="left"/>
              <w:rPr>
                <w:rFonts w:ascii="Tahoma" w:eastAsia="Times New Roman" w:hAnsi="Tahoma" w:cs="Tahoma"/>
                <w:sz w:val="20"/>
                <w:szCs w:val="20"/>
                <w:lang w:eastAsia="en-GB"/>
              </w:rPr>
            </w:pPr>
          </w:p>
        </w:tc>
      </w:tr>
      <w:tr w:rsidR="00AB585C" w14:paraId="19DA80AB" w14:textId="77777777">
        <w:trPr>
          <w:trHeight w:val="283"/>
        </w:trPr>
        <w:tc>
          <w:tcPr>
            <w:tcW w:w="7105" w:type="dxa"/>
            <w:shd w:val="clear" w:color="auto" w:fill="auto"/>
            <w:vAlign w:val="center"/>
            <w:hideMark/>
          </w:tcPr>
          <w:p w14:paraId="629FA447" w14:textId="77777777" w:rsidR="00AB585C" w:rsidRDefault="003855FE">
            <w:pPr>
              <w:spacing w:line="240" w:lineRule="auto"/>
              <w:jc w:val="left"/>
              <w:rPr>
                <w:rFonts w:ascii="Tahoma" w:eastAsia="Times New Roman" w:hAnsi="Tahoma" w:cs="Tahoma"/>
                <w:i/>
                <w:iCs/>
                <w:sz w:val="20"/>
                <w:szCs w:val="20"/>
                <w:lang w:eastAsia="en-GB"/>
              </w:rPr>
            </w:pPr>
            <w:r>
              <w:rPr>
                <w:rFonts w:ascii="Tahoma" w:eastAsia="Times New Roman" w:hAnsi="Tahoma" w:cs="Tahoma"/>
                <w:i/>
                <w:iCs/>
                <w:sz w:val="20"/>
                <w:szCs w:val="20"/>
                <w:lang w:eastAsia="en-GB"/>
              </w:rPr>
              <w:lastRenderedPageBreak/>
              <w:t xml:space="preserve">If model: </w:t>
            </w:r>
            <w:r>
              <w:rPr>
                <w:rFonts w:ascii="Tahoma" w:eastAsia="Times New Roman" w:hAnsi="Tahoma" w:cs="Tahoma"/>
                <w:sz w:val="20"/>
                <w:szCs w:val="20"/>
                <w:lang w:eastAsia="en-GB"/>
              </w:rPr>
              <w:t>was the model structure suitable?</w:t>
            </w:r>
          </w:p>
        </w:tc>
        <w:tc>
          <w:tcPr>
            <w:tcW w:w="2046" w:type="dxa"/>
          </w:tcPr>
          <w:p w14:paraId="216E26FD" w14:textId="77777777" w:rsidR="00AB585C" w:rsidRDefault="00AB585C">
            <w:pPr>
              <w:spacing w:line="240" w:lineRule="auto"/>
              <w:jc w:val="left"/>
              <w:rPr>
                <w:rFonts w:ascii="Tahoma" w:eastAsia="Times New Roman" w:hAnsi="Tahoma" w:cs="Tahoma"/>
                <w:i/>
                <w:iCs/>
                <w:sz w:val="20"/>
                <w:szCs w:val="20"/>
                <w:lang w:eastAsia="en-GB"/>
              </w:rPr>
            </w:pPr>
          </w:p>
        </w:tc>
      </w:tr>
      <w:tr w:rsidR="00AB585C" w14:paraId="4A98A632" w14:textId="77777777">
        <w:trPr>
          <w:trHeight w:val="283"/>
        </w:trPr>
        <w:tc>
          <w:tcPr>
            <w:tcW w:w="7105" w:type="dxa"/>
            <w:shd w:val="clear" w:color="auto" w:fill="auto"/>
            <w:vAlign w:val="center"/>
            <w:hideMark/>
          </w:tcPr>
          <w:p w14:paraId="6E86E1E8" w14:textId="77777777" w:rsidR="00AB585C" w:rsidRDefault="003855FE">
            <w:pPr>
              <w:spacing w:line="240" w:lineRule="auto"/>
              <w:jc w:val="left"/>
              <w:rPr>
                <w:rFonts w:ascii="Tahoma" w:eastAsia="Times New Roman" w:hAnsi="Tahoma" w:cs="Tahoma"/>
                <w:i/>
                <w:iCs/>
                <w:sz w:val="20"/>
                <w:szCs w:val="20"/>
                <w:lang w:eastAsia="en-GB"/>
              </w:rPr>
            </w:pPr>
            <w:r>
              <w:rPr>
                <w:rFonts w:ascii="Tahoma" w:eastAsia="Times New Roman" w:hAnsi="Tahoma" w:cs="Tahoma"/>
                <w:i/>
                <w:iCs/>
                <w:sz w:val="20"/>
                <w:szCs w:val="20"/>
                <w:lang w:eastAsia="en-GB"/>
              </w:rPr>
              <w:t xml:space="preserve">If model: </w:t>
            </w:r>
            <w:r>
              <w:rPr>
                <w:rFonts w:ascii="Tahoma" w:eastAsia="Times New Roman" w:hAnsi="Tahoma" w:cs="Tahoma"/>
                <w:sz w:val="20"/>
                <w:szCs w:val="20"/>
                <w:lang w:eastAsia="en-GB"/>
              </w:rPr>
              <w:t>was a model schematic presented?</w:t>
            </w:r>
          </w:p>
        </w:tc>
        <w:tc>
          <w:tcPr>
            <w:tcW w:w="2046" w:type="dxa"/>
          </w:tcPr>
          <w:p w14:paraId="47956D8D" w14:textId="77777777" w:rsidR="00AB585C" w:rsidRDefault="00AB585C">
            <w:pPr>
              <w:spacing w:line="240" w:lineRule="auto"/>
              <w:jc w:val="left"/>
              <w:rPr>
                <w:rFonts w:ascii="Tahoma" w:eastAsia="Times New Roman" w:hAnsi="Tahoma" w:cs="Tahoma"/>
                <w:i/>
                <w:iCs/>
                <w:sz w:val="20"/>
                <w:szCs w:val="20"/>
                <w:lang w:eastAsia="en-GB"/>
              </w:rPr>
            </w:pPr>
          </w:p>
        </w:tc>
      </w:tr>
      <w:tr w:rsidR="00AB585C" w14:paraId="662870FB" w14:textId="77777777">
        <w:trPr>
          <w:trHeight w:val="283"/>
        </w:trPr>
        <w:tc>
          <w:tcPr>
            <w:tcW w:w="7105" w:type="dxa"/>
            <w:shd w:val="clear" w:color="auto" w:fill="auto"/>
            <w:vAlign w:val="center"/>
            <w:hideMark/>
          </w:tcPr>
          <w:p w14:paraId="5D2C9C30" w14:textId="77777777" w:rsidR="00AB585C" w:rsidRDefault="003855FE">
            <w:pPr>
              <w:spacing w:line="240" w:lineRule="auto"/>
              <w:jc w:val="left"/>
              <w:rPr>
                <w:rFonts w:ascii="Tahoma" w:eastAsia="Times New Roman" w:hAnsi="Tahoma" w:cs="Tahoma"/>
                <w:i/>
                <w:iCs/>
                <w:sz w:val="20"/>
                <w:szCs w:val="20"/>
                <w:lang w:eastAsia="en-GB"/>
              </w:rPr>
            </w:pPr>
            <w:r>
              <w:rPr>
                <w:rFonts w:ascii="Tahoma" w:eastAsia="Times New Roman" w:hAnsi="Tahoma" w:cs="Tahoma"/>
                <w:i/>
                <w:iCs/>
                <w:sz w:val="20"/>
                <w:szCs w:val="20"/>
                <w:lang w:eastAsia="en-GB"/>
              </w:rPr>
              <w:t xml:space="preserve">If model: </w:t>
            </w:r>
            <w:r>
              <w:rPr>
                <w:rFonts w:ascii="Tahoma" w:eastAsia="Times New Roman" w:hAnsi="Tahoma" w:cs="Tahoma"/>
                <w:sz w:val="20"/>
                <w:szCs w:val="20"/>
                <w:lang w:eastAsia="en-GB"/>
              </w:rPr>
              <w:t>was the model adequately reported?</w:t>
            </w:r>
          </w:p>
        </w:tc>
        <w:tc>
          <w:tcPr>
            <w:tcW w:w="2046" w:type="dxa"/>
          </w:tcPr>
          <w:p w14:paraId="1370B6FB" w14:textId="77777777" w:rsidR="00AB585C" w:rsidRDefault="00AB585C">
            <w:pPr>
              <w:spacing w:line="240" w:lineRule="auto"/>
              <w:jc w:val="left"/>
              <w:rPr>
                <w:rFonts w:ascii="Tahoma" w:eastAsia="Times New Roman" w:hAnsi="Tahoma" w:cs="Tahoma"/>
                <w:i/>
                <w:iCs/>
                <w:sz w:val="20"/>
                <w:szCs w:val="20"/>
                <w:lang w:eastAsia="en-GB"/>
              </w:rPr>
            </w:pPr>
          </w:p>
        </w:tc>
      </w:tr>
      <w:tr w:rsidR="00AB585C" w14:paraId="72F4232F" w14:textId="77777777">
        <w:trPr>
          <w:trHeight w:val="283"/>
        </w:trPr>
        <w:tc>
          <w:tcPr>
            <w:tcW w:w="7105" w:type="dxa"/>
            <w:shd w:val="clear" w:color="auto" w:fill="auto"/>
            <w:vAlign w:val="center"/>
            <w:hideMark/>
          </w:tcPr>
          <w:p w14:paraId="3883370F" w14:textId="77777777" w:rsidR="00AB585C" w:rsidRDefault="003855FE" w:rsidP="00AB7385">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Validity of effectiveness data</w:t>
            </w:r>
            <w:r w:rsidR="00AB7385">
              <w:rPr>
                <w:rFonts w:ascii="Tahoma" w:eastAsia="Times New Roman" w:hAnsi="Tahoma" w:cs="Tahoma"/>
                <w:sz w:val="20"/>
                <w:szCs w:val="20"/>
                <w:lang w:eastAsia="en-GB"/>
              </w:rPr>
              <w:t>/estimated health benefit</w:t>
            </w:r>
          </w:p>
        </w:tc>
        <w:tc>
          <w:tcPr>
            <w:tcW w:w="2046" w:type="dxa"/>
          </w:tcPr>
          <w:p w14:paraId="1CE4072E" w14:textId="77777777" w:rsidR="00AB585C" w:rsidRDefault="00AB585C">
            <w:pPr>
              <w:spacing w:line="240" w:lineRule="auto"/>
              <w:jc w:val="left"/>
              <w:rPr>
                <w:rFonts w:ascii="Tahoma" w:eastAsia="Times New Roman" w:hAnsi="Tahoma" w:cs="Tahoma"/>
                <w:sz w:val="20"/>
                <w:szCs w:val="20"/>
                <w:lang w:eastAsia="en-GB"/>
              </w:rPr>
            </w:pPr>
          </w:p>
        </w:tc>
      </w:tr>
      <w:tr w:rsidR="00AB585C" w14:paraId="11052B48" w14:textId="77777777">
        <w:trPr>
          <w:trHeight w:val="283"/>
        </w:trPr>
        <w:tc>
          <w:tcPr>
            <w:tcW w:w="7105" w:type="dxa"/>
            <w:shd w:val="clear" w:color="auto" w:fill="auto"/>
            <w:vAlign w:val="center"/>
            <w:hideMark/>
          </w:tcPr>
          <w:p w14:paraId="1AF6BA1D"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Validity of estimated costs</w:t>
            </w:r>
          </w:p>
        </w:tc>
        <w:tc>
          <w:tcPr>
            <w:tcW w:w="2046" w:type="dxa"/>
          </w:tcPr>
          <w:p w14:paraId="064E9DB7" w14:textId="77777777" w:rsidR="00AB585C" w:rsidRDefault="00AB585C">
            <w:pPr>
              <w:spacing w:line="240" w:lineRule="auto"/>
              <w:jc w:val="left"/>
              <w:rPr>
                <w:rFonts w:ascii="Tahoma" w:eastAsia="Times New Roman" w:hAnsi="Tahoma" w:cs="Tahoma"/>
                <w:sz w:val="20"/>
                <w:szCs w:val="20"/>
                <w:lang w:eastAsia="en-GB"/>
              </w:rPr>
            </w:pPr>
          </w:p>
        </w:tc>
      </w:tr>
      <w:tr w:rsidR="00AB585C" w14:paraId="577326AC" w14:textId="77777777">
        <w:trPr>
          <w:trHeight w:val="283"/>
        </w:trPr>
        <w:tc>
          <w:tcPr>
            <w:tcW w:w="7105" w:type="dxa"/>
            <w:shd w:val="clear" w:color="auto" w:fill="auto"/>
            <w:vAlign w:val="center"/>
            <w:hideMark/>
          </w:tcPr>
          <w:p w14:paraId="0E5A2CAC"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Do the authors discuss the generalisability of their findings?</w:t>
            </w:r>
          </w:p>
        </w:tc>
        <w:tc>
          <w:tcPr>
            <w:tcW w:w="2046" w:type="dxa"/>
          </w:tcPr>
          <w:p w14:paraId="347068D9" w14:textId="77777777" w:rsidR="00AB585C" w:rsidRDefault="00AB585C">
            <w:pPr>
              <w:spacing w:line="240" w:lineRule="auto"/>
              <w:jc w:val="left"/>
              <w:rPr>
                <w:rFonts w:ascii="Tahoma" w:eastAsia="Times New Roman" w:hAnsi="Tahoma" w:cs="Tahoma"/>
                <w:sz w:val="20"/>
                <w:szCs w:val="20"/>
                <w:lang w:eastAsia="en-GB"/>
              </w:rPr>
            </w:pPr>
          </w:p>
        </w:tc>
      </w:tr>
      <w:tr w:rsidR="00AB585C" w14:paraId="71675D08" w14:textId="77777777">
        <w:trPr>
          <w:trHeight w:val="283"/>
        </w:trPr>
        <w:tc>
          <w:tcPr>
            <w:tcW w:w="7105" w:type="dxa"/>
            <w:shd w:val="clear" w:color="auto" w:fill="auto"/>
            <w:vAlign w:val="center"/>
            <w:hideMark/>
          </w:tcPr>
          <w:p w14:paraId="779F6627"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Do the authors compare their findings to previous studies?</w:t>
            </w:r>
          </w:p>
        </w:tc>
        <w:tc>
          <w:tcPr>
            <w:tcW w:w="2046" w:type="dxa"/>
          </w:tcPr>
          <w:p w14:paraId="391EE5EC" w14:textId="77777777" w:rsidR="00AB585C" w:rsidRDefault="00AB585C">
            <w:pPr>
              <w:spacing w:line="240" w:lineRule="auto"/>
              <w:jc w:val="left"/>
              <w:rPr>
                <w:rFonts w:ascii="Tahoma" w:eastAsia="Times New Roman" w:hAnsi="Tahoma" w:cs="Tahoma"/>
                <w:sz w:val="20"/>
                <w:szCs w:val="20"/>
                <w:lang w:eastAsia="en-GB"/>
              </w:rPr>
            </w:pPr>
          </w:p>
        </w:tc>
      </w:tr>
      <w:tr w:rsidR="00AB585C" w14:paraId="7025DF3E" w14:textId="77777777">
        <w:trPr>
          <w:trHeight w:val="283"/>
        </w:trPr>
        <w:tc>
          <w:tcPr>
            <w:tcW w:w="7105" w:type="dxa"/>
            <w:shd w:val="clear" w:color="auto" w:fill="auto"/>
            <w:vAlign w:val="center"/>
            <w:hideMark/>
          </w:tcPr>
          <w:p w14:paraId="2568F4FE"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Are the authors' conclusions justified?</w:t>
            </w:r>
          </w:p>
        </w:tc>
        <w:tc>
          <w:tcPr>
            <w:tcW w:w="2046" w:type="dxa"/>
          </w:tcPr>
          <w:p w14:paraId="468B7C21" w14:textId="77777777" w:rsidR="00AB585C" w:rsidRDefault="00AB585C">
            <w:pPr>
              <w:spacing w:line="240" w:lineRule="auto"/>
              <w:jc w:val="left"/>
              <w:rPr>
                <w:rFonts w:ascii="Tahoma" w:eastAsia="Times New Roman" w:hAnsi="Tahoma" w:cs="Tahoma"/>
                <w:sz w:val="20"/>
                <w:szCs w:val="20"/>
                <w:lang w:eastAsia="en-GB"/>
              </w:rPr>
            </w:pPr>
          </w:p>
        </w:tc>
      </w:tr>
      <w:tr w:rsidR="00AB585C" w14:paraId="31C9F6C3" w14:textId="77777777">
        <w:trPr>
          <w:trHeight w:val="283"/>
        </w:trPr>
        <w:tc>
          <w:tcPr>
            <w:tcW w:w="7105" w:type="dxa"/>
            <w:shd w:val="clear" w:color="auto" w:fill="auto"/>
            <w:vAlign w:val="center"/>
            <w:hideMark/>
          </w:tcPr>
          <w:p w14:paraId="77F244E2" w14:textId="77777777" w:rsidR="00AB585C" w:rsidRDefault="003855FE">
            <w:pPr>
              <w:spacing w:line="240" w:lineRule="auto"/>
              <w:jc w:val="left"/>
              <w:rPr>
                <w:rFonts w:ascii="Tahoma" w:eastAsia="Times New Roman" w:hAnsi="Tahoma" w:cs="Tahoma"/>
                <w:b/>
                <w:bCs/>
                <w:sz w:val="20"/>
                <w:szCs w:val="20"/>
                <w:lang w:eastAsia="en-GB"/>
              </w:rPr>
            </w:pPr>
            <w:r>
              <w:rPr>
                <w:rFonts w:ascii="Tahoma" w:eastAsia="Times New Roman" w:hAnsi="Tahoma" w:cs="Tahoma"/>
                <w:b/>
                <w:bCs/>
                <w:sz w:val="20"/>
                <w:szCs w:val="20"/>
                <w:lang w:eastAsia="en-GB"/>
              </w:rPr>
              <w:t>Implications</w:t>
            </w:r>
          </w:p>
        </w:tc>
        <w:tc>
          <w:tcPr>
            <w:tcW w:w="2046" w:type="dxa"/>
          </w:tcPr>
          <w:p w14:paraId="24497994" w14:textId="77777777" w:rsidR="00AB585C" w:rsidRDefault="00AB585C">
            <w:pPr>
              <w:spacing w:line="240" w:lineRule="auto"/>
              <w:jc w:val="left"/>
              <w:rPr>
                <w:rFonts w:ascii="Tahoma" w:eastAsia="Times New Roman" w:hAnsi="Tahoma" w:cs="Tahoma"/>
                <w:b/>
                <w:bCs/>
                <w:sz w:val="20"/>
                <w:szCs w:val="20"/>
                <w:lang w:eastAsia="en-GB"/>
              </w:rPr>
            </w:pPr>
          </w:p>
        </w:tc>
      </w:tr>
      <w:tr w:rsidR="00AB585C" w14:paraId="12F8D2D1" w14:textId="77777777">
        <w:trPr>
          <w:trHeight w:val="283"/>
        </w:trPr>
        <w:tc>
          <w:tcPr>
            <w:tcW w:w="7105" w:type="dxa"/>
            <w:shd w:val="clear" w:color="auto" w:fill="auto"/>
            <w:vAlign w:val="center"/>
            <w:hideMark/>
          </w:tcPr>
          <w:p w14:paraId="2C0C6212"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Do the authors describe policy implications of their findings? Are they appropriate?</w:t>
            </w:r>
          </w:p>
        </w:tc>
        <w:tc>
          <w:tcPr>
            <w:tcW w:w="2046" w:type="dxa"/>
          </w:tcPr>
          <w:p w14:paraId="721B0E19" w14:textId="77777777" w:rsidR="00AB585C" w:rsidRDefault="00AB585C">
            <w:pPr>
              <w:spacing w:line="240" w:lineRule="auto"/>
              <w:jc w:val="left"/>
              <w:rPr>
                <w:rFonts w:ascii="Tahoma" w:eastAsia="Times New Roman" w:hAnsi="Tahoma" w:cs="Tahoma"/>
                <w:sz w:val="20"/>
                <w:szCs w:val="20"/>
                <w:lang w:eastAsia="en-GB"/>
              </w:rPr>
            </w:pPr>
          </w:p>
        </w:tc>
      </w:tr>
    </w:tbl>
    <w:p w14:paraId="6EBC479B" w14:textId="77777777" w:rsidR="00AB585C" w:rsidRDefault="00AB585C">
      <w:pPr>
        <w:rPr>
          <w:rFonts w:ascii="Tahoma" w:hAnsi="Tahoma" w:cs="Tahoma"/>
          <w:b/>
        </w:rPr>
      </w:pPr>
    </w:p>
    <w:p w14:paraId="4814018A" w14:textId="77777777" w:rsidR="00AB585C" w:rsidRDefault="00AB585C">
      <w:pPr>
        <w:rPr>
          <w:rFonts w:ascii="Tahoma" w:hAnsi="Tahoma" w:cs="Tahoma"/>
          <w:b/>
        </w:rPr>
      </w:pPr>
    </w:p>
    <w:p w14:paraId="428BEB44" w14:textId="77777777" w:rsidR="00AB585C" w:rsidRDefault="00AB585C">
      <w:pPr>
        <w:rPr>
          <w:rFonts w:ascii="Tahoma" w:hAnsi="Tahoma" w:cs="Tahoma"/>
          <w:b/>
        </w:rPr>
        <w:sectPr w:rsidR="00AB585C">
          <w:pgSz w:w="11906" w:h="16838"/>
          <w:pgMar w:top="1440" w:right="1440" w:bottom="1440" w:left="1440" w:header="708" w:footer="708" w:gutter="0"/>
          <w:cols w:space="708"/>
          <w:docGrid w:linePitch="360"/>
        </w:sectPr>
      </w:pPr>
    </w:p>
    <w:p w14:paraId="0CCD6B45" w14:textId="2A448BB4" w:rsidR="00AB585C" w:rsidRDefault="003855FE">
      <w:pPr>
        <w:rPr>
          <w:rFonts w:ascii="Tahoma" w:hAnsi="Tahoma" w:cs="Tahoma"/>
        </w:rPr>
      </w:pPr>
      <w:r>
        <w:rPr>
          <w:rFonts w:ascii="Tahoma" w:hAnsi="Tahoma" w:cs="Tahoma"/>
          <w:b/>
        </w:rPr>
        <w:lastRenderedPageBreak/>
        <w:t xml:space="preserve">Table </w:t>
      </w:r>
      <w:proofErr w:type="spellStart"/>
      <w:r>
        <w:rPr>
          <w:rFonts w:ascii="Tahoma" w:hAnsi="Tahoma" w:cs="Tahoma"/>
          <w:b/>
        </w:rPr>
        <w:t>S</w:t>
      </w:r>
      <w:r w:rsidR="00907ED5">
        <w:rPr>
          <w:rFonts w:ascii="Tahoma" w:hAnsi="Tahoma" w:cs="Tahoma"/>
          <w:b/>
        </w:rPr>
        <w:t>4</w:t>
      </w:r>
      <w:proofErr w:type="spellEnd"/>
      <w:r>
        <w:rPr>
          <w:rFonts w:ascii="Tahoma" w:hAnsi="Tahoma" w:cs="Tahoma"/>
        </w:rPr>
        <w:t xml:space="preserve"> - Currency conversion and inflation rates applied</w:t>
      </w:r>
    </w:p>
    <w:tbl>
      <w:tblPr>
        <w:tblW w:w="13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1543"/>
        <w:gridCol w:w="1576"/>
        <w:gridCol w:w="1417"/>
        <w:gridCol w:w="1276"/>
        <w:gridCol w:w="1701"/>
        <w:gridCol w:w="2008"/>
        <w:gridCol w:w="2008"/>
      </w:tblGrid>
      <w:tr w:rsidR="00AB585C" w14:paraId="137DEEE3" w14:textId="77777777">
        <w:trPr>
          <w:trHeight w:val="547"/>
          <w:jc w:val="center"/>
        </w:trPr>
        <w:tc>
          <w:tcPr>
            <w:tcW w:w="2391" w:type="dxa"/>
          </w:tcPr>
          <w:p w14:paraId="3F98E832" w14:textId="77777777" w:rsidR="00AB585C" w:rsidRDefault="00AB585C">
            <w:pPr>
              <w:spacing w:line="240" w:lineRule="auto"/>
              <w:jc w:val="left"/>
              <w:rPr>
                <w:rFonts w:ascii="Tahoma" w:eastAsia="Times New Roman" w:hAnsi="Tahoma" w:cs="Tahoma"/>
                <w:b/>
                <w:bCs/>
                <w:sz w:val="20"/>
                <w:szCs w:val="20"/>
                <w:lang w:eastAsia="en-GB"/>
              </w:rPr>
            </w:pPr>
          </w:p>
        </w:tc>
        <w:tc>
          <w:tcPr>
            <w:tcW w:w="1543" w:type="dxa"/>
            <w:shd w:val="clear" w:color="auto" w:fill="auto"/>
            <w:hideMark/>
          </w:tcPr>
          <w:p w14:paraId="68108D7E"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 xml:space="preserve">Price </w:t>
            </w:r>
            <w:proofErr w:type="gramStart"/>
            <w:r>
              <w:rPr>
                <w:rFonts w:ascii="Tahoma" w:eastAsia="Times New Roman" w:hAnsi="Tahoma" w:cs="Tahoma"/>
                <w:b/>
                <w:bCs/>
                <w:sz w:val="20"/>
                <w:szCs w:val="20"/>
                <w:lang w:eastAsia="en-GB"/>
              </w:rPr>
              <w:t>year  in</w:t>
            </w:r>
            <w:proofErr w:type="gramEnd"/>
            <w:r>
              <w:rPr>
                <w:rFonts w:ascii="Tahoma" w:eastAsia="Times New Roman" w:hAnsi="Tahoma" w:cs="Tahoma"/>
                <w:b/>
                <w:bCs/>
                <w:sz w:val="20"/>
                <w:szCs w:val="20"/>
                <w:lang w:eastAsia="en-GB"/>
              </w:rPr>
              <w:t xml:space="preserve"> study</w:t>
            </w:r>
          </w:p>
        </w:tc>
        <w:tc>
          <w:tcPr>
            <w:tcW w:w="1576" w:type="dxa"/>
            <w:shd w:val="clear" w:color="auto" w:fill="auto"/>
            <w:hideMark/>
          </w:tcPr>
          <w:p w14:paraId="5E1117FA"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Original currency</w:t>
            </w:r>
          </w:p>
        </w:tc>
        <w:tc>
          <w:tcPr>
            <w:tcW w:w="1417" w:type="dxa"/>
            <w:shd w:val="clear" w:color="auto" w:fill="auto"/>
          </w:tcPr>
          <w:p w14:paraId="50D1BFAA"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Exchange rate</w:t>
            </w:r>
            <w:r>
              <w:rPr>
                <w:rFonts w:ascii="Tahoma" w:eastAsia="Times New Roman" w:hAnsi="Tahoma" w:cs="Tahoma"/>
                <w:b/>
                <w:bCs/>
                <w:sz w:val="20"/>
                <w:szCs w:val="20"/>
                <w:lang w:eastAsia="en-GB"/>
              </w:rPr>
              <w:sym w:font="Symbol" w:char="F023"/>
            </w:r>
          </w:p>
        </w:tc>
        <w:tc>
          <w:tcPr>
            <w:tcW w:w="1276" w:type="dxa"/>
            <w:shd w:val="clear" w:color="auto" w:fill="auto"/>
            <w:hideMark/>
          </w:tcPr>
          <w:p w14:paraId="19B2C18A"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HCHS year</w:t>
            </w:r>
          </w:p>
        </w:tc>
        <w:tc>
          <w:tcPr>
            <w:tcW w:w="1701" w:type="dxa"/>
            <w:shd w:val="clear" w:color="auto" w:fill="auto"/>
            <w:hideMark/>
          </w:tcPr>
          <w:p w14:paraId="79B78A5E"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HCHS index</w:t>
            </w:r>
          </w:p>
          <w:p w14:paraId="1144440B"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(1987/88 = 100.0)</w:t>
            </w:r>
          </w:p>
        </w:tc>
        <w:tc>
          <w:tcPr>
            <w:tcW w:w="2008" w:type="dxa"/>
            <w:shd w:val="clear" w:color="auto" w:fill="auto"/>
            <w:hideMark/>
          </w:tcPr>
          <w:p w14:paraId="02F31245"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HCHS inflation factor to 2016/17*</w:t>
            </w:r>
          </w:p>
        </w:tc>
        <w:tc>
          <w:tcPr>
            <w:tcW w:w="2008" w:type="dxa"/>
            <w:shd w:val="clear" w:color="auto" w:fill="auto"/>
          </w:tcPr>
          <w:p w14:paraId="4210A45A" w14:textId="77777777" w:rsidR="00AB585C" w:rsidRDefault="003855FE">
            <w:pPr>
              <w:spacing w:line="240" w:lineRule="auto"/>
              <w:jc w:val="center"/>
              <w:rPr>
                <w:rFonts w:ascii="Tahoma" w:eastAsia="Times New Roman" w:hAnsi="Tahoma" w:cs="Tahoma"/>
                <w:b/>
                <w:bCs/>
                <w:sz w:val="20"/>
                <w:szCs w:val="20"/>
                <w:lang w:eastAsia="en-GB"/>
              </w:rPr>
            </w:pPr>
            <w:r>
              <w:rPr>
                <w:rFonts w:ascii="Tahoma" w:eastAsia="Times New Roman" w:hAnsi="Tahoma" w:cs="Tahoma"/>
                <w:b/>
                <w:bCs/>
                <w:sz w:val="20"/>
                <w:szCs w:val="20"/>
                <w:lang w:eastAsia="en-GB"/>
              </w:rPr>
              <w:t>HS index 2016/17 to 2017/18**</w:t>
            </w:r>
          </w:p>
        </w:tc>
      </w:tr>
      <w:tr w:rsidR="00AB585C" w14:paraId="253EECDC" w14:textId="77777777">
        <w:trPr>
          <w:trHeight w:val="570"/>
          <w:jc w:val="center"/>
        </w:trPr>
        <w:tc>
          <w:tcPr>
            <w:tcW w:w="2391" w:type="dxa"/>
          </w:tcPr>
          <w:p w14:paraId="61422AF1"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 xml:space="preserve">Desmond (2008) </w:t>
            </w:r>
            <w:r w:rsidR="00FF02BC">
              <w:rPr>
                <w:rFonts w:ascii="Tahoma" w:eastAsia="Times New Roman" w:hAnsi="Tahoma" w:cs="Tahoma"/>
                <w:sz w:val="20"/>
                <w:szCs w:val="20"/>
                <w:lang w:eastAsia="en-GB"/>
              </w:rPr>
              <w:fldChar w:fldCharType="begin" w:fldLock="1"/>
            </w:r>
            <w:r w:rsidR="00FF02BC">
              <w:rPr>
                <w:rFonts w:ascii="Tahoma" w:eastAsia="Times New Roman" w:hAnsi="Tahoma" w:cs="Tahoma"/>
                <w:sz w:val="20"/>
                <w:szCs w:val="20"/>
                <w:lang w:eastAsia="en-GB"/>
              </w:rPr>
              <w:instrText>ADDIN CSL_CITATION {"citationItems":[{"id":"ITEM-1","itemData":{"DOI":"10.1371/journal.pone.0002454","ISSN":"1932-6203","author":[{"dropping-particle":"","family":"Desmond","given":"Chris","non-dropping-particle":"","parse-names":false,"suffix":""},{"dropping-particle":"","family":"Bland","given":"Ruth M.","non-dropping-particle":"","parse-names":false,"suffix":""},{"dropping-particle":"","family":"Boyce","given":"Gerard","non-dropping-particle":"","parse-names":false,"suffix":""},{"dropping-particle":"","family":"Coovadia","given":"Hoosen M.","non-dropping-particle":"","parse-names":false,"suffix":""},{"dropping-particle":"","family":"Coutsoudis","given":"Anna","non-dropping-particle":"","parse-names":false,"suffix":""},{"dropping-particle":"","family":"Rollins","given":"Nigel","non-dropping-particle":"","parse-names":false,"suffix":""},{"dropping-particle":"","family":"Newell","given":"Marie-Louise","non-dropping-particle":"","parse-names":false,"suffix":""}],"container-title":"PLoS ONE","editor":[{"dropping-particle":"","family":"Belizan","given":"Jose M.","non-dropping-particle":"","parse-names":false,"suffix":""}],"id":"ITEM-1","issue":"6","issued":{"date-parts":[["2008","6","18"]]},"page":"e2454","title":"Scaling-Up Exclusive Breastfeeding Support Programmes: The Example of KwaZulu-Natal","type":"article-journal","volume":"3"},"uris":["http://www.mendeley.com/documents/?uuid=5d975b7a-dfdf-323f-b729-cfd82c048bb1"]}],"mendeley":{"formattedCitation":"[1]","plainTextFormattedCitation":"[1]","previouslyFormattedCitation":"[1]"},"properties":{"noteIndex":0},"schema":"https://github.com/citation-style-language/schema/raw/master/csl-citation.json"}</w:instrText>
            </w:r>
            <w:r w:rsidR="00FF02BC">
              <w:rPr>
                <w:rFonts w:ascii="Tahoma" w:eastAsia="Times New Roman" w:hAnsi="Tahoma" w:cs="Tahoma"/>
                <w:sz w:val="20"/>
                <w:szCs w:val="20"/>
                <w:lang w:eastAsia="en-GB"/>
              </w:rPr>
              <w:fldChar w:fldCharType="separate"/>
            </w:r>
            <w:r w:rsidR="00FF02BC" w:rsidRPr="00FF02BC">
              <w:rPr>
                <w:rFonts w:ascii="Tahoma" w:eastAsia="Times New Roman" w:hAnsi="Tahoma" w:cs="Tahoma"/>
                <w:noProof/>
                <w:sz w:val="20"/>
                <w:szCs w:val="20"/>
                <w:lang w:eastAsia="en-GB"/>
              </w:rPr>
              <w:t>[1]</w:t>
            </w:r>
            <w:r w:rsidR="00FF02BC">
              <w:rPr>
                <w:rFonts w:ascii="Tahoma" w:eastAsia="Times New Roman" w:hAnsi="Tahoma" w:cs="Tahoma"/>
                <w:sz w:val="20"/>
                <w:szCs w:val="20"/>
                <w:lang w:eastAsia="en-GB"/>
              </w:rPr>
              <w:fldChar w:fldCharType="end"/>
            </w:r>
          </w:p>
        </w:tc>
        <w:tc>
          <w:tcPr>
            <w:tcW w:w="1543" w:type="dxa"/>
            <w:shd w:val="clear" w:color="auto" w:fill="auto"/>
            <w:noWrap/>
            <w:vAlign w:val="bottom"/>
          </w:tcPr>
          <w:p w14:paraId="42764D65"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2007</w:t>
            </w:r>
          </w:p>
        </w:tc>
        <w:tc>
          <w:tcPr>
            <w:tcW w:w="1576" w:type="dxa"/>
            <w:shd w:val="clear" w:color="auto" w:fill="auto"/>
            <w:noWrap/>
            <w:vAlign w:val="bottom"/>
          </w:tcPr>
          <w:p w14:paraId="4F840078"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US dollar</w:t>
            </w:r>
          </w:p>
        </w:tc>
        <w:tc>
          <w:tcPr>
            <w:tcW w:w="1417" w:type="dxa"/>
            <w:shd w:val="clear" w:color="auto" w:fill="auto"/>
            <w:vAlign w:val="bottom"/>
          </w:tcPr>
          <w:p w14:paraId="1612E133"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0.50</w:t>
            </w:r>
          </w:p>
        </w:tc>
        <w:tc>
          <w:tcPr>
            <w:tcW w:w="1276" w:type="dxa"/>
            <w:shd w:val="clear" w:color="auto" w:fill="auto"/>
            <w:noWrap/>
            <w:vAlign w:val="bottom"/>
          </w:tcPr>
          <w:p w14:paraId="6D5620B1"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2006/07</w:t>
            </w:r>
          </w:p>
        </w:tc>
        <w:tc>
          <w:tcPr>
            <w:tcW w:w="1701" w:type="dxa"/>
            <w:shd w:val="clear" w:color="auto" w:fill="auto"/>
            <w:noWrap/>
            <w:vAlign w:val="bottom"/>
          </w:tcPr>
          <w:p w14:paraId="1C3104DD"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249.8</w:t>
            </w:r>
          </w:p>
        </w:tc>
        <w:tc>
          <w:tcPr>
            <w:tcW w:w="2008" w:type="dxa"/>
            <w:shd w:val="clear" w:color="auto" w:fill="auto"/>
            <w:noWrap/>
            <w:vAlign w:val="bottom"/>
            <w:hideMark/>
          </w:tcPr>
          <w:p w14:paraId="1F944EC1"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1.21</w:t>
            </w:r>
          </w:p>
        </w:tc>
        <w:tc>
          <w:tcPr>
            <w:tcW w:w="2008" w:type="dxa"/>
            <w:shd w:val="clear" w:color="auto" w:fill="auto"/>
            <w:vAlign w:val="bottom"/>
          </w:tcPr>
          <w:p w14:paraId="179E0BFF"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1.69</w:t>
            </w:r>
          </w:p>
        </w:tc>
      </w:tr>
      <w:tr w:rsidR="00AB585C" w14:paraId="03410FC4" w14:textId="77777777">
        <w:trPr>
          <w:trHeight w:val="638"/>
          <w:jc w:val="center"/>
        </w:trPr>
        <w:tc>
          <w:tcPr>
            <w:tcW w:w="2391" w:type="dxa"/>
          </w:tcPr>
          <w:p w14:paraId="7A1188BD"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Rice (2010)</w:t>
            </w:r>
            <w:r w:rsidR="00FF02BC">
              <w:rPr>
                <w:rFonts w:ascii="Tahoma" w:eastAsia="Times New Roman" w:hAnsi="Tahoma" w:cs="Tahoma"/>
                <w:sz w:val="20"/>
                <w:szCs w:val="20"/>
                <w:lang w:eastAsia="en-GB"/>
              </w:rPr>
              <w:t xml:space="preserve"> </w:t>
            </w:r>
            <w:r w:rsidR="00FF02BC">
              <w:rPr>
                <w:rFonts w:ascii="Tahoma" w:eastAsia="Times New Roman" w:hAnsi="Tahoma" w:cs="Tahoma"/>
                <w:sz w:val="20"/>
                <w:szCs w:val="20"/>
                <w:lang w:eastAsia="en-GB"/>
              </w:rPr>
              <w:fldChar w:fldCharType="begin" w:fldLock="1"/>
            </w:r>
            <w:r w:rsidR="00FF02BC">
              <w:rPr>
                <w:rFonts w:ascii="Tahoma" w:eastAsia="Times New Roman" w:hAnsi="Tahoma" w:cs="Tahoma"/>
                <w:sz w:val="20"/>
                <w:szCs w:val="20"/>
                <w:lang w:eastAsia="en-GB"/>
              </w:rPr>
              <w:instrText>ADDIN CSL_CITATION {"citationItems":[{"id":"ITEM-1","itemData":{"DOI":"10.1017/S0266462310000115","ISSN":"02664623","abstract":"Objectives: There is evidence that breastmilk feeding reduces mortality and short and long-term morbidity among infants born too soon or too small. The aim of this study was to evaluate the cost-effectiveness of enhanced staff contact for mothers with infants in a neonatal unit with a birth weight of 500-2,500 g from the perspective of the UK National Health Service. Methods: A decision-tree model linked clinical outcomes with long-term health outcomes. The study population was divided into three weight bands: 500-999 g, 1000-1,749 g, and 1,750-2,500 g. Clinical and resource use data were obtained from literature reviews. The measure of benefit was quality-adjusted life-years. Uncertainty was evaluated using cost-effectiveness acceptability curves and sensitivity analyses. Results: The intervention was less costly and more effective than the comparator in the base-case analysis for each birth weight group. The results were quite robust to the sensitivity analyses performed. Conclusions: This is the first economic evaluation in this complex field and offers a model to be developed in future research. The results provide preliminary indications that enhanced staff contact may be cost-effective. However, the limited evidence available, and the limited UK data in particular, suggest that further research is required to provide results with confidence. Copyright © 2010 Cambridge University Press.","author":[{"dropping-particle":"","family":"Rice","given":"Stephen J.C.","non-dropping-particle":"","parse-names":false,"suffix":""},{"dropping-particle":"","family":"Craig","given":"Dawn","non-dropping-particle":"","parse-names":false,"suffix":""},{"dropping-particle":"","family":"McCormick","given":"Felicia","non-dropping-particle":"","parse-names":false,"suffix":""},{"dropping-particle":"","family":"Renfrew","given":"Mary J.","non-dropping-particle":"","parse-names":false,"suffix":""},{"dropping-particle":"","family":"Williams","given":"Anthony F.","non-dropping-particle":"","parse-names":false,"suffix":""}],"container-title":"International Journal of Technology Assessment in Health Care","id":"ITEM-1","issue":"2","issued":{"date-parts":[["2010","4"]]},"page":"133-140","title":"Economic evaluation of enhanced staff contact for the promotion of breastfeeding for low birth weight infants","type":"article-journal","volume":"26"},"uris":["http://www.mendeley.com/documents/?uuid=32b7ec6f-4fe9-381b-8d95-d619c4f68e4e"]}],"mendeley":{"formattedCitation":"[2]","plainTextFormattedCitation":"[2]","previouslyFormattedCitation":"[2]"},"properties":{"noteIndex":0},"schema":"https://github.com/citation-style-language/schema/raw/master/csl-citation.json"}</w:instrText>
            </w:r>
            <w:r w:rsidR="00FF02BC">
              <w:rPr>
                <w:rFonts w:ascii="Tahoma" w:eastAsia="Times New Roman" w:hAnsi="Tahoma" w:cs="Tahoma"/>
                <w:sz w:val="20"/>
                <w:szCs w:val="20"/>
                <w:lang w:eastAsia="en-GB"/>
              </w:rPr>
              <w:fldChar w:fldCharType="separate"/>
            </w:r>
            <w:r w:rsidR="00FF02BC" w:rsidRPr="00FF02BC">
              <w:rPr>
                <w:rFonts w:ascii="Tahoma" w:eastAsia="Times New Roman" w:hAnsi="Tahoma" w:cs="Tahoma"/>
                <w:noProof/>
                <w:sz w:val="20"/>
                <w:szCs w:val="20"/>
                <w:lang w:eastAsia="en-GB"/>
              </w:rPr>
              <w:t>[2]</w:t>
            </w:r>
            <w:r w:rsidR="00FF02BC">
              <w:rPr>
                <w:rFonts w:ascii="Tahoma" w:eastAsia="Times New Roman" w:hAnsi="Tahoma" w:cs="Tahoma"/>
                <w:sz w:val="20"/>
                <w:szCs w:val="20"/>
                <w:lang w:eastAsia="en-GB"/>
              </w:rPr>
              <w:fldChar w:fldCharType="end"/>
            </w:r>
          </w:p>
        </w:tc>
        <w:tc>
          <w:tcPr>
            <w:tcW w:w="1543" w:type="dxa"/>
            <w:shd w:val="clear" w:color="auto" w:fill="auto"/>
            <w:noWrap/>
            <w:vAlign w:val="bottom"/>
          </w:tcPr>
          <w:p w14:paraId="0DB7AC2E"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2006</w:t>
            </w:r>
          </w:p>
        </w:tc>
        <w:tc>
          <w:tcPr>
            <w:tcW w:w="1576" w:type="dxa"/>
            <w:shd w:val="clear" w:color="auto" w:fill="auto"/>
            <w:noWrap/>
            <w:vAlign w:val="bottom"/>
          </w:tcPr>
          <w:p w14:paraId="5A551B61" w14:textId="77777777" w:rsidR="00AB585C" w:rsidRDefault="003855FE">
            <w:pPr>
              <w:jc w:val="center"/>
              <w:rPr>
                <w:rFonts w:ascii="Tahoma" w:hAnsi="Tahoma" w:cs="Tahoma"/>
                <w:sz w:val="20"/>
                <w:szCs w:val="20"/>
              </w:rPr>
            </w:pPr>
            <w:r>
              <w:rPr>
                <w:rFonts w:ascii="Tahoma" w:eastAsia="Times New Roman" w:hAnsi="Tahoma" w:cs="Tahoma"/>
                <w:sz w:val="20"/>
                <w:szCs w:val="20"/>
                <w:lang w:eastAsia="en-GB"/>
              </w:rPr>
              <w:t>GBP</w:t>
            </w:r>
          </w:p>
        </w:tc>
        <w:tc>
          <w:tcPr>
            <w:tcW w:w="1417" w:type="dxa"/>
            <w:shd w:val="clear" w:color="auto" w:fill="auto"/>
            <w:vAlign w:val="bottom"/>
          </w:tcPr>
          <w:p w14:paraId="0E083AB3"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n/a</w:t>
            </w:r>
          </w:p>
        </w:tc>
        <w:tc>
          <w:tcPr>
            <w:tcW w:w="1276" w:type="dxa"/>
            <w:shd w:val="clear" w:color="auto" w:fill="auto"/>
            <w:noWrap/>
            <w:vAlign w:val="bottom"/>
          </w:tcPr>
          <w:p w14:paraId="6CC08C10"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2005/06</w:t>
            </w:r>
          </w:p>
        </w:tc>
        <w:tc>
          <w:tcPr>
            <w:tcW w:w="1701" w:type="dxa"/>
            <w:shd w:val="clear" w:color="auto" w:fill="auto"/>
            <w:noWrap/>
            <w:vAlign w:val="bottom"/>
          </w:tcPr>
          <w:p w14:paraId="31CA3401"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240.9</w:t>
            </w:r>
          </w:p>
        </w:tc>
        <w:tc>
          <w:tcPr>
            <w:tcW w:w="2008" w:type="dxa"/>
            <w:shd w:val="clear" w:color="auto" w:fill="auto"/>
            <w:noWrap/>
            <w:vAlign w:val="bottom"/>
            <w:hideMark/>
          </w:tcPr>
          <w:p w14:paraId="3539DD4F"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1.25</w:t>
            </w:r>
          </w:p>
        </w:tc>
        <w:tc>
          <w:tcPr>
            <w:tcW w:w="2008" w:type="dxa"/>
            <w:shd w:val="clear" w:color="auto" w:fill="auto"/>
            <w:vAlign w:val="bottom"/>
          </w:tcPr>
          <w:p w14:paraId="07EBFC77"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1.76</w:t>
            </w:r>
          </w:p>
        </w:tc>
      </w:tr>
      <w:tr w:rsidR="00AB585C" w14:paraId="4BF6BB5F" w14:textId="77777777">
        <w:trPr>
          <w:trHeight w:val="570"/>
          <w:jc w:val="center"/>
        </w:trPr>
        <w:tc>
          <w:tcPr>
            <w:tcW w:w="2391" w:type="dxa"/>
          </w:tcPr>
          <w:p w14:paraId="72067DF5"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Rubio-Rodríguez (2012)</w:t>
            </w:r>
            <w:r w:rsidR="00FF02BC">
              <w:rPr>
                <w:rFonts w:ascii="Tahoma" w:eastAsia="Times New Roman" w:hAnsi="Tahoma" w:cs="Tahoma"/>
                <w:sz w:val="20"/>
                <w:szCs w:val="20"/>
                <w:lang w:eastAsia="en-GB"/>
              </w:rPr>
              <w:t xml:space="preserve"> </w:t>
            </w:r>
            <w:r w:rsidR="00FF02BC">
              <w:rPr>
                <w:rFonts w:ascii="Tahoma" w:eastAsia="Times New Roman" w:hAnsi="Tahoma" w:cs="Tahoma"/>
                <w:sz w:val="20"/>
                <w:szCs w:val="20"/>
                <w:lang w:eastAsia="en-GB"/>
              </w:rPr>
              <w:fldChar w:fldCharType="begin" w:fldLock="1"/>
            </w:r>
            <w:r w:rsidR="00FF02BC">
              <w:rPr>
                <w:rFonts w:ascii="Tahoma" w:eastAsia="Times New Roman" w:hAnsi="Tahoma" w:cs="Tahoma"/>
                <w:sz w:val="20"/>
                <w:szCs w:val="20"/>
                <w:lang w:eastAsia="en-GB"/>
              </w:rPr>
              <w:instrText>ADDIN CSL_CITATION {"citationItems":[{"id":"ITEM-1","itemData":{"DOI":"10.1016/j.anpedi.2012.03.015","ISSN":"16954033","abstract":"Introduction: Although breastfeeding (BF) is the ideal food for newborns because it covers their growing needs and provides active immunity against various diseases, it is often replaced by artificial feeding. We estimated the cost-effectiveness of increased promotion of BF in neonatal units with intensive intervention with specialised nurses or midwives dedicated to this purpose. Methods: An analysis of cost-effectiveness, using a decision analysis model which included data on a specialised intervention for the promotion of BF, its effectiveness in the short-term (sepsis, necrotizing enterocolitis) and long-term (disabled due to neurodevelopmental impairment) of the different types of milk consumed, as well as the mortality, costs and benefits of these. Data was also obtained from current medical literature, studies and Spanish sources. The analysis was limited to three subgroups of low birthweights (500-999 g, 1000-1749 g, 1750-2500 g). Results: In the deterministic analysis, the intervention was \"dominant\" for the three subgroups of infants, which meant it was more effective and with lower costs, than no intervention. The Monte Carlo probabilistic analysis confirmed the robustness of the result with probabilities of dominance of 100%, 100% and 99.9% for the three subgroups of weights, respectively. The intervention would be cost-effective with costs of puerperal intervention of 70,504, 14,742 and 7,106, respectively. These costs would be well above the estimated maximum (12.51). Conclusions: According to this model, the promotion of breastfeeding through an intensive promotion and with specialised nurses or midwives dedicated to this purpose, may be cost-effective in the case of puerperal women with low birth weight neonates (500-2500 g). © 2011 Asociación Española de Pediatría. Published by Elsevier España, S.L. All rights reserved.","author":[{"dropping-particle":"","family":"Rubio-Rodríguez","given":"D.","non-dropping-particle":"","parse-names":false,"suffix":""}],"container-title":"Anales de Pediatria","id":"ITEM-1","issue":"5","issued":{"date-parts":[["2012","11"]]},"page":"297-308","title":"Análisis económico de la promoción intensiva y especializada de la lactancia materna en las unidades neonatales en España Economic analysis of specialised and intensive promotion of breastfeeding in neonatal units in Spain","type":"article-journal","volume":"77"},"uris":["http://www.mendeley.com/documents/?uuid=f447e374-e11a-3491-bd10-d853fb478435"]}],"mendeley":{"formattedCitation":"[3]","plainTextFormattedCitation":"[3]","previouslyFormattedCitation":"[3]"},"properties":{"noteIndex":0},"schema":"https://github.com/citation-style-language/schema/raw/master/csl-citation.json"}</w:instrText>
            </w:r>
            <w:r w:rsidR="00FF02BC">
              <w:rPr>
                <w:rFonts w:ascii="Tahoma" w:eastAsia="Times New Roman" w:hAnsi="Tahoma" w:cs="Tahoma"/>
                <w:sz w:val="20"/>
                <w:szCs w:val="20"/>
                <w:lang w:eastAsia="en-GB"/>
              </w:rPr>
              <w:fldChar w:fldCharType="separate"/>
            </w:r>
            <w:r w:rsidR="00FF02BC" w:rsidRPr="00FF02BC">
              <w:rPr>
                <w:rFonts w:ascii="Tahoma" w:eastAsia="Times New Roman" w:hAnsi="Tahoma" w:cs="Tahoma"/>
                <w:noProof/>
                <w:sz w:val="20"/>
                <w:szCs w:val="20"/>
                <w:lang w:eastAsia="en-GB"/>
              </w:rPr>
              <w:t>[3]</w:t>
            </w:r>
            <w:r w:rsidR="00FF02BC">
              <w:rPr>
                <w:rFonts w:ascii="Tahoma" w:eastAsia="Times New Roman" w:hAnsi="Tahoma" w:cs="Tahoma"/>
                <w:sz w:val="20"/>
                <w:szCs w:val="20"/>
                <w:lang w:eastAsia="en-GB"/>
              </w:rPr>
              <w:fldChar w:fldCharType="end"/>
            </w:r>
          </w:p>
        </w:tc>
        <w:tc>
          <w:tcPr>
            <w:tcW w:w="1543" w:type="dxa"/>
            <w:shd w:val="clear" w:color="auto" w:fill="auto"/>
            <w:noWrap/>
            <w:vAlign w:val="bottom"/>
          </w:tcPr>
          <w:p w14:paraId="7E1B2334"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2011</w:t>
            </w:r>
          </w:p>
        </w:tc>
        <w:tc>
          <w:tcPr>
            <w:tcW w:w="1576" w:type="dxa"/>
            <w:shd w:val="clear" w:color="auto" w:fill="auto"/>
            <w:noWrap/>
            <w:vAlign w:val="bottom"/>
          </w:tcPr>
          <w:p w14:paraId="722274C1" w14:textId="77777777" w:rsidR="00AB585C" w:rsidRDefault="003855FE">
            <w:pPr>
              <w:jc w:val="center"/>
              <w:rPr>
                <w:rFonts w:ascii="Tahoma" w:hAnsi="Tahoma" w:cs="Tahoma"/>
                <w:sz w:val="20"/>
                <w:szCs w:val="20"/>
              </w:rPr>
            </w:pPr>
            <w:r>
              <w:rPr>
                <w:rFonts w:ascii="Tahoma" w:eastAsia="Times New Roman" w:hAnsi="Tahoma" w:cs="Tahoma"/>
                <w:sz w:val="20"/>
                <w:szCs w:val="20"/>
                <w:lang w:eastAsia="en-GB"/>
              </w:rPr>
              <w:t>Euros</w:t>
            </w:r>
          </w:p>
        </w:tc>
        <w:tc>
          <w:tcPr>
            <w:tcW w:w="1417" w:type="dxa"/>
            <w:shd w:val="clear" w:color="auto" w:fill="auto"/>
            <w:vAlign w:val="bottom"/>
          </w:tcPr>
          <w:p w14:paraId="2EE5FB7D"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0.87</w:t>
            </w:r>
          </w:p>
        </w:tc>
        <w:tc>
          <w:tcPr>
            <w:tcW w:w="1276" w:type="dxa"/>
            <w:shd w:val="clear" w:color="auto" w:fill="auto"/>
            <w:noWrap/>
            <w:vAlign w:val="bottom"/>
          </w:tcPr>
          <w:p w14:paraId="47EDA920"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2010/11</w:t>
            </w:r>
          </w:p>
        </w:tc>
        <w:tc>
          <w:tcPr>
            <w:tcW w:w="1701" w:type="dxa"/>
            <w:shd w:val="clear" w:color="auto" w:fill="auto"/>
            <w:noWrap/>
            <w:vAlign w:val="bottom"/>
          </w:tcPr>
          <w:p w14:paraId="037E0BBE"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276.7</w:t>
            </w:r>
          </w:p>
        </w:tc>
        <w:tc>
          <w:tcPr>
            <w:tcW w:w="2008" w:type="dxa"/>
            <w:shd w:val="clear" w:color="auto" w:fill="auto"/>
            <w:noWrap/>
            <w:vAlign w:val="bottom"/>
            <w:hideMark/>
          </w:tcPr>
          <w:p w14:paraId="159526B5"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1.09</w:t>
            </w:r>
          </w:p>
        </w:tc>
        <w:tc>
          <w:tcPr>
            <w:tcW w:w="2008" w:type="dxa"/>
            <w:shd w:val="clear" w:color="auto" w:fill="auto"/>
            <w:vAlign w:val="bottom"/>
          </w:tcPr>
          <w:p w14:paraId="15FAA774"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1.53</w:t>
            </w:r>
          </w:p>
        </w:tc>
      </w:tr>
      <w:tr w:rsidR="00AB585C" w14:paraId="6528488B" w14:textId="77777777">
        <w:trPr>
          <w:trHeight w:val="614"/>
          <w:jc w:val="center"/>
        </w:trPr>
        <w:tc>
          <w:tcPr>
            <w:tcW w:w="2391" w:type="dxa"/>
          </w:tcPr>
          <w:p w14:paraId="537F081F"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Chola (2015)</w:t>
            </w:r>
            <w:r w:rsidR="00FF02BC">
              <w:rPr>
                <w:rFonts w:ascii="Tahoma" w:eastAsia="Times New Roman" w:hAnsi="Tahoma" w:cs="Tahoma"/>
                <w:sz w:val="20"/>
                <w:szCs w:val="20"/>
                <w:lang w:eastAsia="en-GB"/>
              </w:rPr>
              <w:t xml:space="preserve"> </w:t>
            </w:r>
            <w:r w:rsidR="00FF02BC">
              <w:rPr>
                <w:rFonts w:ascii="Tahoma" w:eastAsia="Times New Roman" w:hAnsi="Tahoma" w:cs="Tahoma"/>
                <w:sz w:val="20"/>
                <w:szCs w:val="20"/>
                <w:lang w:eastAsia="en-GB"/>
              </w:rPr>
              <w:fldChar w:fldCharType="begin" w:fldLock="1"/>
            </w:r>
            <w:r w:rsidR="00FF02BC">
              <w:rPr>
                <w:rFonts w:ascii="Tahoma" w:eastAsia="Times New Roman" w:hAnsi="Tahoma" w:cs="Tahoma"/>
                <w:sz w:val="20"/>
                <w:szCs w:val="20"/>
                <w:lang w:eastAsia="en-GB"/>
              </w:rPr>
              <w:instrText>ADDIN CSL_CITATION {"citationItems":[{"id":"ITEM-1","itemData":{"DOI":"10.1371/journal.pone.0142718","ISSN":"1932-6203","author":[{"dropping-particle":"","family":"Chola","given":"Lumbwe","non-dropping-particle":"","parse-names":false,"suffix":""},{"dropping-particle":"","family":"Fadnes","given":"Lars T.","non-dropping-particle":"","parse-names":false,"suffix":""},{"dropping-particle":"","family":"Engebretsen","given":"Ingunn M. S.","non-dropping-particle":"","parse-names":false,"suffix":""},{"dropping-particle":"","family":"Nkonki","given":"Lungiswa","non-dropping-particle":"","parse-names":false,"suffix":""},{"dropping-particle":"","family":"Nankabirwa","given":"Victoria","non-dropping-particle":"","parse-names":false,"suffix":""},{"dropping-particle":"","family":"Sommerfelt","given":"Halvor","non-dropping-particle":"","parse-names":false,"suffix":""},{"dropping-particle":"","family":"Tumwine","given":"James K.","non-dropping-particle":"","parse-names":false,"suffix":""},{"dropping-particle":"","family":"Tylleskar","given":"Thorkild","non-dropping-particle":"","parse-names":false,"suffix":""},{"dropping-particle":"","family":"Robberstad","given":"Bjarne","non-dropping-particle":"","parse-names":false,"suffix":""}],"container-title":"PLOS ONE","editor":[{"dropping-particle":"","family":"Wouwe","given":"Jacobus","non-dropping-particle":"van","parse-names":false,"suffix":""}],"id":"ITEM-1","issue":"11","issued":{"date-parts":[["2015","11","30"]]},"page":"e0142718","title":"Cost-Effectiveness of Peer Counselling for the Promotion of Exclusive Breastfeeding in Uganda","type":"article-journal","volume":"10"},"uris":["http://www.mendeley.com/documents/?uuid=11cdec99-2b90-3d3c-b759-fd6743f1fce4"]}],"mendeley":{"formattedCitation":"[4]","plainTextFormattedCitation":"[4]","previouslyFormattedCitation":"[4]"},"properties":{"noteIndex":0},"schema":"https://github.com/citation-style-language/schema/raw/master/csl-citation.json"}</w:instrText>
            </w:r>
            <w:r w:rsidR="00FF02BC">
              <w:rPr>
                <w:rFonts w:ascii="Tahoma" w:eastAsia="Times New Roman" w:hAnsi="Tahoma" w:cs="Tahoma"/>
                <w:sz w:val="20"/>
                <w:szCs w:val="20"/>
                <w:lang w:eastAsia="en-GB"/>
              </w:rPr>
              <w:fldChar w:fldCharType="separate"/>
            </w:r>
            <w:r w:rsidR="00FF02BC" w:rsidRPr="00FF02BC">
              <w:rPr>
                <w:rFonts w:ascii="Tahoma" w:eastAsia="Times New Roman" w:hAnsi="Tahoma" w:cs="Tahoma"/>
                <w:noProof/>
                <w:sz w:val="20"/>
                <w:szCs w:val="20"/>
                <w:lang w:eastAsia="en-GB"/>
              </w:rPr>
              <w:t>[4]</w:t>
            </w:r>
            <w:r w:rsidR="00FF02BC">
              <w:rPr>
                <w:rFonts w:ascii="Tahoma" w:eastAsia="Times New Roman" w:hAnsi="Tahoma" w:cs="Tahoma"/>
                <w:sz w:val="20"/>
                <w:szCs w:val="20"/>
                <w:lang w:eastAsia="en-GB"/>
              </w:rPr>
              <w:fldChar w:fldCharType="end"/>
            </w:r>
          </w:p>
        </w:tc>
        <w:tc>
          <w:tcPr>
            <w:tcW w:w="1543" w:type="dxa"/>
            <w:shd w:val="clear" w:color="auto" w:fill="auto"/>
            <w:noWrap/>
            <w:vAlign w:val="bottom"/>
          </w:tcPr>
          <w:p w14:paraId="4B677A95"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2007</w:t>
            </w:r>
          </w:p>
        </w:tc>
        <w:tc>
          <w:tcPr>
            <w:tcW w:w="1576" w:type="dxa"/>
            <w:shd w:val="clear" w:color="auto" w:fill="auto"/>
            <w:noWrap/>
            <w:vAlign w:val="bottom"/>
          </w:tcPr>
          <w:p w14:paraId="5BD6807E" w14:textId="77777777" w:rsidR="00AB585C" w:rsidRDefault="003855FE">
            <w:pPr>
              <w:jc w:val="center"/>
              <w:rPr>
                <w:rFonts w:ascii="Tahoma" w:hAnsi="Tahoma" w:cs="Tahoma"/>
                <w:sz w:val="20"/>
                <w:szCs w:val="20"/>
              </w:rPr>
            </w:pPr>
            <w:r>
              <w:rPr>
                <w:rFonts w:ascii="Tahoma" w:eastAsia="Times New Roman" w:hAnsi="Tahoma" w:cs="Tahoma"/>
                <w:sz w:val="20"/>
                <w:szCs w:val="20"/>
                <w:lang w:eastAsia="en-GB"/>
              </w:rPr>
              <w:t>US dollar</w:t>
            </w:r>
          </w:p>
        </w:tc>
        <w:tc>
          <w:tcPr>
            <w:tcW w:w="1417" w:type="dxa"/>
            <w:shd w:val="clear" w:color="auto" w:fill="auto"/>
            <w:vAlign w:val="bottom"/>
          </w:tcPr>
          <w:p w14:paraId="4F0C3DDC"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0.50</w:t>
            </w:r>
          </w:p>
        </w:tc>
        <w:tc>
          <w:tcPr>
            <w:tcW w:w="1276" w:type="dxa"/>
            <w:shd w:val="clear" w:color="auto" w:fill="auto"/>
            <w:noWrap/>
            <w:vAlign w:val="bottom"/>
          </w:tcPr>
          <w:p w14:paraId="23AE03D4"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2006/07</w:t>
            </w:r>
          </w:p>
        </w:tc>
        <w:tc>
          <w:tcPr>
            <w:tcW w:w="1701" w:type="dxa"/>
            <w:shd w:val="clear" w:color="auto" w:fill="auto"/>
            <w:noWrap/>
            <w:vAlign w:val="bottom"/>
          </w:tcPr>
          <w:p w14:paraId="65D5ACDC"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249.8</w:t>
            </w:r>
          </w:p>
        </w:tc>
        <w:tc>
          <w:tcPr>
            <w:tcW w:w="2008" w:type="dxa"/>
            <w:shd w:val="clear" w:color="auto" w:fill="auto"/>
            <w:noWrap/>
            <w:vAlign w:val="bottom"/>
            <w:hideMark/>
          </w:tcPr>
          <w:p w14:paraId="515573C0"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1.21</w:t>
            </w:r>
          </w:p>
        </w:tc>
        <w:tc>
          <w:tcPr>
            <w:tcW w:w="2008" w:type="dxa"/>
            <w:shd w:val="clear" w:color="auto" w:fill="auto"/>
            <w:vAlign w:val="bottom"/>
          </w:tcPr>
          <w:p w14:paraId="564661F1" w14:textId="77777777" w:rsidR="00AB585C" w:rsidRDefault="003855FE">
            <w:pPr>
              <w:spacing w:line="240" w:lineRule="auto"/>
              <w:jc w:val="center"/>
              <w:rPr>
                <w:rFonts w:ascii="Tahoma" w:eastAsia="Times New Roman" w:hAnsi="Tahoma" w:cs="Tahoma"/>
                <w:sz w:val="20"/>
                <w:szCs w:val="20"/>
                <w:lang w:eastAsia="en-GB"/>
              </w:rPr>
            </w:pPr>
            <w:r>
              <w:rPr>
                <w:rFonts w:ascii="Tahoma" w:eastAsia="Times New Roman" w:hAnsi="Tahoma" w:cs="Tahoma"/>
                <w:sz w:val="20"/>
                <w:szCs w:val="20"/>
                <w:lang w:eastAsia="en-GB"/>
              </w:rPr>
              <w:t>1.69</w:t>
            </w:r>
          </w:p>
        </w:tc>
      </w:tr>
      <w:tr w:rsidR="00AB585C" w14:paraId="78BD9E98" w14:textId="77777777">
        <w:trPr>
          <w:trHeight w:val="274"/>
          <w:jc w:val="center"/>
        </w:trPr>
        <w:tc>
          <w:tcPr>
            <w:tcW w:w="13920" w:type="dxa"/>
            <w:gridSpan w:val="8"/>
          </w:tcPr>
          <w:p w14:paraId="5573EF36"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 xml:space="preserve">GBP = Great British Pound; United Kingdom pound </w:t>
            </w:r>
            <w:proofErr w:type="gramStart"/>
            <w:r>
              <w:rPr>
                <w:rFonts w:ascii="Tahoma" w:eastAsia="Times New Roman" w:hAnsi="Tahoma" w:cs="Tahoma"/>
                <w:sz w:val="20"/>
                <w:szCs w:val="20"/>
                <w:lang w:eastAsia="en-GB"/>
              </w:rPr>
              <w:t>sterling  (</w:t>
            </w:r>
            <w:proofErr w:type="gramEnd"/>
            <w:r>
              <w:rPr>
                <w:rFonts w:ascii="Tahoma" w:eastAsia="Times New Roman" w:hAnsi="Tahoma" w:cs="Tahoma"/>
                <w:sz w:val="20"/>
                <w:szCs w:val="20"/>
                <w:lang w:eastAsia="en-GB"/>
              </w:rPr>
              <w:t>£); US = United States</w:t>
            </w:r>
          </w:p>
          <w:p w14:paraId="5BACC7FA"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 xml:space="preserve">#per 1GBP; </w:t>
            </w:r>
            <w:r>
              <w:rPr>
                <w:rFonts w:ascii="Tahoma" w:hAnsi="Tahoma" w:cs="Tahoma"/>
                <w:sz w:val="20"/>
                <w:szCs w:val="20"/>
                <w:lang w:eastAsia="en-GB"/>
              </w:rPr>
              <w:t>*HCHS index 2016/17 = 302.3 **HS index 2016/17 to 2017/18 factor = 1.4</w:t>
            </w:r>
          </w:p>
          <w:p w14:paraId="0E80A81A" w14:textId="77777777" w:rsidR="00AB585C" w:rsidRDefault="003855FE">
            <w:pPr>
              <w:spacing w:line="240" w:lineRule="auto"/>
              <w:jc w:val="left"/>
              <w:rPr>
                <w:rFonts w:ascii="Tahoma" w:eastAsia="Times New Roman" w:hAnsi="Tahoma" w:cs="Tahoma"/>
                <w:sz w:val="20"/>
                <w:szCs w:val="20"/>
                <w:lang w:eastAsia="en-GB"/>
              </w:rPr>
            </w:pPr>
            <w:r>
              <w:rPr>
                <w:rFonts w:ascii="Tahoma" w:eastAsia="Times New Roman" w:hAnsi="Tahoma" w:cs="Tahoma"/>
                <w:sz w:val="20"/>
                <w:szCs w:val="20"/>
                <w:lang w:eastAsia="en-GB"/>
              </w:rPr>
              <w:t>https://www.ofx.com/en-gb/forex-news/historical-exchange-rates/yearly-average-rates/</w:t>
            </w:r>
          </w:p>
        </w:tc>
      </w:tr>
    </w:tbl>
    <w:p w14:paraId="1D7A336B" w14:textId="77777777" w:rsidR="00347D7E" w:rsidRDefault="00347D7E">
      <w:pPr>
        <w:rPr>
          <w:rFonts w:ascii="Tahoma" w:hAnsi="Tahoma" w:cs="Tahoma"/>
          <w:b/>
        </w:rPr>
        <w:sectPr w:rsidR="00347D7E">
          <w:pgSz w:w="16838" w:h="11906" w:orient="landscape"/>
          <w:pgMar w:top="1440" w:right="1440" w:bottom="1440" w:left="1440" w:header="708" w:footer="708" w:gutter="0"/>
          <w:cols w:space="708"/>
          <w:docGrid w:linePitch="360"/>
        </w:sectPr>
      </w:pPr>
    </w:p>
    <w:p w14:paraId="75BD76E2" w14:textId="2D60D28E" w:rsidR="00AB585C" w:rsidRDefault="003855FE">
      <w:pPr>
        <w:rPr>
          <w:rFonts w:ascii="Tahoma" w:hAnsi="Tahoma" w:cs="Tahoma"/>
        </w:rPr>
      </w:pPr>
      <w:r>
        <w:rPr>
          <w:rFonts w:ascii="Tahoma" w:hAnsi="Tahoma" w:cs="Tahoma"/>
          <w:b/>
        </w:rPr>
        <w:lastRenderedPageBreak/>
        <w:t xml:space="preserve">Table </w:t>
      </w:r>
      <w:proofErr w:type="spellStart"/>
      <w:r>
        <w:rPr>
          <w:rFonts w:ascii="Tahoma" w:hAnsi="Tahoma" w:cs="Tahoma"/>
          <w:b/>
        </w:rPr>
        <w:t>S</w:t>
      </w:r>
      <w:r w:rsidR="00926161">
        <w:rPr>
          <w:rFonts w:ascii="Tahoma" w:hAnsi="Tahoma" w:cs="Tahoma"/>
          <w:b/>
        </w:rPr>
        <w:t>5</w:t>
      </w:r>
      <w:proofErr w:type="spellEnd"/>
      <w:r>
        <w:rPr>
          <w:rFonts w:ascii="Tahoma" w:hAnsi="Tahoma" w:cs="Tahoma"/>
          <w:b/>
        </w:rPr>
        <w:t xml:space="preserve"> - </w:t>
      </w:r>
      <w:r>
        <w:rPr>
          <w:rFonts w:ascii="Tahoma" w:hAnsi="Tahoma" w:cs="Tahoma"/>
        </w:rPr>
        <w:t xml:space="preserve">Criteria list for assessment of methodological quality of economic evaluations: Consensus on Health Economic Criteria </w:t>
      </w:r>
      <w:r w:rsidR="00B035D2">
        <w:rPr>
          <w:rFonts w:ascii="Tahoma" w:hAnsi="Tahoma" w:cs="Tahoma"/>
        </w:rPr>
        <w:fldChar w:fldCharType="begin" w:fldLock="1"/>
      </w:r>
      <w:r w:rsidR="00FF02BC">
        <w:rPr>
          <w:rFonts w:ascii="Tahoma" w:hAnsi="Tahoma" w:cs="Tahoma"/>
        </w:rPr>
        <w:instrText>ADDIN CSL_CITATION {"citationItems":[{"id":"ITEM-1","itemData":{"DOI":"10.1017/S0266462305050324","ISBN":"0266-4623 (Print)\\r0266-4623 (Linking)","ISSN":"0266-4623","PMID":"15921065","abstract":"Objectives: The aim of the Consensus on Health Economic Criteria (CHEC) project is to develop a criteria list for assessment of the methodological quality of economic evaluations in systematic reviews. The criteria list resulting from this CHEC project should be regarded as a minimum standard. Methods: The criteria list has been developed using a Delphi method. Three Delphi rounds were needed to reach consensus. Twenty-three international experts participated in the Delphi panel. Results: The Delphi panel achieved consensus over a generic core set of items for the quality assessment of economic evaluations. Each item of the CHEC-list was formulated as a question that can be answered by yes or no. To standardize the interpretation of the list and facilitate its use, the project team also provided an operationalization of the criteria list items. Conclusions: There was consensus among a group of international experts regarding a core set of items that can be used to assess the quality of economic evaluations in systematic reviews. Using this checklist will make future systematic reviews of economic evaluations more transparent, informative, and comparable. Consequently, researchers and policy-makers might use these systematic reviews more easily. The CHEC-list can be downloaded freely from http://www.beoz.unimaas.nl/chec/. manageably large number of trials and economic evaluations of health care interventions. Systematic reviews of these stud-ies can help in making well-informed decisions on which intervention to adopt. For maximum usefulness, systematic reviews of economic evaluations should be transparent, that is, all relevant methodological information from the included studies should be described in a systematic way. However, there is no generally accepted criteria list for reviewing eco-nomic evaluations, which may be because most of the criteria lists are created single-handed. The aim of the Consensus on","author":[{"dropping-particle":"","family":"Evers","given":"Silvia","non-dropping-particle":"","parse-names":false,"suffix":""},{"dropping-particle":"","family":"Goossens","given":"Marïelle","non-dropping-particle":"","parse-names":false,"suffix":""},{"dropping-particle":"","family":"Vet","given":"Henrica","non-dropping-particle":"de","parse-names":false,"suffix":""},{"dropping-particle":"","family":"Tulder","given":"Maurits","non-dropping-particle":"van","parse-names":false,"suffix":""},{"dropping-particle":"","family":"Ament","given":"Andre","non-dropping-particle":"","parse-names":false,"suffix":""}],"container-title":"International Journal of Technology Assessment in Health Care","id":"ITEM-1","issue":"2","issued":{"date-parts":[["2005"]]},"page":"240-245","title":"Criteria list for assessment of methodological quality of economic evaluations: Consensus on Health Economic Criteria The authors thank the following persons for their participation in the Delphi panel","type":"article-journal","volume":"21"},"uris":["http://www.mendeley.com/documents/?uuid=44984a83-4984-3a14-8a5f-b6a2586e903d"]}],"mendeley":{"formattedCitation":"[14]","plainTextFormattedCitation":"[14]","previouslyFormattedCitation":"[14]"},"properties":{"noteIndex":0},"schema":"https://github.com/citation-style-language/schema/raw/master/csl-citation.json"}</w:instrText>
      </w:r>
      <w:r w:rsidR="00B035D2">
        <w:rPr>
          <w:rFonts w:ascii="Tahoma" w:hAnsi="Tahoma" w:cs="Tahoma"/>
        </w:rPr>
        <w:fldChar w:fldCharType="separate"/>
      </w:r>
      <w:r w:rsidR="00FF02BC" w:rsidRPr="00FF02BC">
        <w:rPr>
          <w:rFonts w:ascii="Tahoma" w:hAnsi="Tahoma" w:cs="Tahoma"/>
          <w:noProof/>
        </w:rPr>
        <w:t>[14]</w:t>
      </w:r>
      <w:r w:rsidR="00B035D2">
        <w:rPr>
          <w:rFonts w:ascii="Tahoma" w:hAnsi="Tahoma" w:cs="Tahoma"/>
        </w:rPr>
        <w:fldChar w:fldCharType="end"/>
      </w:r>
    </w:p>
    <w:tbl>
      <w:tblPr>
        <w:tblStyle w:val="TableGrid"/>
        <w:tblW w:w="0" w:type="auto"/>
        <w:jc w:val="center"/>
        <w:tblLook w:val="04A0" w:firstRow="1" w:lastRow="0" w:firstColumn="1" w:lastColumn="0" w:noHBand="0" w:noVBand="1"/>
      </w:tblPr>
      <w:tblGrid>
        <w:gridCol w:w="3415"/>
        <w:gridCol w:w="1428"/>
        <w:gridCol w:w="20"/>
        <w:gridCol w:w="1270"/>
        <w:gridCol w:w="46"/>
        <w:gridCol w:w="1537"/>
        <w:gridCol w:w="72"/>
        <w:gridCol w:w="1454"/>
      </w:tblGrid>
      <w:tr w:rsidR="00AB585C" w14:paraId="007365F1" w14:textId="77777777" w:rsidTr="00926161">
        <w:trPr>
          <w:jc w:val="center"/>
        </w:trPr>
        <w:tc>
          <w:tcPr>
            <w:tcW w:w="3415" w:type="dxa"/>
          </w:tcPr>
          <w:p w14:paraId="0086C440" w14:textId="77777777" w:rsidR="00AB585C" w:rsidRDefault="00AB585C">
            <w:pPr>
              <w:jc w:val="left"/>
              <w:rPr>
                <w:rFonts w:ascii="Tahoma" w:hAnsi="Tahoma" w:cs="Tahoma"/>
                <w:sz w:val="21"/>
                <w:szCs w:val="21"/>
              </w:rPr>
            </w:pPr>
            <w:bookmarkStart w:id="0" w:name="_Hlk504376036"/>
          </w:p>
        </w:tc>
        <w:tc>
          <w:tcPr>
            <w:tcW w:w="1448" w:type="dxa"/>
            <w:gridSpan w:val="2"/>
          </w:tcPr>
          <w:p w14:paraId="4D238060" w14:textId="77777777" w:rsidR="00AB585C" w:rsidRDefault="003855FE">
            <w:pPr>
              <w:rPr>
                <w:rFonts w:ascii="Tahoma" w:hAnsi="Tahoma" w:cs="Tahoma"/>
                <w:sz w:val="21"/>
                <w:szCs w:val="21"/>
              </w:rPr>
            </w:pPr>
            <w:r>
              <w:rPr>
                <w:rFonts w:ascii="Tahoma" w:hAnsi="Tahoma" w:cs="Tahoma"/>
                <w:sz w:val="21"/>
                <w:szCs w:val="21"/>
              </w:rPr>
              <w:t>Desmond (2008)</w:t>
            </w:r>
            <w:r w:rsidR="00FF02BC">
              <w:rPr>
                <w:rFonts w:ascii="Tahoma" w:hAnsi="Tahoma" w:cs="Tahoma"/>
                <w:sz w:val="21"/>
                <w:szCs w:val="21"/>
              </w:rPr>
              <w:t xml:space="preserve"> </w:t>
            </w:r>
            <w:r w:rsidR="00FF02BC">
              <w:rPr>
                <w:rFonts w:ascii="Tahoma" w:hAnsi="Tahoma" w:cs="Tahoma"/>
                <w:sz w:val="21"/>
                <w:szCs w:val="21"/>
              </w:rPr>
              <w:fldChar w:fldCharType="begin" w:fldLock="1"/>
            </w:r>
            <w:r w:rsidR="00FF02BC">
              <w:rPr>
                <w:rFonts w:ascii="Tahoma" w:hAnsi="Tahoma" w:cs="Tahoma"/>
                <w:sz w:val="21"/>
                <w:szCs w:val="21"/>
              </w:rPr>
              <w:instrText>ADDIN CSL_CITATION {"citationItems":[{"id":"ITEM-1","itemData":{"DOI":"10.1371/journal.pone.0002454","ISSN":"1932-6203","author":[{"dropping-particle":"","family":"Desmond","given":"Chris","non-dropping-particle":"","parse-names":false,"suffix":""},{"dropping-particle":"","family":"Bland","given":"Ruth M.","non-dropping-particle":"","parse-names":false,"suffix":""},{"dropping-particle":"","family":"Boyce","given":"Gerard","non-dropping-particle":"","parse-names":false,"suffix":""},{"dropping-particle":"","family":"Coovadia","given":"Hoosen M.","non-dropping-particle":"","parse-names":false,"suffix":""},{"dropping-particle":"","family":"Coutsoudis","given":"Anna","non-dropping-particle":"","parse-names":false,"suffix":""},{"dropping-particle":"","family":"Rollins","given":"Nigel","non-dropping-particle":"","parse-names":false,"suffix":""},{"dropping-particle":"","family":"Newell","given":"Marie-Louise","non-dropping-particle":"","parse-names":false,"suffix":""}],"container-title":"PLoS ONE","editor":[{"dropping-particle":"","family":"Belizan","given":"Jose M.","non-dropping-particle":"","parse-names":false,"suffix":""}],"id":"ITEM-1","issue":"6","issued":{"date-parts":[["2008","6","18"]]},"page":"e2454","title":"Scaling-Up Exclusive Breastfeeding Support Programmes: The Example of KwaZulu-Natal","type":"article-journal","volume":"3"},"uris":["http://www.mendeley.com/documents/?uuid=5d975b7a-dfdf-323f-b729-cfd82c048bb1"]}],"mendeley":{"formattedCitation":"[1]","plainTextFormattedCitation":"[1]","previouslyFormattedCitation":"[1]"},"properties":{"noteIndex":0},"schema":"https://github.com/citation-style-language/schema/raw/master/csl-citation.json"}</w:instrText>
            </w:r>
            <w:r w:rsidR="00FF02BC">
              <w:rPr>
                <w:rFonts w:ascii="Tahoma" w:hAnsi="Tahoma" w:cs="Tahoma"/>
                <w:sz w:val="21"/>
                <w:szCs w:val="21"/>
              </w:rPr>
              <w:fldChar w:fldCharType="separate"/>
            </w:r>
            <w:r w:rsidR="00FF02BC" w:rsidRPr="00FF02BC">
              <w:rPr>
                <w:rFonts w:ascii="Tahoma" w:hAnsi="Tahoma" w:cs="Tahoma"/>
                <w:noProof/>
                <w:sz w:val="21"/>
                <w:szCs w:val="21"/>
              </w:rPr>
              <w:t>[1]</w:t>
            </w:r>
            <w:r w:rsidR="00FF02BC">
              <w:rPr>
                <w:rFonts w:ascii="Tahoma" w:hAnsi="Tahoma" w:cs="Tahoma"/>
                <w:sz w:val="21"/>
                <w:szCs w:val="21"/>
              </w:rPr>
              <w:fldChar w:fldCharType="end"/>
            </w:r>
          </w:p>
        </w:tc>
        <w:tc>
          <w:tcPr>
            <w:tcW w:w="1316" w:type="dxa"/>
            <w:gridSpan w:val="2"/>
          </w:tcPr>
          <w:p w14:paraId="6600B465" w14:textId="77777777" w:rsidR="00AB585C" w:rsidRDefault="003855FE">
            <w:pPr>
              <w:rPr>
                <w:rFonts w:ascii="Tahoma" w:hAnsi="Tahoma" w:cs="Tahoma"/>
                <w:sz w:val="21"/>
                <w:szCs w:val="21"/>
              </w:rPr>
            </w:pPr>
            <w:r>
              <w:rPr>
                <w:rFonts w:ascii="Tahoma" w:hAnsi="Tahoma" w:cs="Tahoma"/>
                <w:sz w:val="21"/>
                <w:szCs w:val="21"/>
              </w:rPr>
              <w:t>Rice (2010)</w:t>
            </w:r>
            <w:r w:rsidR="00FF02BC">
              <w:rPr>
                <w:rFonts w:ascii="Tahoma" w:hAnsi="Tahoma" w:cs="Tahoma"/>
                <w:sz w:val="21"/>
                <w:szCs w:val="21"/>
              </w:rPr>
              <w:t xml:space="preserve"> </w:t>
            </w:r>
            <w:r w:rsidR="00FF02BC">
              <w:rPr>
                <w:rFonts w:ascii="Tahoma" w:hAnsi="Tahoma" w:cs="Tahoma"/>
                <w:sz w:val="21"/>
                <w:szCs w:val="21"/>
              </w:rPr>
              <w:fldChar w:fldCharType="begin" w:fldLock="1"/>
            </w:r>
            <w:r w:rsidR="00FF02BC">
              <w:rPr>
                <w:rFonts w:ascii="Tahoma" w:hAnsi="Tahoma" w:cs="Tahoma"/>
                <w:sz w:val="21"/>
                <w:szCs w:val="21"/>
              </w:rPr>
              <w:instrText>ADDIN CSL_CITATION {"citationItems":[{"id":"ITEM-1","itemData":{"DOI":"10.1017/S0266462310000115","ISSN":"02664623","abstract":"Objectives: There is evidence that breastmilk feeding reduces mortality and short and long-term morbidity among infants born too soon or too small. The aim of this study was to evaluate the cost-effectiveness of enhanced staff contact for mothers with infants in a neonatal unit with a birth weight of 500-2,500 g from the perspective of the UK National Health Service. Methods: A decision-tree model linked clinical outcomes with long-term health outcomes. The study population was divided into three weight bands: 500-999 g, 1000-1,749 g, and 1,750-2,500 g. Clinical and resource use data were obtained from literature reviews. The measure of benefit was quality-adjusted life-years. Uncertainty was evaluated using cost-effectiveness acceptability curves and sensitivity analyses. Results: The intervention was less costly and more effective than the comparator in the base-case analysis for each birth weight group. The results were quite robust to the sensitivity analyses performed. Conclusions: This is the first economic evaluation in this complex field and offers a model to be developed in future research. The results provide preliminary indications that enhanced staff contact may be cost-effective. However, the limited evidence available, and the limited UK data in particular, suggest that further research is required to provide results with confidence. Copyright © 2010 Cambridge University Press.","author":[{"dropping-particle":"","family":"Rice","given":"Stephen J.C.","non-dropping-particle":"","parse-names":false,"suffix":""},{"dropping-particle":"","family":"Craig","given":"Dawn","non-dropping-particle":"","parse-names":false,"suffix":""},{"dropping-particle":"","family":"McCormick","given":"Felicia","non-dropping-particle":"","parse-names":false,"suffix":""},{"dropping-particle":"","family":"Renfrew","given":"Mary J.","non-dropping-particle":"","parse-names":false,"suffix":""},{"dropping-particle":"","family":"Williams","given":"Anthony F.","non-dropping-particle":"","parse-names":false,"suffix":""}],"container-title":"International Journal of Technology Assessment in Health Care","id":"ITEM-1","issue":"2","issued":{"date-parts":[["2010","4"]]},"page":"133-140","title":"Economic evaluation of enhanced staff contact for the promotion of breastfeeding for low birth weight infants","type":"article-journal","volume":"26"},"uris":["http://www.mendeley.com/documents/?uuid=32b7ec6f-4fe9-381b-8d95-d619c4f68e4e"]}],"mendeley":{"formattedCitation":"[2]","plainTextFormattedCitation":"[2]","previouslyFormattedCitation":"[2]"},"properties":{"noteIndex":0},"schema":"https://github.com/citation-style-language/schema/raw/master/csl-citation.json"}</w:instrText>
            </w:r>
            <w:r w:rsidR="00FF02BC">
              <w:rPr>
                <w:rFonts w:ascii="Tahoma" w:hAnsi="Tahoma" w:cs="Tahoma"/>
                <w:sz w:val="21"/>
                <w:szCs w:val="21"/>
              </w:rPr>
              <w:fldChar w:fldCharType="separate"/>
            </w:r>
            <w:r w:rsidR="00FF02BC" w:rsidRPr="00FF02BC">
              <w:rPr>
                <w:rFonts w:ascii="Tahoma" w:hAnsi="Tahoma" w:cs="Tahoma"/>
                <w:noProof/>
                <w:sz w:val="21"/>
                <w:szCs w:val="21"/>
              </w:rPr>
              <w:t>[2]</w:t>
            </w:r>
            <w:r w:rsidR="00FF02BC">
              <w:rPr>
                <w:rFonts w:ascii="Tahoma" w:hAnsi="Tahoma" w:cs="Tahoma"/>
                <w:sz w:val="21"/>
                <w:szCs w:val="21"/>
              </w:rPr>
              <w:fldChar w:fldCharType="end"/>
            </w:r>
          </w:p>
        </w:tc>
        <w:tc>
          <w:tcPr>
            <w:tcW w:w="1609" w:type="dxa"/>
            <w:gridSpan w:val="2"/>
          </w:tcPr>
          <w:p w14:paraId="441583F9" w14:textId="77777777" w:rsidR="00AB585C" w:rsidRDefault="003855FE">
            <w:pPr>
              <w:rPr>
                <w:rFonts w:ascii="Tahoma" w:hAnsi="Tahoma" w:cs="Tahoma"/>
                <w:sz w:val="21"/>
                <w:szCs w:val="21"/>
              </w:rPr>
            </w:pPr>
            <w:r>
              <w:rPr>
                <w:rFonts w:ascii="Tahoma" w:hAnsi="Tahoma" w:cs="Tahoma"/>
                <w:sz w:val="21"/>
                <w:szCs w:val="21"/>
              </w:rPr>
              <w:t>Rubio-Rodriguez (2012)</w:t>
            </w:r>
            <w:r w:rsidR="00FF02BC">
              <w:rPr>
                <w:rFonts w:ascii="Tahoma" w:hAnsi="Tahoma" w:cs="Tahoma"/>
                <w:sz w:val="21"/>
                <w:szCs w:val="21"/>
              </w:rPr>
              <w:t xml:space="preserve"> </w:t>
            </w:r>
            <w:r w:rsidR="00FF02BC">
              <w:rPr>
                <w:rFonts w:ascii="Tahoma" w:hAnsi="Tahoma" w:cs="Tahoma"/>
                <w:sz w:val="21"/>
                <w:szCs w:val="21"/>
              </w:rPr>
              <w:fldChar w:fldCharType="begin" w:fldLock="1"/>
            </w:r>
            <w:r w:rsidR="00FF02BC">
              <w:rPr>
                <w:rFonts w:ascii="Tahoma" w:hAnsi="Tahoma" w:cs="Tahoma"/>
                <w:sz w:val="21"/>
                <w:szCs w:val="21"/>
              </w:rPr>
              <w:instrText>ADDIN CSL_CITATION {"citationItems":[{"id":"ITEM-1","itemData":{"DOI":"10.1016/j.anpedi.2012.03.015","ISSN":"16954033","abstract":"Introduction: Although breastfeeding (BF) is the ideal food for newborns because it covers their growing needs and provides active immunity against various diseases, it is often replaced by artificial feeding. We estimated the cost-effectiveness of increased promotion of BF in neonatal units with intensive intervention with specialised nurses or midwives dedicated to this purpose. Methods: An analysis of cost-effectiveness, using a decision analysis model which included data on a specialised intervention for the promotion of BF, its effectiveness in the short-term (sepsis, necrotizing enterocolitis) and long-term (disabled due to neurodevelopmental impairment) of the different types of milk consumed, as well as the mortality, costs and benefits of these. Data was also obtained from current medical literature, studies and Spanish sources. The analysis was limited to three subgroups of low birthweights (500-999 g, 1000-1749 g, 1750-2500 g). Results: In the deterministic analysis, the intervention was \"dominant\" for the three subgroups of infants, which meant it was more effective and with lower costs, than no intervention. The Monte Carlo probabilistic analysis confirmed the robustness of the result with probabilities of dominance of 100%, 100% and 99.9% for the three subgroups of weights, respectively. The intervention would be cost-effective with costs of puerperal intervention of 70,504, 14,742 and 7,106, respectively. These costs would be well above the estimated maximum (12.51). Conclusions: According to this model, the promotion of breastfeeding through an intensive promotion and with specialised nurses or midwives dedicated to this purpose, may be cost-effective in the case of puerperal women with low birth weight neonates (500-2500 g). © 2011 Asociación Española de Pediatría. Published by Elsevier España, S.L. All rights reserved.","author":[{"dropping-particle":"","family":"Rubio-Rodríguez","given":"D.","non-dropping-particle":"","parse-names":false,"suffix":""}],"container-title":"Anales de Pediatria","id":"ITEM-1","issue":"5","issued":{"date-parts":[["2012","11"]]},"page":"297-308","title":"Análisis económico de la promoción intensiva y especializada de la lactancia materna en las unidades neonatales en España Economic analysis of specialised and intensive promotion of breastfeeding in neonatal units in Spain","type":"article-journal","volume":"77"},"uris":["http://www.mendeley.com/documents/?uuid=f447e374-e11a-3491-bd10-d853fb478435"]}],"mendeley":{"formattedCitation":"[3]","plainTextFormattedCitation":"[3]","previouslyFormattedCitation":"[3]"},"properties":{"noteIndex":0},"schema":"https://github.com/citation-style-language/schema/raw/master/csl-citation.json"}</w:instrText>
            </w:r>
            <w:r w:rsidR="00FF02BC">
              <w:rPr>
                <w:rFonts w:ascii="Tahoma" w:hAnsi="Tahoma" w:cs="Tahoma"/>
                <w:sz w:val="21"/>
                <w:szCs w:val="21"/>
              </w:rPr>
              <w:fldChar w:fldCharType="separate"/>
            </w:r>
            <w:r w:rsidR="00FF02BC" w:rsidRPr="00FF02BC">
              <w:rPr>
                <w:rFonts w:ascii="Tahoma" w:hAnsi="Tahoma" w:cs="Tahoma"/>
                <w:noProof/>
                <w:sz w:val="21"/>
                <w:szCs w:val="21"/>
              </w:rPr>
              <w:t>[3]</w:t>
            </w:r>
            <w:r w:rsidR="00FF02BC">
              <w:rPr>
                <w:rFonts w:ascii="Tahoma" w:hAnsi="Tahoma" w:cs="Tahoma"/>
                <w:sz w:val="21"/>
                <w:szCs w:val="21"/>
              </w:rPr>
              <w:fldChar w:fldCharType="end"/>
            </w:r>
          </w:p>
        </w:tc>
        <w:tc>
          <w:tcPr>
            <w:tcW w:w="1454" w:type="dxa"/>
          </w:tcPr>
          <w:p w14:paraId="0874B5E9" w14:textId="77777777" w:rsidR="00AB585C" w:rsidRDefault="003855FE">
            <w:pPr>
              <w:rPr>
                <w:rFonts w:ascii="Tahoma" w:hAnsi="Tahoma" w:cs="Tahoma"/>
                <w:sz w:val="21"/>
                <w:szCs w:val="21"/>
              </w:rPr>
            </w:pPr>
            <w:r>
              <w:rPr>
                <w:rFonts w:ascii="Tahoma" w:hAnsi="Tahoma" w:cs="Tahoma"/>
                <w:sz w:val="21"/>
                <w:szCs w:val="21"/>
              </w:rPr>
              <w:t>Chola (2015)</w:t>
            </w:r>
            <w:r w:rsidR="00FF02BC">
              <w:rPr>
                <w:rFonts w:ascii="Tahoma" w:hAnsi="Tahoma" w:cs="Tahoma"/>
                <w:sz w:val="21"/>
                <w:szCs w:val="21"/>
              </w:rPr>
              <w:t xml:space="preserve"> </w:t>
            </w:r>
            <w:r w:rsidR="00FF02BC">
              <w:rPr>
                <w:rFonts w:ascii="Tahoma" w:hAnsi="Tahoma" w:cs="Tahoma"/>
                <w:sz w:val="21"/>
                <w:szCs w:val="21"/>
              </w:rPr>
              <w:fldChar w:fldCharType="begin" w:fldLock="1"/>
            </w:r>
            <w:r w:rsidR="00BA4A7A">
              <w:rPr>
                <w:rFonts w:ascii="Tahoma" w:hAnsi="Tahoma" w:cs="Tahoma"/>
                <w:sz w:val="21"/>
                <w:szCs w:val="21"/>
              </w:rPr>
              <w:instrText>ADDIN CSL_CITATION {"citationItems":[{"id":"ITEM-1","itemData":{"DOI":"10.1371/journal.pone.0142718","ISSN":"1932-6203","author":[{"dropping-particle":"","family":"Chola","given":"Lumbwe","non-dropping-particle":"","parse-names":false,"suffix":""},{"dropping-particle":"","family":"Fadnes","given":"Lars T.","non-dropping-particle":"","parse-names":false,"suffix":""},{"dropping-particle":"","family":"Engebretsen","given":"Ingunn M. S.","non-dropping-particle":"","parse-names":false,"suffix":""},{"dropping-particle":"","family":"Nkonki","given":"Lungiswa","non-dropping-particle":"","parse-names":false,"suffix":""},{"dropping-particle":"","family":"Nankabirwa","given":"Victoria","non-dropping-particle":"","parse-names":false,"suffix":""},{"dropping-particle":"","family":"Sommerfelt","given":"Halvor","non-dropping-particle":"","parse-names":false,"suffix":""},{"dropping-particle":"","family":"Tumwine","given":"James K.","non-dropping-particle":"","parse-names":false,"suffix":""},{"dropping-particle":"","family":"Tylleskar","given":"Thorkild","non-dropping-particle":"","parse-names":false,"suffix":""},{"dropping-particle":"","family":"Robberstad","given":"Bjarne","non-dropping-particle":"","parse-names":false,"suffix":""}],"container-title":"PLOS ONE","editor":[{"dropping-particle":"","family":"Wouwe","given":"Jacobus","non-dropping-particle":"van","parse-names":false,"suffix":""}],"id":"ITEM-1","issue":"11","issued":{"date-parts":[["2015","11","30"]]},"page":"e0142718","title":"Cost-Effectiveness of Peer Counselling for the Promotion of Exclusive Breastfeeding in Uganda","type":"article-journal","volume":"10"},"uris":["http://www.mendeley.com/documents/?uuid=11cdec99-2b90-3d3c-b759-fd6743f1fce4"]}],"mendeley":{"formattedCitation":"[4]","plainTextFormattedCitation":"[4]","previouslyFormattedCitation":"[4]"},"properties":{"noteIndex":0},"schema":"https://github.com/citation-style-language/schema/raw/master/csl-citation.json"}</w:instrText>
            </w:r>
            <w:r w:rsidR="00FF02BC">
              <w:rPr>
                <w:rFonts w:ascii="Tahoma" w:hAnsi="Tahoma" w:cs="Tahoma"/>
                <w:sz w:val="21"/>
                <w:szCs w:val="21"/>
              </w:rPr>
              <w:fldChar w:fldCharType="separate"/>
            </w:r>
            <w:r w:rsidR="00FF02BC" w:rsidRPr="00FF02BC">
              <w:rPr>
                <w:rFonts w:ascii="Tahoma" w:hAnsi="Tahoma" w:cs="Tahoma"/>
                <w:noProof/>
                <w:sz w:val="21"/>
                <w:szCs w:val="21"/>
              </w:rPr>
              <w:t>[4]</w:t>
            </w:r>
            <w:r w:rsidR="00FF02BC">
              <w:rPr>
                <w:rFonts w:ascii="Tahoma" w:hAnsi="Tahoma" w:cs="Tahoma"/>
                <w:sz w:val="21"/>
                <w:szCs w:val="21"/>
              </w:rPr>
              <w:fldChar w:fldCharType="end"/>
            </w:r>
          </w:p>
        </w:tc>
      </w:tr>
      <w:bookmarkEnd w:id="0"/>
      <w:tr w:rsidR="003855FE" w14:paraId="4C77CADA" w14:textId="77777777" w:rsidTr="00926161">
        <w:trPr>
          <w:jc w:val="center"/>
        </w:trPr>
        <w:tc>
          <w:tcPr>
            <w:tcW w:w="3415" w:type="dxa"/>
          </w:tcPr>
          <w:p w14:paraId="661A8E2A" w14:textId="77777777" w:rsidR="003855FE" w:rsidRDefault="003855FE" w:rsidP="003855FE">
            <w:pPr>
              <w:jc w:val="left"/>
              <w:rPr>
                <w:rFonts w:ascii="Tahoma" w:hAnsi="Tahoma" w:cs="Tahoma"/>
              </w:rPr>
            </w:pPr>
            <w:r>
              <w:rPr>
                <w:rFonts w:ascii="Tahoma" w:hAnsi="Tahoma" w:cs="Tahoma"/>
              </w:rPr>
              <w:t xml:space="preserve">1. Is the study population clearly described? </w:t>
            </w:r>
          </w:p>
        </w:tc>
        <w:tc>
          <w:tcPr>
            <w:tcW w:w="1448" w:type="dxa"/>
            <w:gridSpan w:val="2"/>
          </w:tcPr>
          <w:p w14:paraId="23CCC344"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016BDD20"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220ECACD"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454" w:type="dxa"/>
          </w:tcPr>
          <w:p w14:paraId="2C86DA77"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r>
      <w:tr w:rsidR="003855FE" w14:paraId="2E2E136A" w14:textId="77777777" w:rsidTr="00926161">
        <w:trPr>
          <w:jc w:val="center"/>
        </w:trPr>
        <w:tc>
          <w:tcPr>
            <w:tcW w:w="3415" w:type="dxa"/>
          </w:tcPr>
          <w:p w14:paraId="2AADF78F" w14:textId="77777777" w:rsidR="003855FE" w:rsidRDefault="003855FE" w:rsidP="003855FE">
            <w:pPr>
              <w:jc w:val="left"/>
              <w:rPr>
                <w:rFonts w:ascii="Tahoma" w:hAnsi="Tahoma" w:cs="Tahoma"/>
              </w:rPr>
            </w:pPr>
            <w:r>
              <w:rPr>
                <w:rFonts w:ascii="Tahoma" w:hAnsi="Tahoma" w:cs="Tahoma"/>
              </w:rPr>
              <w:t xml:space="preserve">2. Are competing alternatives clearly described? </w:t>
            </w:r>
          </w:p>
        </w:tc>
        <w:tc>
          <w:tcPr>
            <w:tcW w:w="1448" w:type="dxa"/>
            <w:gridSpan w:val="2"/>
          </w:tcPr>
          <w:p w14:paraId="6EFEE963"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444C5CE5"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4094A69E"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454" w:type="dxa"/>
          </w:tcPr>
          <w:p w14:paraId="21C8C4AE"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r>
      <w:tr w:rsidR="003855FE" w14:paraId="302F3668" w14:textId="77777777" w:rsidTr="00926161">
        <w:trPr>
          <w:jc w:val="center"/>
        </w:trPr>
        <w:tc>
          <w:tcPr>
            <w:tcW w:w="3415" w:type="dxa"/>
          </w:tcPr>
          <w:p w14:paraId="38AB98EF" w14:textId="77777777" w:rsidR="003855FE" w:rsidRDefault="003855FE" w:rsidP="003855FE">
            <w:pPr>
              <w:jc w:val="left"/>
              <w:rPr>
                <w:rFonts w:ascii="Tahoma" w:hAnsi="Tahoma" w:cs="Tahoma"/>
              </w:rPr>
            </w:pPr>
            <w:r>
              <w:rPr>
                <w:rFonts w:ascii="Tahoma" w:hAnsi="Tahoma" w:cs="Tahoma"/>
              </w:rPr>
              <w:t xml:space="preserve">3. Is the economic study design appropriate to the stated objective? </w:t>
            </w:r>
          </w:p>
        </w:tc>
        <w:tc>
          <w:tcPr>
            <w:tcW w:w="1448" w:type="dxa"/>
            <w:gridSpan w:val="2"/>
          </w:tcPr>
          <w:p w14:paraId="2A16D0FB"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485C03F3"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0D106828"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454" w:type="dxa"/>
          </w:tcPr>
          <w:p w14:paraId="49788911"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r>
      <w:tr w:rsidR="003855FE" w14:paraId="50C7931D" w14:textId="77777777" w:rsidTr="00926161">
        <w:trPr>
          <w:jc w:val="center"/>
        </w:trPr>
        <w:tc>
          <w:tcPr>
            <w:tcW w:w="3415" w:type="dxa"/>
          </w:tcPr>
          <w:p w14:paraId="1E46F678" w14:textId="77777777" w:rsidR="003855FE" w:rsidRDefault="003855FE" w:rsidP="003855FE">
            <w:pPr>
              <w:jc w:val="left"/>
              <w:rPr>
                <w:rFonts w:ascii="Tahoma" w:hAnsi="Tahoma" w:cs="Tahoma"/>
              </w:rPr>
            </w:pPr>
            <w:r>
              <w:rPr>
                <w:rFonts w:ascii="Tahoma" w:hAnsi="Tahoma" w:cs="Tahoma"/>
              </w:rPr>
              <w:t xml:space="preserve">4. Is the chosen time horizon appropriate to include relevant costs and consequences? </w:t>
            </w:r>
          </w:p>
        </w:tc>
        <w:tc>
          <w:tcPr>
            <w:tcW w:w="1448" w:type="dxa"/>
            <w:gridSpan w:val="2"/>
          </w:tcPr>
          <w:p w14:paraId="236A2666"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3A4FD180"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2324E90E"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454" w:type="dxa"/>
          </w:tcPr>
          <w:p w14:paraId="5A0D717C"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r>
      <w:tr w:rsidR="003855FE" w14:paraId="4C932094" w14:textId="77777777" w:rsidTr="00926161">
        <w:trPr>
          <w:jc w:val="center"/>
        </w:trPr>
        <w:tc>
          <w:tcPr>
            <w:tcW w:w="3415" w:type="dxa"/>
          </w:tcPr>
          <w:p w14:paraId="13639D0C" w14:textId="77777777" w:rsidR="003855FE" w:rsidRDefault="003855FE" w:rsidP="003855FE">
            <w:pPr>
              <w:jc w:val="left"/>
              <w:rPr>
                <w:rFonts w:ascii="Tahoma" w:hAnsi="Tahoma" w:cs="Tahoma"/>
              </w:rPr>
            </w:pPr>
            <w:r>
              <w:rPr>
                <w:rFonts w:ascii="Tahoma" w:hAnsi="Tahoma" w:cs="Tahoma"/>
              </w:rPr>
              <w:t xml:space="preserve">5. Is the actual perspective chosen appropriate? </w:t>
            </w:r>
          </w:p>
        </w:tc>
        <w:tc>
          <w:tcPr>
            <w:tcW w:w="1448" w:type="dxa"/>
            <w:gridSpan w:val="2"/>
          </w:tcPr>
          <w:p w14:paraId="6F8CA335"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015E1DE5"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12AD9490"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c>
          <w:tcPr>
            <w:tcW w:w="1454" w:type="dxa"/>
          </w:tcPr>
          <w:p w14:paraId="28291EE6" w14:textId="77777777" w:rsidR="003855FE" w:rsidRDefault="003855FE" w:rsidP="003855FE">
            <w:pPr>
              <w:jc w:val="center"/>
              <w:rPr>
                <w:rFonts w:ascii="Tahoma" w:hAnsi="Tahoma" w:cs="Tahoma"/>
                <w:sz w:val="52"/>
              </w:rPr>
            </w:pPr>
            <w:r w:rsidRPr="00CE52EB">
              <w:rPr>
                <w:rFonts w:ascii="Tahoma" w:hAnsi="Tahoma" w:cs="Tahoma"/>
                <w:sz w:val="52"/>
              </w:rPr>
              <w:sym w:font="Wingdings" w:char="F0FC"/>
            </w:r>
          </w:p>
        </w:tc>
      </w:tr>
      <w:tr w:rsidR="00201AEF" w14:paraId="1D2F8665" w14:textId="77777777" w:rsidTr="00926161">
        <w:trPr>
          <w:jc w:val="center"/>
        </w:trPr>
        <w:tc>
          <w:tcPr>
            <w:tcW w:w="3415" w:type="dxa"/>
          </w:tcPr>
          <w:p w14:paraId="4355A6BE" w14:textId="77777777" w:rsidR="00201AEF" w:rsidRDefault="00201AEF" w:rsidP="00201AEF">
            <w:pPr>
              <w:jc w:val="left"/>
              <w:rPr>
                <w:rFonts w:ascii="Tahoma" w:hAnsi="Tahoma" w:cs="Tahoma"/>
              </w:rPr>
            </w:pPr>
            <w:r>
              <w:rPr>
                <w:rFonts w:ascii="Tahoma" w:hAnsi="Tahoma" w:cs="Tahoma"/>
              </w:rPr>
              <w:t xml:space="preserve">6. Are all important and relevant costs for each alternative identified? </w:t>
            </w:r>
          </w:p>
        </w:tc>
        <w:tc>
          <w:tcPr>
            <w:tcW w:w="1448" w:type="dxa"/>
            <w:gridSpan w:val="2"/>
          </w:tcPr>
          <w:p w14:paraId="47EAA86E"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104C62E6"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5D7ACA59"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454" w:type="dxa"/>
          </w:tcPr>
          <w:p w14:paraId="4AB1AC65"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r>
      <w:tr w:rsidR="00201AEF" w14:paraId="080B2A2E" w14:textId="77777777" w:rsidTr="00926161">
        <w:trPr>
          <w:jc w:val="center"/>
        </w:trPr>
        <w:tc>
          <w:tcPr>
            <w:tcW w:w="3415" w:type="dxa"/>
          </w:tcPr>
          <w:p w14:paraId="43439327" w14:textId="77777777" w:rsidR="00201AEF" w:rsidRDefault="00201AEF" w:rsidP="00201AEF">
            <w:pPr>
              <w:jc w:val="left"/>
              <w:rPr>
                <w:rFonts w:ascii="Tahoma" w:hAnsi="Tahoma" w:cs="Tahoma"/>
              </w:rPr>
            </w:pPr>
            <w:r>
              <w:rPr>
                <w:rFonts w:ascii="Tahoma" w:hAnsi="Tahoma" w:cs="Tahoma"/>
              </w:rPr>
              <w:t xml:space="preserve">7. Are all costs measured appropriately in physical units? </w:t>
            </w:r>
          </w:p>
        </w:tc>
        <w:tc>
          <w:tcPr>
            <w:tcW w:w="1448" w:type="dxa"/>
            <w:gridSpan w:val="2"/>
          </w:tcPr>
          <w:p w14:paraId="12711D6E"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1882CBC5"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6CD010FE"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454" w:type="dxa"/>
          </w:tcPr>
          <w:p w14:paraId="0528C49B"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r>
      <w:tr w:rsidR="00201AEF" w14:paraId="12DDB62D" w14:textId="77777777" w:rsidTr="00926161">
        <w:trPr>
          <w:jc w:val="center"/>
        </w:trPr>
        <w:tc>
          <w:tcPr>
            <w:tcW w:w="3415" w:type="dxa"/>
          </w:tcPr>
          <w:p w14:paraId="2F5DDF35" w14:textId="77777777" w:rsidR="00201AEF" w:rsidRDefault="00201AEF" w:rsidP="00201AEF">
            <w:pPr>
              <w:jc w:val="left"/>
              <w:rPr>
                <w:rFonts w:ascii="Tahoma" w:hAnsi="Tahoma" w:cs="Tahoma"/>
              </w:rPr>
            </w:pPr>
            <w:r>
              <w:rPr>
                <w:rFonts w:ascii="Tahoma" w:hAnsi="Tahoma" w:cs="Tahoma"/>
              </w:rPr>
              <w:t xml:space="preserve">8. Are costs valued appropriately? </w:t>
            </w:r>
          </w:p>
        </w:tc>
        <w:tc>
          <w:tcPr>
            <w:tcW w:w="1448" w:type="dxa"/>
            <w:gridSpan w:val="2"/>
          </w:tcPr>
          <w:p w14:paraId="3F48CC72"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66D8033C"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0800FC20"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454" w:type="dxa"/>
          </w:tcPr>
          <w:p w14:paraId="28D51D9C"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r>
      <w:tr w:rsidR="00201AEF" w14:paraId="14F9D46B" w14:textId="77777777" w:rsidTr="00926161">
        <w:trPr>
          <w:jc w:val="center"/>
        </w:trPr>
        <w:tc>
          <w:tcPr>
            <w:tcW w:w="3415" w:type="dxa"/>
          </w:tcPr>
          <w:p w14:paraId="5EA2A148" w14:textId="77777777" w:rsidR="00201AEF" w:rsidRDefault="00201AEF" w:rsidP="00201AEF">
            <w:pPr>
              <w:jc w:val="left"/>
              <w:rPr>
                <w:rFonts w:ascii="Tahoma" w:hAnsi="Tahoma" w:cs="Tahoma"/>
              </w:rPr>
            </w:pPr>
            <w:r>
              <w:rPr>
                <w:rFonts w:ascii="Tahoma" w:hAnsi="Tahoma" w:cs="Tahoma"/>
              </w:rPr>
              <w:t xml:space="preserve">9. Are all important and relevant outcomes for each alternative identified? </w:t>
            </w:r>
          </w:p>
        </w:tc>
        <w:tc>
          <w:tcPr>
            <w:tcW w:w="1448" w:type="dxa"/>
            <w:gridSpan w:val="2"/>
          </w:tcPr>
          <w:p w14:paraId="20122532"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7329A110"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1F14E1F8"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454" w:type="dxa"/>
          </w:tcPr>
          <w:p w14:paraId="7F2DA402"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r>
      <w:tr w:rsidR="00201AEF" w14:paraId="781805B1" w14:textId="77777777" w:rsidTr="00926161">
        <w:trPr>
          <w:jc w:val="center"/>
        </w:trPr>
        <w:tc>
          <w:tcPr>
            <w:tcW w:w="3415" w:type="dxa"/>
          </w:tcPr>
          <w:p w14:paraId="4F56D1BB" w14:textId="77777777" w:rsidR="00201AEF" w:rsidRDefault="00201AEF" w:rsidP="00201AEF">
            <w:pPr>
              <w:jc w:val="left"/>
              <w:rPr>
                <w:rFonts w:ascii="Tahoma" w:hAnsi="Tahoma" w:cs="Tahoma"/>
              </w:rPr>
            </w:pPr>
            <w:r>
              <w:rPr>
                <w:rFonts w:ascii="Tahoma" w:hAnsi="Tahoma" w:cs="Tahoma"/>
              </w:rPr>
              <w:t xml:space="preserve">10. Are all outcomes measured appropriately? </w:t>
            </w:r>
          </w:p>
        </w:tc>
        <w:tc>
          <w:tcPr>
            <w:tcW w:w="1448" w:type="dxa"/>
            <w:gridSpan w:val="2"/>
          </w:tcPr>
          <w:p w14:paraId="50B8CA00"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316" w:type="dxa"/>
            <w:gridSpan w:val="2"/>
          </w:tcPr>
          <w:p w14:paraId="5C2A3E63"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609" w:type="dxa"/>
            <w:gridSpan w:val="2"/>
          </w:tcPr>
          <w:p w14:paraId="5BA83461"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454" w:type="dxa"/>
          </w:tcPr>
          <w:p w14:paraId="5EEE53F7"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r>
      <w:tr w:rsidR="00201AEF" w14:paraId="3BE6D04D" w14:textId="77777777" w:rsidTr="00926161">
        <w:trPr>
          <w:jc w:val="center"/>
        </w:trPr>
        <w:tc>
          <w:tcPr>
            <w:tcW w:w="3415" w:type="dxa"/>
          </w:tcPr>
          <w:p w14:paraId="66490B5D" w14:textId="77777777" w:rsidR="00201AEF" w:rsidRDefault="00201AEF" w:rsidP="00201AEF">
            <w:pPr>
              <w:jc w:val="left"/>
              <w:rPr>
                <w:rFonts w:ascii="Tahoma" w:hAnsi="Tahoma" w:cs="Tahoma"/>
              </w:rPr>
            </w:pPr>
            <w:r>
              <w:rPr>
                <w:rFonts w:ascii="Tahoma" w:hAnsi="Tahoma" w:cs="Tahoma"/>
              </w:rPr>
              <w:t xml:space="preserve">11. Are outcomes valued appropriately? </w:t>
            </w:r>
          </w:p>
        </w:tc>
        <w:tc>
          <w:tcPr>
            <w:tcW w:w="1428" w:type="dxa"/>
          </w:tcPr>
          <w:p w14:paraId="1B45E819"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290" w:type="dxa"/>
            <w:gridSpan w:val="2"/>
          </w:tcPr>
          <w:p w14:paraId="63E5BD7A"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583" w:type="dxa"/>
            <w:gridSpan w:val="2"/>
          </w:tcPr>
          <w:p w14:paraId="7FA2EC93"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c>
          <w:tcPr>
            <w:tcW w:w="1526" w:type="dxa"/>
            <w:gridSpan w:val="2"/>
          </w:tcPr>
          <w:p w14:paraId="285ABBE4" w14:textId="77777777" w:rsidR="00201AEF" w:rsidRDefault="00201AEF" w:rsidP="00201AEF">
            <w:pPr>
              <w:jc w:val="center"/>
              <w:rPr>
                <w:rFonts w:ascii="Tahoma" w:hAnsi="Tahoma" w:cs="Tahoma"/>
                <w:sz w:val="52"/>
              </w:rPr>
            </w:pPr>
            <w:r w:rsidRPr="00CE52EB">
              <w:rPr>
                <w:rFonts w:ascii="Tahoma" w:hAnsi="Tahoma" w:cs="Tahoma"/>
                <w:sz w:val="52"/>
              </w:rPr>
              <w:sym w:font="Wingdings" w:char="F0FC"/>
            </w:r>
          </w:p>
        </w:tc>
      </w:tr>
      <w:tr w:rsidR="00201AEF" w14:paraId="18F07B0B" w14:textId="77777777" w:rsidTr="00926161">
        <w:trPr>
          <w:jc w:val="center"/>
        </w:trPr>
        <w:tc>
          <w:tcPr>
            <w:tcW w:w="3415" w:type="dxa"/>
          </w:tcPr>
          <w:p w14:paraId="20D1F5D6" w14:textId="77777777" w:rsidR="00201AEF" w:rsidRDefault="00201AEF" w:rsidP="00201AEF">
            <w:pPr>
              <w:jc w:val="left"/>
              <w:rPr>
                <w:rFonts w:ascii="Tahoma" w:hAnsi="Tahoma" w:cs="Tahoma"/>
              </w:rPr>
            </w:pPr>
            <w:r>
              <w:rPr>
                <w:rFonts w:ascii="Tahoma" w:hAnsi="Tahoma" w:cs="Tahoma"/>
              </w:rPr>
              <w:t xml:space="preserve">12. Is an incremental analysis of costs and outcomes of alternatives performed? </w:t>
            </w:r>
          </w:p>
        </w:tc>
        <w:tc>
          <w:tcPr>
            <w:tcW w:w="1428" w:type="dxa"/>
          </w:tcPr>
          <w:p w14:paraId="31D0E0BE" w14:textId="77777777" w:rsidR="00201AEF" w:rsidRDefault="00201AEF" w:rsidP="00201AEF">
            <w:pPr>
              <w:jc w:val="center"/>
              <w:rPr>
                <w:rFonts w:ascii="Tahoma" w:hAnsi="Tahoma" w:cs="Tahoma"/>
              </w:rPr>
            </w:pPr>
            <w:r w:rsidRPr="00A45B2B">
              <w:rPr>
                <w:rFonts w:ascii="Tahoma" w:hAnsi="Tahoma" w:cs="Tahoma"/>
                <w:sz w:val="52"/>
              </w:rPr>
              <w:sym w:font="Wingdings" w:char="F0FC"/>
            </w:r>
          </w:p>
        </w:tc>
        <w:tc>
          <w:tcPr>
            <w:tcW w:w="1290" w:type="dxa"/>
            <w:gridSpan w:val="2"/>
          </w:tcPr>
          <w:p w14:paraId="354AB63C" w14:textId="77777777" w:rsidR="00201AEF" w:rsidRDefault="00201AEF" w:rsidP="00201AEF">
            <w:pPr>
              <w:jc w:val="center"/>
              <w:rPr>
                <w:rFonts w:ascii="Tahoma" w:hAnsi="Tahoma" w:cs="Tahoma"/>
              </w:rPr>
            </w:pPr>
            <w:r w:rsidRPr="00A45B2B">
              <w:rPr>
                <w:rFonts w:ascii="Tahoma" w:hAnsi="Tahoma" w:cs="Tahoma"/>
                <w:sz w:val="52"/>
              </w:rPr>
              <w:sym w:font="Wingdings" w:char="F0FC"/>
            </w:r>
          </w:p>
        </w:tc>
        <w:tc>
          <w:tcPr>
            <w:tcW w:w="1583" w:type="dxa"/>
            <w:gridSpan w:val="2"/>
          </w:tcPr>
          <w:p w14:paraId="0E3DF424" w14:textId="77777777" w:rsidR="00201AEF" w:rsidRDefault="00201AEF" w:rsidP="00201AEF">
            <w:pPr>
              <w:jc w:val="center"/>
              <w:rPr>
                <w:rFonts w:ascii="Tahoma" w:hAnsi="Tahoma" w:cs="Tahoma"/>
              </w:rPr>
            </w:pPr>
            <w:r w:rsidRPr="00A45B2B">
              <w:rPr>
                <w:rFonts w:ascii="Tahoma" w:hAnsi="Tahoma" w:cs="Tahoma"/>
                <w:sz w:val="52"/>
              </w:rPr>
              <w:sym w:font="Wingdings" w:char="F0FC"/>
            </w:r>
          </w:p>
        </w:tc>
        <w:tc>
          <w:tcPr>
            <w:tcW w:w="1526" w:type="dxa"/>
            <w:gridSpan w:val="2"/>
          </w:tcPr>
          <w:p w14:paraId="79CBC278" w14:textId="77777777" w:rsidR="00201AEF" w:rsidRDefault="00201AEF" w:rsidP="00201AEF">
            <w:pPr>
              <w:jc w:val="center"/>
              <w:rPr>
                <w:rFonts w:ascii="Tahoma" w:hAnsi="Tahoma" w:cs="Tahoma"/>
              </w:rPr>
            </w:pPr>
            <w:r w:rsidRPr="00A45B2B">
              <w:rPr>
                <w:rFonts w:ascii="Tahoma" w:hAnsi="Tahoma" w:cs="Tahoma"/>
                <w:sz w:val="52"/>
              </w:rPr>
              <w:sym w:font="Wingdings" w:char="F0FC"/>
            </w:r>
          </w:p>
        </w:tc>
      </w:tr>
      <w:tr w:rsidR="00201AEF" w14:paraId="1C5980C7" w14:textId="77777777" w:rsidTr="00926161">
        <w:trPr>
          <w:jc w:val="center"/>
        </w:trPr>
        <w:tc>
          <w:tcPr>
            <w:tcW w:w="3415" w:type="dxa"/>
          </w:tcPr>
          <w:p w14:paraId="5CAD1BCD" w14:textId="77777777" w:rsidR="00201AEF" w:rsidRDefault="00201AEF" w:rsidP="00201AEF">
            <w:pPr>
              <w:jc w:val="left"/>
              <w:rPr>
                <w:rFonts w:ascii="Tahoma" w:hAnsi="Tahoma" w:cs="Tahoma"/>
              </w:rPr>
            </w:pPr>
            <w:r>
              <w:rPr>
                <w:rFonts w:ascii="Tahoma" w:hAnsi="Tahoma" w:cs="Tahoma"/>
              </w:rPr>
              <w:t xml:space="preserve">13. Are all future costs and outcomes discounted appropriately? </w:t>
            </w:r>
          </w:p>
        </w:tc>
        <w:tc>
          <w:tcPr>
            <w:tcW w:w="1428" w:type="dxa"/>
          </w:tcPr>
          <w:p w14:paraId="78107A42" w14:textId="77777777" w:rsidR="00201AEF" w:rsidRDefault="00201AEF" w:rsidP="00201AEF">
            <w:pPr>
              <w:jc w:val="center"/>
              <w:rPr>
                <w:rFonts w:ascii="Tahoma" w:hAnsi="Tahoma" w:cs="Tahoma"/>
              </w:rPr>
            </w:pPr>
            <w:r>
              <w:rPr>
                <w:rFonts w:ascii="Tahoma" w:hAnsi="Tahoma" w:cs="Tahoma"/>
                <w:sz w:val="52"/>
              </w:rPr>
              <w:sym w:font="Wingdings" w:char="F0FC"/>
            </w:r>
          </w:p>
        </w:tc>
        <w:tc>
          <w:tcPr>
            <w:tcW w:w="1290" w:type="dxa"/>
            <w:gridSpan w:val="2"/>
          </w:tcPr>
          <w:p w14:paraId="2B2F40AC" w14:textId="77777777" w:rsidR="00201AEF" w:rsidRDefault="00201AEF" w:rsidP="00201AEF">
            <w:pPr>
              <w:jc w:val="center"/>
              <w:rPr>
                <w:rFonts w:ascii="Tahoma" w:hAnsi="Tahoma" w:cs="Tahoma"/>
              </w:rPr>
            </w:pPr>
            <w:r w:rsidRPr="006A1B89">
              <w:rPr>
                <w:rFonts w:ascii="Tahoma" w:hAnsi="Tahoma" w:cs="Tahoma"/>
                <w:sz w:val="52"/>
              </w:rPr>
              <w:sym w:font="Wingdings" w:char="F0FC"/>
            </w:r>
          </w:p>
        </w:tc>
        <w:tc>
          <w:tcPr>
            <w:tcW w:w="1583" w:type="dxa"/>
            <w:gridSpan w:val="2"/>
          </w:tcPr>
          <w:p w14:paraId="4ED0C25A" w14:textId="77777777" w:rsidR="00201AEF" w:rsidRDefault="00201AEF" w:rsidP="00201AEF">
            <w:pPr>
              <w:jc w:val="center"/>
              <w:rPr>
                <w:rFonts w:ascii="Tahoma" w:hAnsi="Tahoma" w:cs="Tahoma"/>
              </w:rPr>
            </w:pPr>
            <w:r w:rsidRPr="006A1B89">
              <w:rPr>
                <w:rFonts w:ascii="Tahoma" w:hAnsi="Tahoma" w:cs="Tahoma"/>
                <w:sz w:val="52"/>
              </w:rPr>
              <w:sym w:font="Wingdings" w:char="F0FC"/>
            </w:r>
          </w:p>
        </w:tc>
        <w:tc>
          <w:tcPr>
            <w:tcW w:w="1526" w:type="dxa"/>
            <w:gridSpan w:val="2"/>
          </w:tcPr>
          <w:p w14:paraId="39BCD58E" w14:textId="77777777" w:rsidR="00201AEF" w:rsidRDefault="00201AEF" w:rsidP="00201AEF">
            <w:pPr>
              <w:jc w:val="center"/>
              <w:rPr>
                <w:rFonts w:ascii="Tahoma" w:hAnsi="Tahoma" w:cs="Tahoma"/>
              </w:rPr>
            </w:pPr>
            <w:r w:rsidRPr="006A1B89">
              <w:rPr>
                <w:rFonts w:ascii="Tahoma" w:hAnsi="Tahoma" w:cs="Tahoma"/>
                <w:sz w:val="52"/>
              </w:rPr>
              <w:sym w:font="Wingdings" w:char="F0FC"/>
            </w:r>
          </w:p>
        </w:tc>
      </w:tr>
      <w:tr w:rsidR="00201AEF" w14:paraId="3561D17E" w14:textId="77777777" w:rsidTr="00926161">
        <w:trPr>
          <w:jc w:val="center"/>
        </w:trPr>
        <w:tc>
          <w:tcPr>
            <w:tcW w:w="3415" w:type="dxa"/>
          </w:tcPr>
          <w:p w14:paraId="30AE241E" w14:textId="77777777" w:rsidR="00201AEF" w:rsidRDefault="00201AEF" w:rsidP="00201AEF">
            <w:pPr>
              <w:jc w:val="left"/>
              <w:rPr>
                <w:rFonts w:ascii="Tahoma" w:hAnsi="Tahoma" w:cs="Tahoma"/>
              </w:rPr>
            </w:pPr>
            <w:r>
              <w:rPr>
                <w:rFonts w:ascii="Tahoma" w:hAnsi="Tahoma" w:cs="Tahoma"/>
              </w:rPr>
              <w:t xml:space="preserve">14. Are all important variables, whose values are uncertain, appropriately subjected to sensitivity analysis? </w:t>
            </w:r>
          </w:p>
        </w:tc>
        <w:tc>
          <w:tcPr>
            <w:tcW w:w="1428" w:type="dxa"/>
          </w:tcPr>
          <w:p w14:paraId="23AC53DD" w14:textId="77777777" w:rsidR="00201AEF" w:rsidRPr="007E1AA6" w:rsidRDefault="00201AEF" w:rsidP="00201AEF">
            <w:pPr>
              <w:jc w:val="center"/>
              <w:rPr>
                <w:rFonts w:ascii="Tahoma" w:hAnsi="Tahoma" w:cs="Tahoma"/>
                <w:sz w:val="52"/>
                <w:szCs w:val="52"/>
              </w:rPr>
            </w:pPr>
            <w:r w:rsidRPr="007E1AA6">
              <w:rPr>
                <w:rFonts w:ascii="Tahoma" w:hAnsi="Tahoma" w:cs="Tahoma"/>
                <w:sz w:val="52"/>
                <w:szCs w:val="52"/>
              </w:rPr>
              <w:sym w:font="Wingdings" w:char="F0FB"/>
            </w:r>
          </w:p>
        </w:tc>
        <w:tc>
          <w:tcPr>
            <w:tcW w:w="1290" w:type="dxa"/>
            <w:gridSpan w:val="2"/>
          </w:tcPr>
          <w:p w14:paraId="251A0B45" w14:textId="77777777" w:rsidR="00201AEF" w:rsidRDefault="00201AEF" w:rsidP="00201AEF">
            <w:pPr>
              <w:jc w:val="center"/>
              <w:rPr>
                <w:rFonts w:ascii="Tahoma" w:hAnsi="Tahoma" w:cs="Tahoma"/>
              </w:rPr>
            </w:pPr>
            <w:r w:rsidRPr="006A1B89">
              <w:rPr>
                <w:rFonts w:ascii="Tahoma" w:hAnsi="Tahoma" w:cs="Tahoma"/>
                <w:sz w:val="52"/>
              </w:rPr>
              <w:sym w:font="Wingdings" w:char="F0FC"/>
            </w:r>
          </w:p>
        </w:tc>
        <w:tc>
          <w:tcPr>
            <w:tcW w:w="1583" w:type="dxa"/>
            <w:gridSpan w:val="2"/>
          </w:tcPr>
          <w:p w14:paraId="732F2291" w14:textId="77777777" w:rsidR="00201AEF" w:rsidRDefault="00AF7173" w:rsidP="00201AEF">
            <w:pPr>
              <w:jc w:val="center"/>
              <w:rPr>
                <w:rFonts w:ascii="Tahoma" w:hAnsi="Tahoma" w:cs="Tahoma"/>
              </w:rPr>
            </w:pPr>
            <w:r w:rsidRPr="006A1B89">
              <w:rPr>
                <w:rFonts w:ascii="Tahoma" w:hAnsi="Tahoma" w:cs="Tahoma"/>
                <w:sz w:val="52"/>
              </w:rPr>
              <w:sym w:font="Wingdings" w:char="F0FC"/>
            </w:r>
          </w:p>
        </w:tc>
        <w:tc>
          <w:tcPr>
            <w:tcW w:w="1526" w:type="dxa"/>
            <w:gridSpan w:val="2"/>
          </w:tcPr>
          <w:p w14:paraId="724DFFF8" w14:textId="77777777" w:rsidR="00201AEF" w:rsidRDefault="00201AEF" w:rsidP="00201AEF">
            <w:pPr>
              <w:jc w:val="center"/>
              <w:rPr>
                <w:rFonts w:ascii="Tahoma" w:hAnsi="Tahoma" w:cs="Tahoma"/>
              </w:rPr>
            </w:pPr>
            <w:r w:rsidRPr="007E1AA6">
              <w:rPr>
                <w:rFonts w:ascii="Tahoma" w:hAnsi="Tahoma" w:cs="Tahoma"/>
                <w:sz w:val="52"/>
                <w:szCs w:val="52"/>
              </w:rPr>
              <w:sym w:font="Wingdings" w:char="F0FB"/>
            </w:r>
          </w:p>
        </w:tc>
      </w:tr>
    </w:tbl>
    <w:p w14:paraId="6861B8F4" w14:textId="77777777" w:rsidR="00926161" w:rsidRDefault="00926161">
      <w:r>
        <w:br w:type="page"/>
      </w:r>
    </w:p>
    <w:tbl>
      <w:tblPr>
        <w:tblStyle w:val="TableGrid"/>
        <w:tblW w:w="0" w:type="auto"/>
        <w:jc w:val="center"/>
        <w:tblLook w:val="04A0" w:firstRow="1" w:lastRow="0" w:firstColumn="1" w:lastColumn="0" w:noHBand="0" w:noVBand="1"/>
      </w:tblPr>
      <w:tblGrid>
        <w:gridCol w:w="3415"/>
        <w:gridCol w:w="1428"/>
        <w:gridCol w:w="1290"/>
        <w:gridCol w:w="1583"/>
        <w:gridCol w:w="1526"/>
      </w:tblGrid>
      <w:tr w:rsidR="00926161" w14:paraId="69111866" w14:textId="77777777" w:rsidTr="00926161">
        <w:trPr>
          <w:jc w:val="center"/>
        </w:trPr>
        <w:tc>
          <w:tcPr>
            <w:tcW w:w="3415" w:type="dxa"/>
          </w:tcPr>
          <w:p w14:paraId="4AB6A071" w14:textId="7721D7D3" w:rsidR="00926161" w:rsidRDefault="00926161" w:rsidP="00926161">
            <w:pPr>
              <w:jc w:val="left"/>
              <w:rPr>
                <w:rFonts w:ascii="Tahoma" w:hAnsi="Tahoma" w:cs="Tahoma"/>
              </w:rPr>
            </w:pPr>
          </w:p>
        </w:tc>
        <w:tc>
          <w:tcPr>
            <w:tcW w:w="1428" w:type="dxa"/>
          </w:tcPr>
          <w:p w14:paraId="5B35E691" w14:textId="3063DFBF" w:rsidR="00926161" w:rsidRDefault="00926161" w:rsidP="00926161">
            <w:pPr>
              <w:jc w:val="center"/>
              <w:rPr>
                <w:rFonts w:ascii="Tahoma" w:hAnsi="Tahoma" w:cs="Tahoma"/>
                <w:sz w:val="52"/>
              </w:rPr>
            </w:pPr>
            <w:r>
              <w:rPr>
                <w:rFonts w:ascii="Tahoma" w:hAnsi="Tahoma" w:cs="Tahoma"/>
                <w:sz w:val="21"/>
                <w:szCs w:val="21"/>
              </w:rPr>
              <w:t>Desmond (2008)</w:t>
            </w:r>
          </w:p>
        </w:tc>
        <w:tc>
          <w:tcPr>
            <w:tcW w:w="1290" w:type="dxa"/>
          </w:tcPr>
          <w:p w14:paraId="3DDB2882" w14:textId="028B794F" w:rsidR="00926161" w:rsidRPr="001723A2" w:rsidRDefault="00926161" w:rsidP="00926161">
            <w:pPr>
              <w:jc w:val="center"/>
              <w:rPr>
                <w:rFonts w:ascii="Tahoma" w:hAnsi="Tahoma" w:cs="Tahoma"/>
                <w:sz w:val="52"/>
              </w:rPr>
            </w:pPr>
            <w:r>
              <w:rPr>
                <w:rFonts w:ascii="Tahoma" w:hAnsi="Tahoma" w:cs="Tahoma"/>
                <w:sz w:val="21"/>
                <w:szCs w:val="21"/>
              </w:rPr>
              <w:t>Rice (2010)</w:t>
            </w:r>
          </w:p>
        </w:tc>
        <w:tc>
          <w:tcPr>
            <w:tcW w:w="1583" w:type="dxa"/>
          </w:tcPr>
          <w:p w14:paraId="1BADE948" w14:textId="3BB973C9" w:rsidR="00926161" w:rsidRPr="001723A2" w:rsidRDefault="00926161" w:rsidP="00926161">
            <w:pPr>
              <w:jc w:val="center"/>
              <w:rPr>
                <w:rFonts w:ascii="Tahoma" w:hAnsi="Tahoma" w:cs="Tahoma"/>
                <w:sz w:val="52"/>
              </w:rPr>
            </w:pPr>
            <w:r>
              <w:rPr>
                <w:rFonts w:ascii="Tahoma" w:hAnsi="Tahoma" w:cs="Tahoma"/>
                <w:sz w:val="21"/>
                <w:szCs w:val="21"/>
              </w:rPr>
              <w:t>Rubio-Rodriguez (2012)</w:t>
            </w:r>
          </w:p>
        </w:tc>
        <w:tc>
          <w:tcPr>
            <w:tcW w:w="1526" w:type="dxa"/>
          </w:tcPr>
          <w:p w14:paraId="79DB31C4" w14:textId="549BC6AE" w:rsidR="00926161" w:rsidRPr="001723A2" w:rsidRDefault="00926161" w:rsidP="00926161">
            <w:pPr>
              <w:jc w:val="center"/>
              <w:rPr>
                <w:rFonts w:ascii="Tahoma" w:hAnsi="Tahoma" w:cs="Tahoma"/>
                <w:sz w:val="52"/>
              </w:rPr>
            </w:pPr>
            <w:r>
              <w:rPr>
                <w:rFonts w:ascii="Tahoma" w:hAnsi="Tahoma" w:cs="Tahoma"/>
                <w:sz w:val="21"/>
                <w:szCs w:val="21"/>
              </w:rPr>
              <w:t>Chola (2015)</w:t>
            </w:r>
          </w:p>
        </w:tc>
      </w:tr>
      <w:tr w:rsidR="00926161" w14:paraId="469A204C" w14:textId="77777777" w:rsidTr="00926161">
        <w:trPr>
          <w:jc w:val="center"/>
        </w:trPr>
        <w:tc>
          <w:tcPr>
            <w:tcW w:w="3415" w:type="dxa"/>
          </w:tcPr>
          <w:p w14:paraId="04AEA71E" w14:textId="77777777" w:rsidR="00926161" w:rsidRDefault="00926161" w:rsidP="00926161">
            <w:pPr>
              <w:jc w:val="left"/>
              <w:rPr>
                <w:rFonts w:ascii="Tahoma" w:hAnsi="Tahoma" w:cs="Tahoma"/>
              </w:rPr>
            </w:pPr>
            <w:r>
              <w:rPr>
                <w:rFonts w:ascii="Tahoma" w:hAnsi="Tahoma" w:cs="Tahoma"/>
              </w:rPr>
              <w:t xml:space="preserve">15. Do the conclusions follow from the data reported? </w:t>
            </w:r>
          </w:p>
        </w:tc>
        <w:tc>
          <w:tcPr>
            <w:tcW w:w="1428" w:type="dxa"/>
          </w:tcPr>
          <w:p w14:paraId="3B4DE34B" w14:textId="77777777" w:rsidR="00926161" w:rsidRDefault="00926161" w:rsidP="00926161">
            <w:pPr>
              <w:jc w:val="center"/>
              <w:rPr>
                <w:rFonts w:ascii="Tahoma" w:hAnsi="Tahoma" w:cs="Tahoma"/>
              </w:rPr>
            </w:pPr>
            <w:r>
              <w:rPr>
                <w:rFonts w:ascii="Tahoma" w:hAnsi="Tahoma" w:cs="Tahoma"/>
                <w:sz w:val="52"/>
              </w:rPr>
              <w:sym w:font="Wingdings" w:char="F0FC"/>
            </w:r>
          </w:p>
        </w:tc>
        <w:tc>
          <w:tcPr>
            <w:tcW w:w="1290" w:type="dxa"/>
          </w:tcPr>
          <w:p w14:paraId="36159355"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583" w:type="dxa"/>
          </w:tcPr>
          <w:p w14:paraId="74C1EA9C"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526" w:type="dxa"/>
          </w:tcPr>
          <w:p w14:paraId="4E524E7E" w14:textId="77777777" w:rsidR="00926161" w:rsidRDefault="00926161" w:rsidP="00926161">
            <w:pPr>
              <w:jc w:val="center"/>
              <w:rPr>
                <w:rFonts w:ascii="Tahoma" w:hAnsi="Tahoma" w:cs="Tahoma"/>
              </w:rPr>
            </w:pPr>
            <w:r w:rsidRPr="001723A2">
              <w:rPr>
                <w:rFonts w:ascii="Tahoma" w:hAnsi="Tahoma" w:cs="Tahoma"/>
                <w:sz w:val="52"/>
              </w:rPr>
              <w:sym w:font="Wingdings" w:char="F0FC"/>
            </w:r>
          </w:p>
        </w:tc>
      </w:tr>
      <w:tr w:rsidR="00926161" w14:paraId="3DA54EB9" w14:textId="77777777" w:rsidTr="00926161">
        <w:trPr>
          <w:jc w:val="center"/>
        </w:trPr>
        <w:tc>
          <w:tcPr>
            <w:tcW w:w="3415" w:type="dxa"/>
          </w:tcPr>
          <w:p w14:paraId="21D5EC5C" w14:textId="77777777" w:rsidR="00926161" w:rsidRDefault="00926161" w:rsidP="00926161">
            <w:pPr>
              <w:jc w:val="left"/>
              <w:rPr>
                <w:rFonts w:ascii="Tahoma" w:hAnsi="Tahoma" w:cs="Tahoma"/>
              </w:rPr>
            </w:pPr>
            <w:r>
              <w:rPr>
                <w:rFonts w:ascii="Tahoma" w:hAnsi="Tahoma" w:cs="Tahoma"/>
              </w:rPr>
              <w:t xml:space="preserve">16. Does the study discuss the generalizability of the results to other settings and patient/client groups? </w:t>
            </w:r>
          </w:p>
        </w:tc>
        <w:tc>
          <w:tcPr>
            <w:tcW w:w="1428" w:type="dxa"/>
          </w:tcPr>
          <w:p w14:paraId="26D95CB7"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290" w:type="dxa"/>
          </w:tcPr>
          <w:p w14:paraId="7BC6A368" w14:textId="77777777" w:rsidR="00926161" w:rsidRDefault="00926161" w:rsidP="00926161">
            <w:pPr>
              <w:jc w:val="center"/>
              <w:rPr>
                <w:rFonts w:ascii="Tahoma" w:hAnsi="Tahoma" w:cs="Tahoma"/>
              </w:rPr>
            </w:pPr>
            <w:r w:rsidRPr="007E1AA6">
              <w:rPr>
                <w:rFonts w:ascii="Tahoma" w:hAnsi="Tahoma" w:cs="Tahoma"/>
                <w:sz w:val="52"/>
                <w:szCs w:val="52"/>
              </w:rPr>
              <w:sym w:font="Wingdings" w:char="F0FB"/>
            </w:r>
          </w:p>
        </w:tc>
        <w:tc>
          <w:tcPr>
            <w:tcW w:w="1583" w:type="dxa"/>
          </w:tcPr>
          <w:p w14:paraId="0E77BF33" w14:textId="77777777" w:rsidR="00926161" w:rsidRDefault="00926161" w:rsidP="00926161">
            <w:pPr>
              <w:jc w:val="center"/>
              <w:rPr>
                <w:rFonts w:ascii="Tahoma" w:hAnsi="Tahoma" w:cs="Tahoma"/>
              </w:rPr>
            </w:pPr>
            <w:r w:rsidRPr="007E1AA6">
              <w:rPr>
                <w:rFonts w:ascii="Tahoma" w:hAnsi="Tahoma" w:cs="Tahoma"/>
                <w:sz w:val="52"/>
                <w:szCs w:val="52"/>
              </w:rPr>
              <w:sym w:font="Wingdings" w:char="F0FB"/>
            </w:r>
          </w:p>
        </w:tc>
        <w:tc>
          <w:tcPr>
            <w:tcW w:w="1526" w:type="dxa"/>
          </w:tcPr>
          <w:p w14:paraId="22EEC917" w14:textId="77777777" w:rsidR="00926161" w:rsidRDefault="00926161" w:rsidP="00926161">
            <w:pPr>
              <w:jc w:val="center"/>
              <w:rPr>
                <w:rFonts w:ascii="Tahoma" w:hAnsi="Tahoma" w:cs="Tahoma"/>
              </w:rPr>
            </w:pPr>
            <w:r w:rsidRPr="001723A2">
              <w:rPr>
                <w:rFonts w:ascii="Tahoma" w:hAnsi="Tahoma" w:cs="Tahoma"/>
                <w:sz w:val="52"/>
              </w:rPr>
              <w:sym w:font="Wingdings" w:char="F0FC"/>
            </w:r>
          </w:p>
        </w:tc>
      </w:tr>
      <w:tr w:rsidR="00926161" w14:paraId="2C3DD108" w14:textId="77777777" w:rsidTr="00926161">
        <w:trPr>
          <w:jc w:val="center"/>
        </w:trPr>
        <w:tc>
          <w:tcPr>
            <w:tcW w:w="3415" w:type="dxa"/>
          </w:tcPr>
          <w:p w14:paraId="09C9E11B" w14:textId="77777777" w:rsidR="00926161" w:rsidRDefault="00926161" w:rsidP="00926161">
            <w:pPr>
              <w:jc w:val="left"/>
              <w:rPr>
                <w:rFonts w:ascii="Tahoma" w:hAnsi="Tahoma" w:cs="Tahoma"/>
              </w:rPr>
            </w:pPr>
            <w:r>
              <w:rPr>
                <w:rFonts w:ascii="Tahoma" w:hAnsi="Tahoma" w:cs="Tahoma"/>
              </w:rPr>
              <w:t xml:space="preserve">17. Does the article indicate that there is no potential conflict of interest of study researcher(s) and funder(s)? </w:t>
            </w:r>
          </w:p>
        </w:tc>
        <w:tc>
          <w:tcPr>
            <w:tcW w:w="1428" w:type="dxa"/>
          </w:tcPr>
          <w:p w14:paraId="20CD90BE"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290" w:type="dxa"/>
          </w:tcPr>
          <w:p w14:paraId="09368AE4" w14:textId="77777777" w:rsidR="00926161" w:rsidRDefault="00926161" w:rsidP="00926161">
            <w:pPr>
              <w:jc w:val="center"/>
              <w:rPr>
                <w:rFonts w:ascii="Tahoma" w:hAnsi="Tahoma" w:cs="Tahoma"/>
              </w:rPr>
            </w:pPr>
            <w:r w:rsidRPr="007E1AA6">
              <w:rPr>
                <w:rFonts w:ascii="Tahoma" w:hAnsi="Tahoma" w:cs="Tahoma"/>
                <w:sz w:val="52"/>
                <w:szCs w:val="52"/>
              </w:rPr>
              <w:sym w:font="Wingdings" w:char="F0FB"/>
            </w:r>
          </w:p>
        </w:tc>
        <w:tc>
          <w:tcPr>
            <w:tcW w:w="1583" w:type="dxa"/>
          </w:tcPr>
          <w:p w14:paraId="0C7AF358"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526" w:type="dxa"/>
          </w:tcPr>
          <w:p w14:paraId="63D63861" w14:textId="77777777" w:rsidR="00926161" w:rsidRDefault="00926161" w:rsidP="00926161">
            <w:pPr>
              <w:jc w:val="center"/>
              <w:rPr>
                <w:rFonts w:ascii="Tahoma" w:hAnsi="Tahoma" w:cs="Tahoma"/>
              </w:rPr>
            </w:pPr>
            <w:r w:rsidRPr="001723A2">
              <w:rPr>
                <w:rFonts w:ascii="Tahoma" w:hAnsi="Tahoma" w:cs="Tahoma"/>
                <w:sz w:val="52"/>
              </w:rPr>
              <w:sym w:font="Wingdings" w:char="F0FC"/>
            </w:r>
          </w:p>
        </w:tc>
      </w:tr>
      <w:tr w:rsidR="00926161" w14:paraId="25FE7A88" w14:textId="77777777" w:rsidTr="00926161">
        <w:trPr>
          <w:jc w:val="center"/>
        </w:trPr>
        <w:tc>
          <w:tcPr>
            <w:tcW w:w="3415" w:type="dxa"/>
          </w:tcPr>
          <w:p w14:paraId="5A88FA0B" w14:textId="77777777" w:rsidR="00926161" w:rsidRDefault="00926161" w:rsidP="00926161">
            <w:pPr>
              <w:jc w:val="left"/>
              <w:rPr>
                <w:rFonts w:ascii="Tahoma" w:hAnsi="Tahoma" w:cs="Tahoma"/>
              </w:rPr>
            </w:pPr>
            <w:r>
              <w:rPr>
                <w:rFonts w:ascii="Tahoma" w:hAnsi="Tahoma" w:cs="Tahoma"/>
              </w:rPr>
              <w:t>18. Are ethical and distributional issues discussed appropriately?</w:t>
            </w:r>
          </w:p>
        </w:tc>
        <w:tc>
          <w:tcPr>
            <w:tcW w:w="1428" w:type="dxa"/>
          </w:tcPr>
          <w:p w14:paraId="53ED658A"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290" w:type="dxa"/>
          </w:tcPr>
          <w:p w14:paraId="555D4E66"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583" w:type="dxa"/>
          </w:tcPr>
          <w:p w14:paraId="77959523" w14:textId="77777777" w:rsidR="00926161" w:rsidRDefault="00926161" w:rsidP="00926161">
            <w:pPr>
              <w:jc w:val="center"/>
              <w:rPr>
                <w:rFonts w:ascii="Tahoma" w:hAnsi="Tahoma" w:cs="Tahoma"/>
              </w:rPr>
            </w:pPr>
            <w:r w:rsidRPr="001723A2">
              <w:rPr>
                <w:rFonts w:ascii="Tahoma" w:hAnsi="Tahoma" w:cs="Tahoma"/>
                <w:sz w:val="52"/>
              </w:rPr>
              <w:sym w:font="Wingdings" w:char="F0FC"/>
            </w:r>
          </w:p>
        </w:tc>
        <w:tc>
          <w:tcPr>
            <w:tcW w:w="1526" w:type="dxa"/>
          </w:tcPr>
          <w:p w14:paraId="40876A1C" w14:textId="77777777" w:rsidR="00926161" w:rsidRDefault="00926161" w:rsidP="00926161">
            <w:pPr>
              <w:jc w:val="center"/>
              <w:rPr>
                <w:rFonts w:ascii="Tahoma" w:hAnsi="Tahoma" w:cs="Tahoma"/>
              </w:rPr>
            </w:pPr>
            <w:r w:rsidRPr="001723A2">
              <w:rPr>
                <w:rFonts w:ascii="Tahoma" w:hAnsi="Tahoma" w:cs="Tahoma"/>
                <w:sz w:val="52"/>
              </w:rPr>
              <w:sym w:font="Wingdings" w:char="F0FC"/>
            </w:r>
          </w:p>
        </w:tc>
      </w:tr>
      <w:tr w:rsidR="00926161" w14:paraId="5F8D2E61" w14:textId="77777777" w:rsidTr="00926161">
        <w:trPr>
          <w:jc w:val="center"/>
        </w:trPr>
        <w:tc>
          <w:tcPr>
            <w:tcW w:w="3415" w:type="dxa"/>
          </w:tcPr>
          <w:p w14:paraId="2EAF7C63" w14:textId="77777777" w:rsidR="00926161" w:rsidRDefault="00926161" w:rsidP="00926161">
            <w:pPr>
              <w:jc w:val="left"/>
              <w:rPr>
                <w:rFonts w:ascii="Tahoma" w:hAnsi="Tahoma" w:cs="Tahoma"/>
              </w:rPr>
            </w:pPr>
            <w:r>
              <w:rPr>
                <w:rFonts w:ascii="Tahoma" w:hAnsi="Tahoma" w:cs="Tahoma"/>
              </w:rPr>
              <w:t>TOTAL SCORE</w:t>
            </w:r>
          </w:p>
        </w:tc>
        <w:tc>
          <w:tcPr>
            <w:tcW w:w="1428" w:type="dxa"/>
          </w:tcPr>
          <w:p w14:paraId="1D43B8A9" w14:textId="77777777" w:rsidR="00926161" w:rsidRDefault="00926161" w:rsidP="00926161">
            <w:pPr>
              <w:jc w:val="center"/>
              <w:rPr>
                <w:rFonts w:ascii="Tahoma" w:hAnsi="Tahoma" w:cs="Tahoma"/>
              </w:rPr>
            </w:pPr>
            <w:r>
              <w:rPr>
                <w:rFonts w:ascii="Tahoma" w:hAnsi="Tahoma" w:cs="Tahoma"/>
              </w:rPr>
              <w:t>17</w:t>
            </w:r>
          </w:p>
        </w:tc>
        <w:tc>
          <w:tcPr>
            <w:tcW w:w="1290" w:type="dxa"/>
          </w:tcPr>
          <w:p w14:paraId="4A0FE4F0" w14:textId="77777777" w:rsidR="00926161" w:rsidRDefault="00926161" w:rsidP="00926161">
            <w:pPr>
              <w:jc w:val="center"/>
              <w:rPr>
                <w:rFonts w:ascii="Tahoma" w:hAnsi="Tahoma" w:cs="Tahoma"/>
              </w:rPr>
            </w:pPr>
            <w:r>
              <w:rPr>
                <w:rFonts w:ascii="Tahoma" w:hAnsi="Tahoma" w:cs="Tahoma"/>
              </w:rPr>
              <w:t>16</w:t>
            </w:r>
          </w:p>
        </w:tc>
        <w:tc>
          <w:tcPr>
            <w:tcW w:w="1583" w:type="dxa"/>
          </w:tcPr>
          <w:p w14:paraId="5ECEB835" w14:textId="77777777" w:rsidR="00926161" w:rsidRDefault="00926161" w:rsidP="00926161">
            <w:pPr>
              <w:jc w:val="center"/>
              <w:rPr>
                <w:rFonts w:ascii="Tahoma" w:hAnsi="Tahoma" w:cs="Tahoma"/>
              </w:rPr>
            </w:pPr>
            <w:r>
              <w:rPr>
                <w:rFonts w:ascii="Tahoma" w:hAnsi="Tahoma" w:cs="Tahoma"/>
              </w:rPr>
              <w:t>17</w:t>
            </w:r>
          </w:p>
        </w:tc>
        <w:tc>
          <w:tcPr>
            <w:tcW w:w="1526" w:type="dxa"/>
          </w:tcPr>
          <w:p w14:paraId="3B7DAE1C" w14:textId="77777777" w:rsidR="00926161" w:rsidRDefault="00926161" w:rsidP="00926161">
            <w:pPr>
              <w:jc w:val="center"/>
              <w:rPr>
                <w:rFonts w:ascii="Tahoma" w:hAnsi="Tahoma" w:cs="Tahoma"/>
              </w:rPr>
            </w:pPr>
            <w:r>
              <w:rPr>
                <w:rFonts w:ascii="Tahoma" w:hAnsi="Tahoma" w:cs="Tahoma"/>
              </w:rPr>
              <w:t>17</w:t>
            </w:r>
          </w:p>
        </w:tc>
      </w:tr>
      <w:tr w:rsidR="00926161" w14:paraId="3BE0C889" w14:textId="77777777" w:rsidTr="00926161">
        <w:trPr>
          <w:jc w:val="center"/>
        </w:trPr>
        <w:tc>
          <w:tcPr>
            <w:tcW w:w="9242" w:type="dxa"/>
            <w:gridSpan w:val="5"/>
          </w:tcPr>
          <w:p w14:paraId="463920A5" w14:textId="77777777" w:rsidR="00926161" w:rsidRDefault="00926161" w:rsidP="00926161">
            <w:pPr>
              <w:jc w:val="left"/>
              <w:rPr>
                <w:rFonts w:ascii="Tahoma" w:hAnsi="Tahoma" w:cs="Tahoma"/>
                <w:sz w:val="18"/>
              </w:rPr>
            </w:pPr>
            <w:r>
              <w:rPr>
                <w:rFonts w:ascii="Tahoma" w:hAnsi="Tahoma" w:cs="Tahoma"/>
                <w:sz w:val="20"/>
              </w:rPr>
              <w:t xml:space="preserve">Each </w:t>
            </w:r>
            <w:proofErr w:type="gramStart"/>
            <w:r>
              <w:rPr>
                <w:rFonts w:ascii="Tahoma" w:hAnsi="Tahoma" w:cs="Tahoma"/>
                <w:sz w:val="20"/>
              </w:rPr>
              <w:t>criteria</w:t>
            </w:r>
            <w:proofErr w:type="gramEnd"/>
            <w:r>
              <w:rPr>
                <w:rFonts w:ascii="Tahoma" w:hAnsi="Tahoma" w:cs="Tahoma"/>
                <w:sz w:val="20"/>
              </w:rPr>
              <w:t xml:space="preserve"> met is awarded one point: 15 or greater = high quality, 8-14 = average quality, less than 8 = poor quality.</w:t>
            </w:r>
          </w:p>
          <w:p w14:paraId="18A638E1" w14:textId="77777777" w:rsidR="00926161" w:rsidRDefault="00926161" w:rsidP="00926161">
            <w:pPr>
              <w:jc w:val="left"/>
              <w:rPr>
                <w:rFonts w:ascii="Tahoma" w:hAnsi="Tahoma" w:cs="Tahoma"/>
              </w:rPr>
            </w:pPr>
            <w:r>
              <w:rPr>
                <w:rFonts w:ascii="Tahoma" w:hAnsi="Tahoma" w:cs="Tahoma"/>
                <w:sz w:val="20"/>
              </w:rPr>
              <w:t>Item 13 – studies where discounting is not applicable (i.e. time horizon less than one year) have been assumed to meet criteria.</w:t>
            </w:r>
          </w:p>
        </w:tc>
      </w:tr>
    </w:tbl>
    <w:p w14:paraId="3979FD79" w14:textId="77777777" w:rsidR="00AB585C" w:rsidRDefault="00AB585C">
      <w:pPr>
        <w:rPr>
          <w:rFonts w:ascii="Tahoma" w:hAnsi="Tahoma" w:cs="Tahoma"/>
          <w:b/>
        </w:rPr>
        <w:sectPr w:rsidR="00AB585C" w:rsidSect="00347D7E">
          <w:pgSz w:w="11906" w:h="16838"/>
          <w:pgMar w:top="1440" w:right="1440" w:bottom="1440" w:left="1440" w:header="708" w:footer="708" w:gutter="0"/>
          <w:cols w:space="708"/>
          <w:docGrid w:linePitch="360"/>
        </w:sectPr>
      </w:pPr>
    </w:p>
    <w:p w14:paraId="17FDCC4C" w14:textId="77777777" w:rsidR="00AB585C" w:rsidRDefault="003855FE">
      <w:pPr>
        <w:rPr>
          <w:rFonts w:ascii="Tahoma" w:hAnsi="Tahoma" w:cs="Tahoma"/>
        </w:rPr>
      </w:pPr>
      <w:r>
        <w:rPr>
          <w:rFonts w:ascii="Tahoma" w:hAnsi="Tahoma" w:cs="Tahoma"/>
        </w:rPr>
        <w:lastRenderedPageBreak/>
        <w:t>References</w:t>
      </w:r>
    </w:p>
    <w:p w14:paraId="7E934211"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Pr>
          <w:rFonts w:ascii="Tahoma" w:hAnsi="Tahoma" w:cs="Tahoma"/>
        </w:rPr>
        <w:fldChar w:fldCharType="begin" w:fldLock="1"/>
      </w:r>
      <w:r>
        <w:rPr>
          <w:rFonts w:ascii="Tahoma" w:hAnsi="Tahoma" w:cs="Tahoma"/>
        </w:rPr>
        <w:instrText xml:space="preserve">ADDIN Mendeley Bibliography CSL_BIBLIOGRAPHY </w:instrText>
      </w:r>
      <w:r>
        <w:rPr>
          <w:rFonts w:ascii="Tahoma" w:hAnsi="Tahoma" w:cs="Tahoma"/>
        </w:rPr>
        <w:fldChar w:fldCharType="separate"/>
      </w:r>
      <w:r w:rsidRPr="00BA4A7A">
        <w:rPr>
          <w:rFonts w:ascii="Tahoma" w:hAnsi="Tahoma" w:cs="Tahoma"/>
          <w:noProof/>
          <w:szCs w:val="24"/>
        </w:rPr>
        <w:t xml:space="preserve">1. Desmond C, Bland RM, Boyce G, Coovadia HM, Coutsoudis A, Rollins N, et al. Scaling-Up Exclusive Breastfeeding Support Programmes: The Example of KwaZulu-Natal. Belizan JM, editor. PLoS One. 2008;3:e2454. </w:t>
      </w:r>
    </w:p>
    <w:p w14:paraId="725A8ACC"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2. Rice SJC, Craig D, McCormick F, Renfrew MJ, Williams AF. Economic evaluation of enhanced staff contact for the promotion of breastfeeding for low birth weight infants. Int. J. Technol. Assess. Health Care. 2010;26:133–40. </w:t>
      </w:r>
    </w:p>
    <w:p w14:paraId="168BA16F"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3. Rubio-Rodríguez D. Análisis económico de la promoción intensiva y especializada de la lactancia materna en las unidades neonatales en España Economic analysis of specialised and intensive promotion of breastfeeding in neonatal units in Spain. An. Pediatr. 2012;77:297–308. </w:t>
      </w:r>
    </w:p>
    <w:p w14:paraId="05BCD367"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4. Chola L, Fadnes LT, Engebretsen IMS, Nkonki L, Nankabirwa V, Sommerfelt H, et al. Cost-Effectiveness of Peer Counselling for the Promotion of Exclusive Breastfeeding in Uganda. van Wouwe J, editor. PLoS One. 2015;10:e0142718. </w:t>
      </w:r>
    </w:p>
    <w:p w14:paraId="3806D31C"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5. Pugh LC, Milligan RA, Frick KD, Spatz D, Bronner Y. Breastfeeding duration, costs, and benefits of a support program for low-income breastfeeding women. Birth. 2002;29:95–100. </w:t>
      </w:r>
    </w:p>
    <w:p w14:paraId="78DDB7F4"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6. Steel O’Connor KO, Mowat DL, Scott HM, Carr PA, Dorland JL, Young Tai KFW. A randomized trial of two public health nurse follow-up programs after early obstetrical discharge: An examination of breastfeeding rates, maternal confidence and utilization and costs of health services. Can. J. Public Heal. 2003;94:98–103. </w:t>
      </w:r>
    </w:p>
    <w:p w14:paraId="6CE70339"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7. Waters HR, Penny ME, Creed-Kanashiro HM, Robert RC, Narro R, Willis J, et al. The cost-effectiveness of a child nutrition education programme in Peru. Health Policy Plan. 2006;21:257–64. </w:t>
      </w:r>
    </w:p>
    <w:p w14:paraId="75739E03"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8. Hoddinott P, Britten J, Prescott GJ, Tappin D, Ludbrook A, Godden DJ. Effectiveness of policy to provide breastfeeding groups (BIG) for pregnant and breastfeeding mothers in primary care: Cluster randomised controlled trial. BMJ. 2009;338:a3026. </w:t>
      </w:r>
    </w:p>
    <w:p w14:paraId="6F81C01D"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9. Renfrew MJ, Craig D, Dyson L, McCormick F, Rice S, King SE, et al. Breastfeeding promotion for infants in neonatal units: A systematic review and economic analysis. Health Technol. Assess. (Rockv). 2009. </w:t>
      </w:r>
    </w:p>
    <w:p w14:paraId="5FB40F72"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10. Frick KD, Pugh LC, Milligan RA. Costs Related to Promoting Breastfeeding Among Urban Low-Income Women. JOGNN - J. Obstet. Gynecol. Neonatal Nurs. 2012;41:144–50. </w:t>
      </w:r>
    </w:p>
    <w:p w14:paraId="19C16C72"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11. Wen LM, Baur LA, Rissel C, Flood V, Simpson JM, Hayes A, et al. Healthy Beginnings Trial Phase 2 study: Follow-up and cost-effectiveness analysis. Contemp. Clin. Trials. 2012;33:396–401. </w:t>
      </w:r>
    </w:p>
    <w:p w14:paraId="2C6A17B3"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12. Suwantika AA, Postma MJ. Effect of breastfeeding promotion interventions on cost-effectiveness of rotavirus immunization in Indonesia. BMC Public Health. 2013;13:1106. </w:t>
      </w:r>
    </w:p>
    <w:p w14:paraId="7D1BF009" w14:textId="77777777" w:rsidR="00BA4A7A" w:rsidRPr="00BA4A7A" w:rsidRDefault="00BA4A7A" w:rsidP="00BA4A7A">
      <w:pPr>
        <w:widowControl w:val="0"/>
        <w:autoSpaceDE w:val="0"/>
        <w:autoSpaceDN w:val="0"/>
        <w:adjustRightInd w:val="0"/>
        <w:spacing w:line="240" w:lineRule="auto"/>
        <w:rPr>
          <w:rFonts w:ascii="Tahoma" w:hAnsi="Tahoma" w:cs="Tahoma"/>
          <w:noProof/>
          <w:szCs w:val="24"/>
        </w:rPr>
      </w:pPr>
      <w:r w:rsidRPr="00BA4A7A">
        <w:rPr>
          <w:rFonts w:ascii="Tahoma" w:hAnsi="Tahoma" w:cs="Tahoma"/>
          <w:noProof/>
          <w:szCs w:val="24"/>
        </w:rPr>
        <w:t xml:space="preserve">13. Daviaud E, Nkonki L, Ijumba P, Doherty T, Lawn JE, Owen H, et al. South-Africa (Goodstart III) trial: Community-based maternal and newborn care economic analysis. Health Policy Plan. 2017;32:i53-63. </w:t>
      </w:r>
    </w:p>
    <w:p w14:paraId="33D48A72" w14:textId="77777777" w:rsidR="00BA4A7A" w:rsidRPr="00BA4A7A" w:rsidRDefault="00BA4A7A" w:rsidP="00BA4A7A">
      <w:pPr>
        <w:widowControl w:val="0"/>
        <w:autoSpaceDE w:val="0"/>
        <w:autoSpaceDN w:val="0"/>
        <w:adjustRightInd w:val="0"/>
        <w:spacing w:line="240" w:lineRule="auto"/>
        <w:rPr>
          <w:rFonts w:ascii="Tahoma" w:hAnsi="Tahoma" w:cs="Tahoma"/>
          <w:noProof/>
        </w:rPr>
      </w:pPr>
      <w:r w:rsidRPr="00BA4A7A">
        <w:rPr>
          <w:rFonts w:ascii="Tahoma" w:hAnsi="Tahoma" w:cs="Tahoma"/>
          <w:noProof/>
          <w:szCs w:val="24"/>
        </w:rPr>
        <w:t xml:space="preserve">14. Evers S, Goossens M, de Vet H, van Tulder M, Ament A. Criteria list for assessment of methodological quality of economic evaluations: Consensus on Health Economic Criteria The authors thank the following persons for their participation in the Delphi panel. Int. J. Technol. Assess. Health Care. 2005;21:240–5. </w:t>
      </w:r>
    </w:p>
    <w:p w14:paraId="7BD016F2" w14:textId="77777777" w:rsidR="00AB585C" w:rsidRDefault="00BA4A7A" w:rsidP="00BA4A7A">
      <w:pPr>
        <w:widowControl w:val="0"/>
        <w:autoSpaceDE w:val="0"/>
        <w:autoSpaceDN w:val="0"/>
        <w:adjustRightInd w:val="0"/>
        <w:spacing w:line="240" w:lineRule="auto"/>
        <w:rPr>
          <w:rFonts w:ascii="Tahoma" w:hAnsi="Tahoma" w:cs="Tahoma"/>
        </w:rPr>
      </w:pPr>
      <w:r>
        <w:rPr>
          <w:rFonts w:ascii="Tahoma" w:hAnsi="Tahoma" w:cs="Tahoma"/>
        </w:rPr>
        <w:fldChar w:fldCharType="end"/>
      </w:r>
    </w:p>
    <w:sectPr w:rsidR="00AB585C" w:rsidSect="009C46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29109BA8"/>
    <w:lvl w:ilvl="0" w:tplc="6B2AA49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000002"/>
    <w:multiLevelType w:val="hybridMultilevel"/>
    <w:tmpl w:val="51C4451A"/>
    <w:lvl w:ilvl="0" w:tplc="D33E955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2B310E9"/>
    <w:multiLevelType w:val="hybridMultilevel"/>
    <w:tmpl w:val="6E46E6D8"/>
    <w:lvl w:ilvl="0" w:tplc="6B2AA49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B585C"/>
    <w:rsid w:val="000025BB"/>
    <w:rsid w:val="000473FD"/>
    <w:rsid w:val="00201AEF"/>
    <w:rsid w:val="00347D7E"/>
    <w:rsid w:val="003855FE"/>
    <w:rsid w:val="00407A4F"/>
    <w:rsid w:val="005E3C46"/>
    <w:rsid w:val="00695D5E"/>
    <w:rsid w:val="007E1AA6"/>
    <w:rsid w:val="00907ED5"/>
    <w:rsid w:val="00926161"/>
    <w:rsid w:val="009C46DA"/>
    <w:rsid w:val="00AB585C"/>
    <w:rsid w:val="00AB7385"/>
    <w:rsid w:val="00AF7173"/>
    <w:rsid w:val="00B035D2"/>
    <w:rsid w:val="00B251F4"/>
    <w:rsid w:val="00BA4A7A"/>
    <w:rsid w:val="00C543C4"/>
    <w:rsid w:val="00EE4918"/>
    <w:rsid w:val="00EF385F"/>
    <w:rsid w:val="00FC3DD6"/>
    <w:rsid w:val="00FF0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2F76"/>
  <w15:docId w15:val="{6237FC2D-8886-4C7F-836A-0D71EFC6B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6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46D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9C46D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C46DA"/>
    <w:rPr>
      <w:rFonts w:ascii="Tahoma" w:eastAsia="Calibri" w:hAnsi="Tahoma" w:cs="Tahoma"/>
      <w:sz w:val="16"/>
      <w:szCs w:val="16"/>
    </w:rPr>
  </w:style>
  <w:style w:type="character" w:styleId="Hyperlink">
    <w:name w:val="Hyperlink"/>
    <w:basedOn w:val="DefaultParagraphFont"/>
    <w:uiPriority w:val="99"/>
    <w:rsid w:val="009C46DA"/>
    <w:rPr>
      <w:color w:val="0000FF"/>
      <w:u w:val="single"/>
    </w:rPr>
  </w:style>
  <w:style w:type="paragraph" w:styleId="ListParagraph">
    <w:name w:val="List Paragraph"/>
    <w:basedOn w:val="Normal"/>
    <w:uiPriority w:val="34"/>
    <w:qFormat/>
    <w:rsid w:val="009C46DA"/>
    <w:pPr>
      <w:ind w:left="720"/>
      <w:contextualSpacing/>
    </w:pPr>
  </w:style>
  <w:style w:type="character" w:styleId="CommentReference">
    <w:name w:val="annotation reference"/>
    <w:basedOn w:val="DefaultParagraphFont"/>
    <w:uiPriority w:val="99"/>
    <w:rsid w:val="009C46DA"/>
    <w:rPr>
      <w:sz w:val="16"/>
      <w:szCs w:val="16"/>
    </w:rPr>
  </w:style>
  <w:style w:type="paragraph" w:styleId="CommentText">
    <w:name w:val="annotation text"/>
    <w:basedOn w:val="Normal"/>
    <w:link w:val="CommentTextChar"/>
    <w:uiPriority w:val="99"/>
    <w:rsid w:val="009C46DA"/>
    <w:pPr>
      <w:spacing w:line="240" w:lineRule="auto"/>
    </w:pPr>
    <w:rPr>
      <w:sz w:val="20"/>
      <w:szCs w:val="20"/>
    </w:rPr>
  </w:style>
  <w:style w:type="character" w:customStyle="1" w:styleId="CommentTextChar">
    <w:name w:val="Comment Text Char"/>
    <w:basedOn w:val="DefaultParagraphFont"/>
    <w:link w:val="CommentText"/>
    <w:uiPriority w:val="99"/>
    <w:rsid w:val="009C46DA"/>
    <w:rPr>
      <w:sz w:val="20"/>
      <w:szCs w:val="20"/>
    </w:rPr>
  </w:style>
  <w:style w:type="paragraph" w:styleId="CommentSubject">
    <w:name w:val="annotation subject"/>
    <w:basedOn w:val="CommentText"/>
    <w:next w:val="CommentText"/>
    <w:link w:val="CommentSubjectChar"/>
    <w:uiPriority w:val="99"/>
    <w:rsid w:val="009C46DA"/>
    <w:rPr>
      <w:b/>
      <w:bCs/>
    </w:rPr>
  </w:style>
  <w:style w:type="character" w:customStyle="1" w:styleId="CommentSubjectChar">
    <w:name w:val="Comment Subject Char"/>
    <w:basedOn w:val="CommentTextChar"/>
    <w:link w:val="CommentSubject"/>
    <w:uiPriority w:val="99"/>
    <w:rsid w:val="009C46DA"/>
    <w:rPr>
      <w:rFonts w:ascii="Calibri" w:eastAsia="Calibri" w:hAnsi="Calibri" w:cs="SimSu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218FC8-EEA2-4C0C-85BD-03FAAC4ECCED}">
  <ds:schemaRefs>
    <ds:schemaRef ds:uri="http://www.wps.cn/android/officeDocument/2013/mofficeCustomData"/>
  </ds:schemaRefs>
</ds:datastoreItem>
</file>

<file path=customXml/itemProps2.xml><?xml version="1.0" encoding="utf-8"?>
<ds:datastoreItem xmlns:ds="http://schemas.openxmlformats.org/officeDocument/2006/customXml" ds:itemID="{A869A5A0-F478-446E-83F1-88C18E6ED3BA}">
  <ds:schemaRefs>
    <ds:schemaRef ds:uri="http://www.wps.cn/android/officeDocument/2013/mofficeCustomData"/>
  </ds:schemaRefs>
</ds:datastoreItem>
</file>

<file path=customXml/itemProps3.xml><?xml version="1.0" encoding="utf-8"?>
<ds:datastoreItem xmlns:ds="http://schemas.openxmlformats.org/officeDocument/2006/customXml" ds:itemID="{BF6C35A6-1DB8-4E28-8E8B-6E2AF372829C}">
  <ds:schemaRefs>
    <ds:schemaRef ds:uri="http://www.wps.cn/android/officeDocument/2013/mofficeCustomData"/>
  </ds:schemaRefs>
</ds:datastoreItem>
</file>

<file path=customXml/itemProps4.xml><?xml version="1.0" encoding="utf-8"?>
<ds:datastoreItem xmlns:ds="http://schemas.openxmlformats.org/officeDocument/2006/customXml" ds:itemID="{13D3B936-8F7E-43FC-B753-8964DC7CD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8</Pages>
  <Words>9804</Words>
  <Characters>55883</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65556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Camacho</dc:creator>
  <cp:lastModifiedBy>Liz Camacho</cp:lastModifiedBy>
  <cp:revision>38</cp:revision>
  <cp:lastPrinted>2018-01-22T08:13:00Z</cp:lastPrinted>
  <dcterms:created xsi:type="dcterms:W3CDTF">2019-10-29T12:06:00Z</dcterms:created>
  <dcterms:modified xsi:type="dcterms:W3CDTF">2020-05-05T08:49:00Z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http://www.zotero.org/styles/bmc-research-notes</vt:lpwstr>
  </property>
  <property fmtid="{D5CDD505-2E9C-101B-9397-08002B2CF9AE}" pid="9" name="Mendeley Recent Style Name 3_1">
    <vt:lpwstr>BMC Research Notes</vt:lpwstr>
  </property>
  <property fmtid="{D5CDD505-2E9C-101B-9397-08002B2CF9AE}" pid="10" name="Mendeley Recent Style Id 4_1">
    <vt:lpwstr>http://www.zotero.org/styles/bmj-open</vt:lpwstr>
  </property>
  <property fmtid="{D5CDD505-2E9C-101B-9397-08002B2CF9AE}" pid="11" name="Mendeley Recent Style Name 4_1">
    <vt:lpwstr>BMJ Open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http://www.zotero.org/styles/sage-vancouver</vt:lpwstr>
  </property>
  <property fmtid="{D5CDD505-2E9C-101B-9397-08002B2CF9AE}" pid="19" name="Mendeley Recent Style Name 8_1">
    <vt:lpwstr>SAGE - Vancouver</vt:lpwstr>
  </property>
  <property fmtid="{D5CDD505-2E9C-101B-9397-08002B2CF9AE}" pid="20" name="Mendeley Recent Style Id 9_1">
    <vt:lpwstr>http://www.zotero.org/styles/the-lancet</vt:lpwstr>
  </property>
  <property fmtid="{D5CDD505-2E9C-101B-9397-08002B2CF9AE}" pid="21" name="Mendeley Recent Style Name 9_1">
    <vt:lpwstr>The Lancet</vt:lpwstr>
  </property>
  <property fmtid="{D5CDD505-2E9C-101B-9397-08002B2CF9AE}" pid="22" name="Mendeley Document_1">
    <vt:lpwstr>True</vt:lpwstr>
  </property>
  <property fmtid="{D5CDD505-2E9C-101B-9397-08002B2CF9AE}" pid="23" name="Mendeley Citation Style_1">
    <vt:lpwstr>http://www.zotero.org/styles/bmc-research-notes</vt:lpwstr>
  </property>
  <property fmtid="{D5CDD505-2E9C-101B-9397-08002B2CF9AE}" pid="24" name="Mendeley Unique User Id_1">
    <vt:lpwstr>1c426225-f2ce-3750-bd6a-9048dd241025</vt:lpwstr>
  </property>
</Properties>
</file>