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C11" w:rsidRPr="00571AFE" w:rsidRDefault="00E75C11" w:rsidP="00E75C11">
      <w:pPr>
        <w:rPr>
          <w:rFonts w:ascii="Times New Roman" w:hAnsi="Times New Roman" w:cs="Times New Roman"/>
        </w:rPr>
      </w:pPr>
      <w:bookmarkStart w:id="0" w:name="_GoBack"/>
      <w:proofErr w:type="gramStart"/>
      <w:r w:rsidRPr="00571AFE">
        <w:rPr>
          <w:rFonts w:ascii="Times New Roman" w:hAnsi="Times New Roman" w:cs="Times New Roman"/>
        </w:rPr>
        <w:t>Supplementary Table 1.</w:t>
      </w:r>
      <w:proofErr w:type="gramEnd"/>
      <w:r w:rsidRPr="00571AFE">
        <w:rPr>
          <w:rFonts w:ascii="Times New Roman" w:hAnsi="Times New Roman" w:cs="Times New Roman"/>
        </w:rPr>
        <w:t xml:space="preserve"> GWG after OGTT in women with GDM classified by IOM criteria and risk of types of Cesarean section (</w:t>
      </w:r>
      <w:proofErr w:type="spellStart"/>
      <w:r w:rsidRPr="00571AFE">
        <w:rPr>
          <w:rFonts w:ascii="Times New Roman" w:hAnsi="Times New Roman" w:cs="Times New Roman"/>
        </w:rPr>
        <w:t>aOR</w:t>
      </w:r>
      <w:proofErr w:type="spellEnd"/>
      <w:r w:rsidRPr="00571AFE">
        <w:rPr>
          <w:rFonts w:ascii="Times New Roman" w:hAnsi="Times New Roman" w:cs="Times New Roman"/>
        </w:rPr>
        <w:t xml:space="preserve"> (95% CI))</w:t>
      </w:r>
      <w:bookmarkEnd w:id="0"/>
    </w:p>
    <w:tbl>
      <w:tblPr>
        <w:tblStyle w:val="LightShading"/>
        <w:tblW w:w="3965" w:type="pct"/>
        <w:jc w:val="center"/>
        <w:tblLayout w:type="fixed"/>
        <w:tblLook w:val="04A0" w:firstRow="1" w:lastRow="0" w:firstColumn="1" w:lastColumn="0" w:noHBand="0" w:noVBand="1"/>
      </w:tblPr>
      <w:tblGrid>
        <w:gridCol w:w="2628"/>
        <w:gridCol w:w="992"/>
        <w:gridCol w:w="992"/>
        <w:gridCol w:w="992"/>
        <w:gridCol w:w="995"/>
        <w:gridCol w:w="995"/>
      </w:tblGrid>
      <w:tr w:rsidR="00E75C11" w:rsidRPr="00571AFE" w:rsidTr="00C64A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1" w:type="pct"/>
            <w:shd w:val="clear" w:color="auto" w:fill="auto"/>
          </w:tcPr>
          <w:p w:rsidR="00E75C11" w:rsidRPr="00571AFE" w:rsidRDefault="00E75C11" w:rsidP="00C64AFA">
            <w:pPr>
              <w:rPr>
                <w:rFonts w:ascii="Times New Roman" w:hAnsi="Times New Roman" w:cs="Times New Roman"/>
                <w:color w:val="auto"/>
                <w:sz w:val="20"/>
              </w:rPr>
            </w:pPr>
          </w:p>
        </w:tc>
        <w:tc>
          <w:tcPr>
            <w:tcW w:w="653" w:type="pct"/>
            <w:shd w:val="clear" w:color="auto" w:fill="auto"/>
            <w:vAlign w:val="center"/>
          </w:tcPr>
          <w:p w:rsidR="00E75C11" w:rsidRPr="00571AFE" w:rsidRDefault="00E75C11" w:rsidP="00C64A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Repeated   cesarean section</w:t>
            </w:r>
          </w:p>
        </w:tc>
        <w:tc>
          <w:tcPr>
            <w:tcW w:w="653" w:type="pct"/>
            <w:shd w:val="clear" w:color="auto" w:fill="auto"/>
            <w:vAlign w:val="center"/>
          </w:tcPr>
          <w:p w:rsidR="00E75C11" w:rsidRPr="00571AFE" w:rsidRDefault="00E75C11" w:rsidP="00C64A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proofErr w:type="spellStart"/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Malpresentations</w:t>
            </w:r>
            <w:proofErr w:type="spellEnd"/>
          </w:p>
        </w:tc>
        <w:tc>
          <w:tcPr>
            <w:tcW w:w="653" w:type="pct"/>
            <w:shd w:val="clear" w:color="auto" w:fill="auto"/>
            <w:vAlign w:val="center"/>
          </w:tcPr>
          <w:p w:rsidR="00E75C11" w:rsidRPr="00571AFE" w:rsidRDefault="00E75C11" w:rsidP="00C64A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Fetal distress</w:t>
            </w:r>
          </w:p>
        </w:tc>
        <w:tc>
          <w:tcPr>
            <w:tcW w:w="655" w:type="pct"/>
            <w:shd w:val="clear" w:color="auto" w:fill="auto"/>
          </w:tcPr>
          <w:p w:rsidR="00E75C11" w:rsidRPr="00571AFE" w:rsidRDefault="00E75C11" w:rsidP="00C64A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Advanced maternal age (&gt;35 years)</w:t>
            </w:r>
          </w:p>
        </w:tc>
        <w:tc>
          <w:tcPr>
            <w:tcW w:w="655" w:type="pct"/>
            <w:shd w:val="clear" w:color="auto" w:fill="auto"/>
            <w:vAlign w:val="center"/>
          </w:tcPr>
          <w:p w:rsidR="00E75C11" w:rsidRPr="00571AFE" w:rsidRDefault="00E75C11" w:rsidP="00C64AF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proofErr w:type="spellStart"/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Cephalopelvic</w:t>
            </w:r>
            <w:proofErr w:type="spellEnd"/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 xml:space="preserve"> disproportion</w:t>
            </w:r>
          </w:p>
        </w:tc>
      </w:tr>
      <w:tr w:rsidR="00E75C11" w:rsidRPr="00571AFE" w:rsidTr="00C64A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1" w:type="pct"/>
            <w:shd w:val="clear" w:color="auto" w:fill="auto"/>
          </w:tcPr>
          <w:p w:rsidR="00E75C11" w:rsidRPr="00571AFE" w:rsidRDefault="00E75C11" w:rsidP="00C64AFA">
            <w:pPr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 xml:space="preserve">Insufficient GWG before </w:t>
            </w:r>
            <w:r w:rsidRPr="00571AFE">
              <w:rPr>
                <w:rFonts w:ascii="Times New Roman" w:hAnsi="Times New Roman" w:cs="Times New Roman"/>
                <w:bCs w:val="0"/>
                <w:color w:val="auto"/>
                <w:sz w:val="18"/>
              </w:rPr>
              <w:t>OGTT</w:t>
            </w: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</w:p>
        </w:tc>
        <w:tc>
          <w:tcPr>
            <w:tcW w:w="655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</w:p>
        </w:tc>
        <w:tc>
          <w:tcPr>
            <w:tcW w:w="655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</w:p>
        </w:tc>
      </w:tr>
      <w:tr w:rsidR="00E75C11" w:rsidRPr="00571AFE" w:rsidTr="00C64AF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1" w:type="pct"/>
            <w:shd w:val="clear" w:color="auto" w:fill="auto"/>
          </w:tcPr>
          <w:p w:rsidR="00E75C11" w:rsidRPr="00571AFE" w:rsidRDefault="00E75C11" w:rsidP="00C64AFA">
            <w:pPr>
              <w:rPr>
                <w:rFonts w:ascii="Times New Roman" w:hAnsi="Times New Roman" w:cs="Times New Roman"/>
                <w:b w:val="0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b w:val="0"/>
                <w:color w:val="auto"/>
                <w:sz w:val="18"/>
              </w:rPr>
              <w:t xml:space="preserve"> Lower than IOM criteria after </w:t>
            </w:r>
            <w:r w:rsidRPr="00571AFE">
              <w:rPr>
                <w:rFonts w:ascii="Times New Roman" w:hAnsi="Times New Roman" w:cs="Times New Roman"/>
                <w:b w:val="0"/>
                <w:bCs w:val="0"/>
                <w:color w:val="auto"/>
                <w:sz w:val="18"/>
              </w:rPr>
              <w:t>OGTT, n=196</w:t>
            </w: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1.95(0.95-3.98)</w:t>
            </w: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2.12(0.76-5.86)</w:t>
            </w: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1.07(0.47-2.47)</w:t>
            </w:r>
          </w:p>
        </w:tc>
        <w:tc>
          <w:tcPr>
            <w:tcW w:w="655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0.20(0.03-1.31)</w:t>
            </w:r>
          </w:p>
        </w:tc>
        <w:tc>
          <w:tcPr>
            <w:tcW w:w="655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0.78(0.28-2.19)</w:t>
            </w:r>
          </w:p>
        </w:tc>
      </w:tr>
      <w:tr w:rsidR="00E75C11" w:rsidRPr="00571AFE" w:rsidTr="00C64A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1" w:type="pct"/>
            <w:shd w:val="clear" w:color="auto" w:fill="auto"/>
          </w:tcPr>
          <w:p w:rsidR="00E75C11" w:rsidRPr="00571AFE" w:rsidRDefault="00E75C11" w:rsidP="00C64AFA">
            <w:pPr>
              <w:rPr>
                <w:rFonts w:ascii="Times New Roman" w:hAnsi="Times New Roman" w:cs="Times New Roman"/>
                <w:b w:val="0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b w:val="0"/>
                <w:color w:val="auto"/>
                <w:sz w:val="18"/>
              </w:rPr>
              <w:t xml:space="preserve"> Within the IOM criteria after </w:t>
            </w:r>
            <w:r w:rsidRPr="00571AFE">
              <w:rPr>
                <w:rFonts w:ascii="Times New Roman" w:hAnsi="Times New Roman" w:cs="Times New Roman"/>
                <w:b w:val="0"/>
                <w:bCs w:val="0"/>
                <w:color w:val="auto"/>
                <w:sz w:val="18"/>
              </w:rPr>
              <w:t>OGTT, n=131</w:t>
            </w: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1.12(0.47-2.67)</w:t>
            </w: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b/>
                <w:color w:val="auto"/>
                <w:sz w:val="18"/>
              </w:rPr>
              <w:t>3.20(1.08-9.52)</w:t>
            </w: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0.58(0.16-2.10)</w:t>
            </w:r>
          </w:p>
        </w:tc>
        <w:tc>
          <w:tcPr>
            <w:tcW w:w="655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0.61(0.05-7.71)</w:t>
            </w:r>
          </w:p>
        </w:tc>
        <w:tc>
          <w:tcPr>
            <w:tcW w:w="655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0.38(0.07-2.08)</w:t>
            </w:r>
          </w:p>
        </w:tc>
      </w:tr>
      <w:tr w:rsidR="00E75C11" w:rsidRPr="00571AFE" w:rsidTr="00C64AF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1" w:type="pct"/>
            <w:shd w:val="clear" w:color="auto" w:fill="auto"/>
          </w:tcPr>
          <w:p w:rsidR="00E75C11" w:rsidRPr="00571AFE" w:rsidRDefault="00E75C11" w:rsidP="00C64AFA">
            <w:pPr>
              <w:rPr>
                <w:rFonts w:ascii="Times New Roman" w:hAnsi="Times New Roman" w:cs="Times New Roman"/>
                <w:b w:val="0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b w:val="0"/>
                <w:color w:val="auto"/>
                <w:sz w:val="18"/>
              </w:rPr>
              <w:t xml:space="preserve"> Higher than IOM criteria after </w:t>
            </w:r>
            <w:r w:rsidRPr="00571AFE">
              <w:rPr>
                <w:rFonts w:ascii="Times New Roman" w:hAnsi="Times New Roman" w:cs="Times New Roman"/>
                <w:b w:val="0"/>
                <w:bCs w:val="0"/>
                <w:color w:val="auto"/>
                <w:sz w:val="18"/>
              </w:rPr>
              <w:t>OGTT, n=182</w:t>
            </w: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b/>
                <w:color w:val="auto"/>
                <w:sz w:val="18"/>
              </w:rPr>
              <w:t>2.30(1.03-5.14)</w:t>
            </w: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b/>
                <w:color w:val="auto"/>
                <w:sz w:val="18"/>
              </w:rPr>
              <w:t>3.24(1.13-9.24)</w:t>
            </w: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0.41(0.11-1.50)</w:t>
            </w:r>
          </w:p>
        </w:tc>
        <w:tc>
          <w:tcPr>
            <w:tcW w:w="655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1.67(0.31-9.03)</w:t>
            </w:r>
          </w:p>
        </w:tc>
        <w:tc>
          <w:tcPr>
            <w:tcW w:w="655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1.09(0.37-3.25)</w:t>
            </w:r>
          </w:p>
        </w:tc>
      </w:tr>
      <w:tr w:rsidR="00E75C11" w:rsidRPr="00571AFE" w:rsidTr="00C64A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1" w:type="pct"/>
            <w:shd w:val="clear" w:color="auto" w:fill="auto"/>
          </w:tcPr>
          <w:p w:rsidR="00E75C11" w:rsidRPr="00571AFE" w:rsidRDefault="00E75C11" w:rsidP="00C64AFA">
            <w:pPr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 xml:space="preserve">Adequate GWG before </w:t>
            </w:r>
            <w:r w:rsidRPr="00571AFE">
              <w:rPr>
                <w:rFonts w:ascii="Times New Roman" w:hAnsi="Times New Roman" w:cs="Times New Roman"/>
                <w:bCs w:val="0"/>
                <w:color w:val="auto"/>
                <w:sz w:val="18"/>
              </w:rPr>
              <w:t>OGTT</w:t>
            </w:r>
          </w:p>
        </w:tc>
        <w:tc>
          <w:tcPr>
            <w:tcW w:w="653" w:type="pct"/>
            <w:shd w:val="clear" w:color="auto" w:fill="auto"/>
            <w:vAlign w:val="bottom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</w:p>
        </w:tc>
        <w:tc>
          <w:tcPr>
            <w:tcW w:w="655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</w:p>
        </w:tc>
        <w:tc>
          <w:tcPr>
            <w:tcW w:w="655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</w:p>
        </w:tc>
      </w:tr>
      <w:tr w:rsidR="00E75C11" w:rsidRPr="00571AFE" w:rsidTr="00C64AF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1" w:type="pct"/>
            <w:shd w:val="clear" w:color="auto" w:fill="auto"/>
          </w:tcPr>
          <w:p w:rsidR="00E75C11" w:rsidRPr="00571AFE" w:rsidRDefault="00E75C11" w:rsidP="00C64AFA">
            <w:pPr>
              <w:rPr>
                <w:rFonts w:ascii="Times New Roman" w:hAnsi="Times New Roman" w:cs="Times New Roman"/>
                <w:b w:val="0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b w:val="0"/>
                <w:color w:val="auto"/>
                <w:sz w:val="18"/>
              </w:rPr>
              <w:t xml:space="preserve"> Lower than IOM criteria after </w:t>
            </w:r>
            <w:r w:rsidRPr="00571AFE">
              <w:rPr>
                <w:rFonts w:ascii="Times New Roman" w:hAnsi="Times New Roman" w:cs="Times New Roman"/>
                <w:b w:val="0"/>
                <w:bCs w:val="0"/>
                <w:color w:val="auto"/>
                <w:sz w:val="18"/>
              </w:rPr>
              <w:t>OGTT, n=529</w:t>
            </w:r>
          </w:p>
        </w:tc>
        <w:tc>
          <w:tcPr>
            <w:tcW w:w="653" w:type="pct"/>
            <w:shd w:val="clear" w:color="auto" w:fill="auto"/>
            <w:vAlign w:val="bottom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1.35(0.70-2.60)</w:t>
            </w: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1.54(0.59-4.02)</w:t>
            </w: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0.63(0.28-1.41)</w:t>
            </w:r>
          </w:p>
        </w:tc>
        <w:tc>
          <w:tcPr>
            <w:tcW w:w="655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2.18(0.54-8.82)</w:t>
            </w:r>
          </w:p>
        </w:tc>
        <w:tc>
          <w:tcPr>
            <w:tcW w:w="655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0.51(0.19-1.34)</w:t>
            </w:r>
          </w:p>
        </w:tc>
      </w:tr>
      <w:tr w:rsidR="00E75C11" w:rsidRPr="00571AFE" w:rsidTr="00C64A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1" w:type="pct"/>
            <w:shd w:val="clear" w:color="auto" w:fill="auto"/>
          </w:tcPr>
          <w:p w:rsidR="00E75C11" w:rsidRPr="00571AFE" w:rsidRDefault="00E75C11" w:rsidP="00C64AFA">
            <w:pPr>
              <w:rPr>
                <w:rFonts w:ascii="Times New Roman" w:hAnsi="Times New Roman" w:cs="Times New Roman"/>
                <w:b w:val="0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b w:val="0"/>
                <w:color w:val="auto"/>
                <w:sz w:val="18"/>
              </w:rPr>
              <w:t xml:space="preserve"> Within the IOM criteria after </w:t>
            </w:r>
            <w:r w:rsidRPr="00571AFE">
              <w:rPr>
                <w:rFonts w:ascii="Times New Roman" w:hAnsi="Times New Roman" w:cs="Times New Roman"/>
                <w:b w:val="0"/>
                <w:bCs w:val="0"/>
                <w:color w:val="auto"/>
                <w:sz w:val="18"/>
              </w:rPr>
              <w:t>OGTT, n=303</w:t>
            </w: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1</w:t>
            </w: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1</w:t>
            </w: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1</w:t>
            </w:r>
          </w:p>
        </w:tc>
        <w:tc>
          <w:tcPr>
            <w:tcW w:w="655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1</w:t>
            </w:r>
          </w:p>
        </w:tc>
        <w:tc>
          <w:tcPr>
            <w:tcW w:w="655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1</w:t>
            </w:r>
          </w:p>
        </w:tc>
      </w:tr>
      <w:tr w:rsidR="00E75C11" w:rsidRPr="00571AFE" w:rsidTr="00C64AF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1" w:type="pct"/>
            <w:shd w:val="clear" w:color="auto" w:fill="auto"/>
          </w:tcPr>
          <w:p w:rsidR="00E75C11" w:rsidRPr="00571AFE" w:rsidRDefault="00E75C11" w:rsidP="00C64AFA">
            <w:pPr>
              <w:rPr>
                <w:rFonts w:ascii="Times New Roman" w:hAnsi="Times New Roman" w:cs="Times New Roman"/>
                <w:b w:val="0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b w:val="0"/>
                <w:color w:val="auto"/>
                <w:sz w:val="18"/>
              </w:rPr>
              <w:t xml:space="preserve"> Higher than IOM criteria after </w:t>
            </w:r>
            <w:r w:rsidRPr="00571AFE">
              <w:rPr>
                <w:rFonts w:ascii="Times New Roman" w:hAnsi="Times New Roman" w:cs="Times New Roman"/>
                <w:b w:val="0"/>
                <w:bCs w:val="0"/>
                <w:color w:val="auto"/>
                <w:sz w:val="18"/>
              </w:rPr>
              <w:t>OGTT, n=305</w:t>
            </w:r>
          </w:p>
        </w:tc>
        <w:tc>
          <w:tcPr>
            <w:tcW w:w="653" w:type="pct"/>
            <w:shd w:val="clear" w:color="auto" w:fill="auto"/>
            <w:vAlign w:val="bottom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1.74(0.82-3.69)</w:t>
            </w: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b/>
                <w:color w:val="auto"/>
                <w:sz w:val="18"/>
              </w:rPr>
              <w:t>3.13(1.21-8.14)</w:t>
            </w: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0.49(0.18-1.35)</w:t>
            </w:r>
          </w:p>
        </w:tc>
        <w:tc>
          <w:tcPr>
            <w:tcW w:w="655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1.65(0.32-8.42)</w:t>
            </w:r>
          </w:p>
        </w:tc>
        <w:tc>
          <w:tcPr>
            <w:tcW w:w="655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0.63(0.22-1.83)</w:t>
            </w:r>
          </w:p>
        </w:tc>
      </w:tr>
      <w:tr w:rsidR="00E75C11" w:rsidRPr="00571AFE" w:rsidTr="00C64A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1" w:type="pct"/>
            <w:shd w:val="clear" w:color="auto" w:fill="auto"/>
          </w:tcPr>
          <w:p w:rsidR="00E75C11" w:rsidRPr="00571AFE" w:rsidRDefault="00E75C11" w:rsidP="00C64AFA">
            <w:pPr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 xml:space="preserve">Excessive GWG before </w:t>
            </w:r>
            <w:r w:rsidRPr="00571AFE">
              <w:rPr>
                <w:rFonts w:ascii="Times New Roman" w:hAnsi="Times New Roman" w:cs="Times New Roman"/>
                <w:bCs w:val="0"/>
                <w:color w:val="auto"/>
                <w:sz w:val="18"/>
              </w:rPr>
              <w:t>OGTT</w:t>
            </w:r>
          </w:p>
        </w:tc>
        <w:tc>
          <w:tcPr>
            <w:tcW w:w="653" w:type="pct"/>
            <w:shd w:val="clear" w:color="auto" w:fill="auto"/>
            <w:vAlign w:val="bottom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</w:p>
        </w:tc>
        <w:tc>
          <w:tcPr>
            <w:tcW w:w="655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</w:p>
        </w:tc>
        <w:tc>
          <w:tcPr>
            <w:tcW w:w="655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</w:p>
        </w:tc>
      </w:tr>
      <w:tr w:rsidR="00E75C11" w:rsidRPr="00571AFE" w:rsidTr="00C64AF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1" w:type="pct"/>
            <w:shd w:val="clear" w:color="auto" w:fill="auto"/>
          </w:tcPr>
          <w:p w:rsidR="00E75C11" w:rsidRPr="00571AFE" w:rsidRDefault="00E75C11" w:rsidP="00C64AFA">
            <w:pPr>
              <w:rPr>
                <w:rFonts w:ascii="Times New Roman" w:hAnsi="Times New Roman" w:cs="Times New Roman"/>
                <w:b w:val="0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b w:val="0"/>
                <w:color w:val="auto"/>
                <w:sz w:val="18"/>
              </w:rPr>
              <w:t xml:space="preserve"> Lower than IOM criteria after </w:t>
            </w:r>
            <w:r w:rsidRPr="00571AFE">
              <w:rPr>
                <w:rFonts w:ascii="Times New Roman" w:hAnsi="Times New Roman" w:cs="Times New Roman"/>
                <w:b w:val="0"/>
                <w:bCs w:val="0"/>
                <w:color w:val="auto"/>
                <w:sz w:val="18"/>
              </w:rPr>
              <w:t>OGTT, n=690</w:t>
            </w:r>
          </w:p>
        </w:tc>
        <w:tc>
          <w:tcPr>
            <w:tcW w:w="653" w:type="pct"/>
            <w:shd w:val="clear" w:color="auto" w:fill="auto"/>
            <w:vAlign w:val="bottom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1.71(0.86-3.39)</w:t>
            </w: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b/>
                <w:color w:val="auto"/>
                <w:sz w:val="18"/>
              </w:rPr>
              <w:t>2.81(1.15-6.91)</w:t>
            </w: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0.61(0.28-1.35)</w:t>
            </w:r>
          </w:p>
        </w:tc>
        <w:tc>
          <w:tcPr>
            <w:tcW w:w="655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1.36(0.32-5.84)</w:t>
            </w:r>
          </w:p>
        </w:tc>
        <w:tc>
          <w:tcPr>
            <w:tcW w:w="655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0.44(0.17-1.17)</w:t>
            </w:r>
          </w:p>
        </w:tc>
      </w:tr>
      <w:tr w:rsidR="00E75C11" w:rsidRPr="00571AFE" w:rsidTr="00C64A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1" w:type="pct"/>
            <w:shd w:val="clear" w:color="auto" w:fill="auto"/>
          </w:tcPr>
          <w:p w:rsidR="00E75C11" w:rsidRPr="00571AFE" w:rsidRDefault="00E75C11" w:rsidP="00C64AFA">
            <w:pPr>
              <w:rPr>
                <w:rFonts w:ascii="Times New Roman" w:hAnsi="Times New Roman" w:cs="Times New Roman"/>
                <w:b w:val="0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b w:val="0"/>
                <w:color w:val="auto"/>
                <w:sz w:val="18"/>
              </w:rPr>
              <w:t xml:space="preserve"> Within the IOM criteria after </w:t>
            </w:r>
            <w:r w:rsidRPr="00571AFE">
              <w:rPr>
                <w:rFonts w:ascii="Times New Roman" w:hAnsi="Times New Roman" w:cs="Times New Roman"/>
                <w:b w:val="0"/>
                <w:bCs w:val="0"/>
                <w:color w:val="auto"/>
                <w:sz w:val="18"/>
              </w:rPr>
              <w:t>OGTT, n=353</w:t>
            </w: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0.78(0.34-1.78)</w:t>
            </w: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1.95(0.71-5.38)</w:t>
            </w: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1.15(0.52-2.56)</w:t>
            </w:r>
          </w:p>
        </w:tc>
        <w:tc>
          <w:tcPr>
            <w:tcW w:w="655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1.18(0.22-6.27)</w:t>
            </w:r>
          </w:p>
        </w:tc>
        <w:tc>
          <w:tcPr>
            <w:tcW w:w="655" w:type="pct"/>
            <w:shd w:val="clear" w:color="auto" w:fill="auto"/>
          </w:tcPr>
          <w:p w:rsidR="00E75C11" w:rsidRPr="00571AFE" w:rsidRDefault="00E75C11" w:rsidP="00C64A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1.07(0.42-2.71)</w:t>
            </w:r>
          </w:p>
        </w:tc>
      </w:tr>
      <w:tr w:rsidR="00E75C11" w:rsidRPr="00571AFE" w:rsidTr="00C64AF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1" w:type="pct"/>
            <w:shd w:val="clear" w:color="auto" w:fill="auto"/>
          </w:tcPr>
          <w:p w:rsidR="00E75C11" w:rsidRPr="00571AFE" w:rsidRDefault="00E75C11" w:rsidP="00C64AFA">
            <w:pPr>
              <w:rPr>
                <w:rFonts w:ascii="Times New Roman" w:hAnsi="Times New Roman" w:cs="Times New Roman"/>
                <w:b w:val="0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b w:val="0"/>
                <w:color w:val="auto"/>
                <w:sz w:val="18"/>
              </w:rPr>
              <w:t xml:space="preserve"> Higher than IOM criteria after </w:t>
            </w:r>
            <w:r w:rsidRPr="00571AFE">
              <w:rPr>
                <w:rFonts w:ascii="Times New Roman" w:hAnsi="Times New Roman" w:cs="Times New Roman"/>
                <w:b w:val="0"/>
                <w:bCs w:val="0"/>
                <w:color w:val="auto"/>
                <w:sz w:val="18"/>
              </w:rPr>
              <w:t>OGTT, n=546</w:t>
            </w: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b/>
                <w:color w:val="auto"/>
                <w:sz w:val="18"/>
              </w:rPr>
              <w:t>3.24(1.67-6.30)</w:t>
            </w: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b/>
                <w:color w:val="auto"/>
                <w:sz w:val="18"/>
              </w:rPr>
              <w:t>2.58(1.04-6.47)</w:t>
            </w:r>
          </w:p>
        </w:tc>
        <w:tc>
          <w:tcPr>
            <w:tcW w:w="653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0.81(0.38-1.76)</w:t>
            </w:r>
          </w:p>
        </w:tc>
        <w:tc>
          <w:tcPr>
            <w:tcW w:w="655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b/>
                <w:color w:val="auto"/>
                <w:sz w:val="18"/>
              </w:rPr>
              <w:t>5.59(1.36-22.98)</w:t>
            </w:r>
          </w:p>
        </w:tc>
        <w:tc>
          <w:tcPr>
            <w:tcW w:w="655" w:type="pct"/>
            <w:shd w:val="clear" w:color="auto" w:fill="auto"/>
          </w:tcPr>
          <w:p w:rsidR="00E75C11" w:rsidRPr="00571AFE" w:rsidRDefault="00E75C11" w:rsidP="00C64A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18"/>
              </w:rPr>
            </w:pPr>
            <w:r w:rsidRPr="00571AFE">
              <w:rPr>
                <w:rFonts w:ascii="Times New Roman" w:hAnsi="Times New Roman" w:cs="Times New Roman"/>
                <w:color w:val="auto"/>
                <w:sz w:val="18"/>
              </w:rPr>
              <w:t>0.56(0.21-1.46)</w:t>
            </w:r>
          </w:p>
        </w:tc>
      </w:tr>
    </w:tbl>
    <w:p w:rsidR="00E75C11" w:rsidRPr="00571AFE" w:rsidRDefault="00E75C11" w:rsidP="00E75C11">
      <w:pPr>
        <w:rPr>
          <w:rFonts w:ascii="Times New Roman" w:hAnsi="Times New Roman" w:cs="Times New Roman"/>
        </w:rPr>
      </w:pPr>
      <w:proofErr w:type="gramStart"/>
      <w:r w:rsidRPr="00571AFE">
        <w:rPr>
          <w:rFonts w:ascii="Times New Roman" w:hAnsi="Times New Roman" w:cs="Times New Roman"/>
        </w:rPr>
        <w:t>Adjusted for gravidity, parity, PPBMI, height, adverse pregnancy history, blood glucose levels at OGTT and late pregnancy.</w:t>
      </w:r>
      <w:proofErr w:type="gramEnd"/>
    </w:p>
    <w:p w:rsidR="00E75C11" w:rsidRPr="00571AFE" w:rsidRDefault="00E75C11" w:rsidP="00E75C11">
      <w:pPr>
        <w:rPr>
          <w:rFonts w:ascii="Times New Roman" w:hAnsi="Times New Roman" w:cs="Times New Roman"/>
        </w:rPr>
      </w:pPr>
      <w:r w:rsidRPr="00571AFE">
        <w:rPr>
          <w:rFonts w:ascii="Times New Roman" w:hAnsi="Times New Roman" w:cs="Times New Roman"/>
        </w:rPr>
        <w:t xml:space="preserve">GWG, gestational weight gain; OGTT, oral glucose tolerance test; </w:t>
      </w:r>
      <w:proofErr w:type="spellStart"/>
      <w:r w:rsidRPr="00571AFE">
        <w:rPr>
          <w:rFonts w:ascii="Times New Roman" w:hAnsi="Times New Roman" w:cs="Times New Roman"/>
        </w:rPr>
        <w:t>aOR</w:t>
      </w:r>
      <w:proofErr w:type="spellEnd"/>
      <w:r w:rsidRPr="00571AFE">
        <w:rPr>
          <w:rFonts w:ascii="Times New Roman" w:hAnsi="Times New Roman" w:cs="Times New Roman"/>
        </w:rPr>
        <w:t>, adjusted odds ratio; CI, confidence interval; GDM, gestational diabetes mellitus; IOM, Institute of Medicine.</w:t>
      </w:r>
    </w:p>
    <w:p w:rsidR="007608E4" w:rsidRDefault="007608E4"/>
    <w:sectPr w:rsidR="007608E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revisionView w:comment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C11"/>
    <w:rsid w:val="0047260B"/>
    <w:rsid w:val="00482ACE"/>
    <w:rsid w:val="007608E4"/>
    <w:rsid w:val="00E7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rsid w:val="00E75C11"/>
    <w:pPr>
      <w:spacing w:after="0" w:line="240" w:lineRule="auto"/>
    </w:pPr>
    <w:rPr>
      <w:rFonts w:eastAsiaTheme="minorEastAsia"/>
      <w:color w:val="000000" w:themeColor="text1" w:themeShade="BF"/>
      <w:kern w:val="2"/>
      <w:sz w:val="21"/>
      <w:lang w:val="en-US" w:eastAsia="zh-CN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rsid w:val="00E75C11"/>
    <w:pPr>
      <w:spacing w:after="0" w:line="240" w:lineRule="auto"/>
    </w:pPr>
    <w:rPr>
      <w:rFonts w:eastAsiaTheme="minorEastAsia"/>
      <w:color w:val="000000" w:themeColor="text1" w:themeShade="BF"/>
      <w:kern w:val="2"/>
      <w:sz w:val="21"/>
      <w:lang w:val="en-US" w:eastAsia="zh-CN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1461</Characters>
  <Application>Microsoft Office Word</Application>
  <DocSecurity>0</DocSecurity>
  <Lines>41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OF47</dc:creator>
  <cp:lastModifiedBy>OF47</cp:lastModifiedBy>
  <cp:revision>1</cp:revision>
  <dcterms:created xsi:type="dcterms:W3CDTF">2021-03-03T13:58:00Z</dcterms:created>
  <dcterms:modified xsi:type="dcterms:W3CDTF">2021-03-03T13:58:00Z</dcterms:modified>
</cp:coreProperties>
</file>