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910"/>
        <w:gridCol w:w="1178"/>
        <w:gridCol w:w="1212"/>
        <w:gridCol w:w="1022"/>
        <w:gridCol w:w="1239"/>
        <w:gridCol w:w="1239"/>
      </w:tblGrid>
      <w:tr w:rsidR="00A70264" w:rsidRPr="00D23D8D" w:rsidTr="00A70264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A70264" w:rsidRPr="00D23D8D" w:rsidRDefault="00A70264" w:rsidP="002118AF">
            <w:pPr>
              <w:pStyle w:val="Title1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GRADE approach</w:t>
            </w:r>
            <w:r w:rsidRPr="00D23D8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fr-FR"/>
              </w:rPr>
              <w:t>Intervention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ART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fr-FR"/>
              </w:rPr>
              <w:t>Comparison</w:t>
            </w:r>
            <w:proofErr w:type="spellEnd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: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spontaneous</w:t>
            </w:r>
            <w:proofErr w:type="spellEnd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conception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  <w:hideMark/>
          </w:tcPr>
          <w:p w:rsidR="00A70264" w:rsidRPr="006B400B" w:rsidRDefault="00A70264" w:rsidP="002118AF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6B400B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  <w:hideMark/>
          </w:tcPr>
          <w:p w:rsidR="00A70264" w:rsidRPr="006B400B" w:rsidRDefault="00A70264" w:rsidP="002118AF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</w:t>
            </w:r>
            <w:r w:rsidRPr="006B400B">
              <w:rPr>
                <w:b/>
                <w:bCs/>
                <w:sz w:val="20"/>
                <w:szCs w:val="20"/>
              </w:rPr>
              <w:t xml:space="preserve"> of participants </w:t>
            </w:r>
            <w:r w:rsidRPr="006B400B">
              <w:rPr>
                <w:b/>
                <w:bCs/>
                <w:sz w:val="20"/>
                <w:szCs w:val="20"/>
              </w:rPr>
              <w:br/>
              <w:t>(studies)</w:t>
            </w:r>
            <w:r w:rsidRPr="006B400B">
              <w:rPr>
                <w:b/>
                <w:bCs/>
                <w:sz w:val="20"/>
                <w:szCs w:val="20"/>
              </w:rPr>
              <w:br/>
              <w:t xml:space="preserve">Follow up 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  <w:hideMark/>
          </w:tcPr>
          <w:p w:rsidR="00A70264" w:rsidRPr="006B400B" w:rsidRDefault="00A70264" w:rsidP="002118AF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6B400B">
              <w:rPr>
                <w:b/>
                <w:bCs/>
                <w:sz w:val="20"/>
                <w:szCs w:val="20"/>
              </w:rPr>
              <w:t>Certainty of the evidence</w:t>
            </w:r>
            <w:r w:rsidRPr="006B400B">
              <w:rPr>
                <w:b/>
                <w:bCs/>
                <w:sz w:val="20"/>
                <w:szCs w:val="20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  <w:hideMark/>
          </w:tcPr>
          <w:p w:rsidR="00A70264" w:rsidRPr="006B400B" w:rsidRDefault="00A70264" w:rsidP="002118AF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6B400B">
              <w:rPr>
                <w:b/>
                <w:bCs/>
                <w:sz w:val="20"/>
                <w:szCs w:val="20"/>
              </w:rPr>
              <w:t>Relative effect</w:t>
            </w:r>
            <w:r w:rsidRPr="006B400B">
              <w:rPr>
                <w:b/>
                <w:bCs/>
                <w:sz w:val="20"/>
                <w:szCs w:val="20"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:rsidR="00A70264" w:rsidRPr="00D23D8D" w:rsidRDefault="00A70264" w:rsidP="002118AF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 w:rsidRPr="00D23D8D">
              <w:rPr>
                <w:b/>
                <w:bCs/>
                <w:color w:val="000000"/>
                <w:sz w:val="20"/>
                <w:szCs w:val="20"/>
              </w:rPr>
              <w:t>Anticipated absolute effects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hideMark/>
          </w:tcPr>
          <w:p w:rsidR="00A70264" w:rsidRPr="00D23D8D" w:rsidRDefault="00A70264" w:rsidP="002118AF">
            <w:pP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hideMark/>
          </w:tcPr>
          <w:p w:rsidR="00A70264" w:rsidRPr="00D23D8D" w:rsidRDefault="00A70264" w:rsidP="002118AF">
            <w:pP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hideMark/>
          </w:tcPr>
          <w:p w:rsidR="00A70264" w:rsidRPr="00D23D8D" w:rsidRDefault="00A70264" w:rsidP="002118AF">
            <w:pP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hideMark/>
          </w:tcPr>
          <w:p w:rsidR="00A70264" w:rsidRPr="00D23D8D" w:rsidRDefault="00A70264" w:rsidP="002118AF">
            <w:pP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:rsidR="00A70264" w:rsidRPr="00D23D8D" w:rsidRDefault="00A70264" w:rsidP="002118AF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 w:rsidRPr="00D23D8D">
              <w:rPr>
                <w:b/>
                <w:bCs/>
                <w:color w:val="000000"/>
                <w:sz w:val="20"/>
                <w:szCs w:val="20"/>
              </w:rPr>
              <w:t>Risk with C-section in spontaneous conception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:rsidR="00A70264" w:rsidRPr="00D23D8D" w:rsidRDefault="00A70264" w:rsidP="002118AF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 w:rsidRPr="00D23D8D">
              <w:rPr>
                <w:b/>
                <w:bCs/>
                <w:color w:val="000000"/>
                <w:sz w:val="20"/>
                <w:szCs w:val="20"/>
              </w:rPr>
              <w:t xml:space="preserve">Risk difference with C-section total in IVF/ICSI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C-Sections </w:t>
            </w:r>
            <w:r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overall</w:t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 (IVF/ICSI vs Spontaneous conceptions)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follow up: range 20 weeks to 39 weeks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4010197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(34 observational studies)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⨁⨁⨁◯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block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1.90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"/>
                <w:rFonts w:ascii="Times New Roman" w:eastAsia="Times New Roman" w:hAnsi="Times New Roman" w:cs="Times New Roman"/>
                <w:sz w:val="20"/>
                <w:szCs w:val="20"/>
              </w:rPr>
              <w:t>(1.76 to 2.06)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 per 100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more per 100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-value"/>
                <w:rFonts w:ascii="Times New Roman" w:eastAsia="Times New Roman" w:hAnsi="Times New Roman" w:cs="Times New Roman"/>
                <w:sz w:val="20"/>
                <w:szCs w:val="20"/>
              </w:rPr>
              <w:t>(9 more to 12 more)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Elective C-Sections (IFV/ICSI vs Spontaneous Conceptions)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follow up: range 20 weeks to 39 weeks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364879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(10 observational studies)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⨁⨁⨁◯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block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1.91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"/>
                <w:rFonts w:ascii="Times New Roman" w:eastAsia="Times New Roman" w:hAnsi="Times New Roman" w:cs="Times New Roman"/>
                <w:sz w:val="20"/>
                <w:szCs w:val="20"/>
              </w:rPr>
              <w:t>(1.37 to 2.67)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per 100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more per 100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-value"/>
                <w:rFonts w:ascii="Times New Roman" w:eastAsia="Times New Roman" w:hAnsi="Times New Roman" w:cs="Times New Roman"/>
                <w:sz w:val="20"/>
                <w:szCs w:val="20"/>
              </w:rPr>
              <w:t>(3 more to 11 more)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Emergent C-Section (IVF/ICSI vs Spontaneous conceptions)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follow up: range 20 weeks to 39 weeks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119248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(8 observational studies)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⨁⨁⨁◯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block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1.38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"/>
                <w:rFonts w:ascii="Times New Roman" w:eastAsia="Times New Roman" w:hAnsi="Times New Roman" w:cs="Times New Roman"/>
                <w:sz w:val="20"/>
                <w:szCs w:val="20"/>
              </w:rPr>
              <w:t>(1.09 to 1.75)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 per 100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more per 100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-value"/>
                <w:rFonts w:ascii="Times New Roman" w:eastAsia="Times New Roman" w:hAnsi="Times New Roman" w:cs="Times New Roman"/>
                <w:sz w:val="20"/>
                <w:szCs w:val="20"/>
              </w:rPr>
              <w:t>(1 more to 8 more)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C-section </w:t>
            </w:r>
            <w:r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overall</w:t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 (IVF alone vs Spontaneous conceptions)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follow up: range 20 weeks to 39 weeks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3490789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(14 observational studies)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⨁⨁⨁◯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f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block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2.07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"/>
                <w:rFonts w:ascii="Times New Roman" w:eastAsia="Times New Roman" w:hAnsi="Times New Roman" w:cs="Times New Roman"/>
                <w:sz w:val="20"/>
                <w:szCs w:val="20"/>
              </w:rPr>
              <w:t>(1.86 to 2.30)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 per 100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more per 100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-value"/>
                <w:rFonts w:ascii="Times New Roman" w:eastAsia="Times New Roman" w:hAnsi="Times New Roman" w:cs="Times New Roman"/>
                <w:sz w:val="20"/>
                <w:szCs w:val="20"/>
              </w:rPr>
              <w:t>(10 more to 14 more)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C-section </w:t>
            </w:r>
            <w:r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overall</w:t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 (ICSI vs Spontaneous conceptions)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follow up: range 20 weeks to 39 weeks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293113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(6 observational studies)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⨁⨁⨁◯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g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h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block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1.66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"/>
                <w:rFonts w:ascii="Times New Roman" w:eastAsia="Times New Roman" w:hAnsi="Times New Roman" w:cs="Times New Roman"/>
                <w:sz w:val="20"/>
                <w:szCs w:val="20"/>
              </w:rPr>
              <w:t>(1.29 to 2.15)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26 per 100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more per 100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-value"/>
                <w:rFonts w:ascii="Times New Roman" w:eastAsia="Times New Roman" w:hAnsi="Times New Roman" w:cs="Times New Roman"/>
                <w:sz w:val="20"/>
                <w:szCs w:val="20"/>
              </w:rPr>
              <w:t>(5 more to 17 more)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C-section </w:t>
            </w:r>
            <w:r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overall</w:t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 (Fresh embryo transfer after IVF/ICSI versus SC)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follow up: range 20 weeks to 39 weeks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2157788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(7 observational studies)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i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j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k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block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1.55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"/>
                <w:rFonts w:ascii="Times New Roman" w:eastAsia="Times New Roman" w:hAnsi="Times New Roman" w:cs="Times New Roman"/>
                <w:sz w:val="20"/>
                <w:szCs w:val="20"/>
              </w:rPr>
              <w:t>(1.41 to 1.69)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 per 100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more per 100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-value"/>
                <w:rFonts w:ascii="Times New Roman" w:eastAsia="Times New Roman" w:hAnsi="Times New Roman" w:cs="Times New Roman"/>
                <w:sz w:val="20"/>
                <w:szCs w:val="20"/>
              </w:rPr>
              <w:t>(3 more to 4 more)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C-Sections </w:t>
            </w:r>
            <w:r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overall</w:t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 xml:space="preserve"> (Frozen embryo transfer after IVF/ICSI versus SC)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follow up: range 20 weeks to 39 weeks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2086557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(6 observational studies) 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i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j</w:t>
            </w:r>
            <w:r w:rsidRPr="00D23D8D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l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block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1.82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"/>
                <w:rFonts w:ascii="Times New Roman" w:eastAsia="Times New Roman" w:hAnsi="Times New Roman" w:cs="Times New Roman"/>
                <w:sz w:val="20"/>
                <w:szCs w:val="20"/>
              </w:rPr>
              <w:t>(1.65 to 2.01)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 per 100 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more per 100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Style w:val="cell-value"/>
                <w:rFonts w:ascii="Times New Roman" w:eastAsia="Times New Roman" w:hAnsi="Times New Roman" w:cs="Times New Roman"/>
                <w:sz w:val="20"/>
                <w:szCs w:val="20"/>
              </w:rPr>
              <w:t>(8 more to 12 more)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 risk in the intervention group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(and its 95% confidence interval) </w:t>
            </w:r>
            <w:proofErr w:type="gramStart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>is based</w:t>
            </w:r>
            <w:proofErr w:type="gramEnd"/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 the assumed risk in the comparison group and the </w:t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relative effect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the intervention (and its 95% CI). 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CI: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Confidence interval; </w:t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OR: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Odds ratio </w:t>
            </w:r>
          </w:p>
        </w:tc>
      </w:tr>
      <w:tr w:rsidR="00A70264" w:rsidRPr="00D23D8D" w:rsidTr="00A70264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A70264" w:rsidRPr="00D23D8D" w:rsidRDefault="00A70264" w:rsidP="00211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GRADE Working Group grades of evidence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High certainty: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We are very confident that the true effect lies close to that of the estimate of the effect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Moderate certainty: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Low certainty: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Our confidence in the effect estimate is limited: The true effect may be substantially different from the estimate of the effect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D23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Very low certainty:</w:t>
            </w:r>
            <w:r w:rsidRPr="00D23D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We have very little confidence in the effect estimate: The true effect is likely to be substantially different from the estimate of effect </w:t>
            </w:r>
          </w:p>
        </w:tc>
      </w:tr>
    </w:tbl>
    <w:p w:rsidR="00A70264" w:rsidRDefault="00A70264" w:rsidP="00A70264">
      <w:pPr>
        <w:pStyle w:val="Heading4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Reason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a. Five studies were not adjusted for the outcome of interest (Beyer2016,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Erntad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2016</w:t>
      </w:r>
      <w:proofErr w:type="gram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,katalinic</w:t>
      </w:r>
      <w:proofErr w:type="gram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2004,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Toshimitsu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2014,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Olivennes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1993),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b. Two studies not reported the loss of follow-up (Liu 2015,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Shevell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2005)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proofErr w:type="gram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c. In three studies</w:t>
      </w:r>
      <w:proofErr w:type="gram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the selection of the control group was unclear (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Apant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aku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2008,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Poikkeus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2007,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liu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2015)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proofErr w:type="gram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d. </w:t>
      </w:r>
      <w:proofErr w:type="gram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Het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erogeneity I2 greater than 75%</w:t>
      </w:r>
      <w:bookmarkStart w:id="0" w:name="_GoBack"/>
      <w:bookmarkEnd w:id="0"/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e. Some studies showed non-significant effects when analyzed individually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f. Six studies </w:t>
      </w:r>
      <w:proofErr w:type="gram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were not matched</w:t>
      </w:r>
      <w:proofErr w:type="gram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g. One study not reported the loss of follow-up and the selection of the control group was unclear (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Farhi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2013)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h. One study did not present SC from the same community </w:t>
      </w:r>
      <w:proofErr w:type="gram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( Farhi,2013</w:t>
      </w:r>
      <w:proofErr w:type="gram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), and another the ovulation induction or IUI was included in the control group (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Pinborg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2010)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i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. Missing data </w:t>
      </w:r>
      <w:proofErr w:type="gram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were imputed</w:t>
      </w:r>
      <w:proofErr w:type="gram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in some variables (Anzola2019)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j. Analysis of interest is unadjusted (Beyer, 2016)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proofErr w:type="gram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k</w:t>
      </w:r>
      <w:proofErr w:type="gram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.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Lost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of follow up was not reported (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Anzola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, 2019) </w:t>
      </w:r>
    </w:p>
    <w:p w:rsidR="00A70264" w:rsidRDefault="00A70264" w:rsidP="00A70264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l. The ovulation induction or IUI was included in the control group (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Pinborg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2010) </w:t>
      </w:r>
    </w:p>
    <w:sectPr w:rsidR="00A70264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64"/>
    <w:rsid w:val="003E385E"/>
    <w:rsid w:val="00A7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1BD9E"/>
  <w15:chartTrackingRefBased/>
  <w15:docId w15:val="{C1DA92A0-0B96-4B4E-8E9C-E57FFDC4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264"/>
    <w:rPr>
      <w:rFonts w:eastAsiaTheme="minorEastAsia"/>
      <w:lang w:eastAsia="en-CA"/>
    </w:rPr>
  </w:style>
  <w:style w:type="paragraph" w:styleId="Heading4">
    <w:name w:val="heading 4"/>
    <w:basedOn w:val="Normal"/>
    <w:link w:val="Heading4Char"/>
    <w:uiPriority w:val="9"/>
    <w:qFormat/>
    <w:rsid w:val="00A70264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0264"/>
    <w:rPr>
      <w:rFonts w:ascii="Times New Roman" w:eastAsiaTheme="minorEastAsia" w:hAnsi="Times New Roman" w:cs="Times New Roman"/>
      <w:b/>
      <w:bCs/>
      <w:sz w:val="24"/>
      <w:szCs w:val="24"/>
      <w:lang w:eastAsia="en-CA"/>
    </w:rPr>
  </w:style>
  <w:style w:type="paragraph" w:customStyle="1" w:styleId="Title1">
    <w:name w:val="Title1"/>
    <w:basedOn w:val="Normal"/>
    <w:rsid w:val="00A702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702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abel">
    <w:name w:val="label"/>
    <w:basedOn w:val="DefaultParagraphFont"/>
    <w:rsid w:val="00A70264"/>
  </w:style>
  <w:style w:type="character" w:customStyle="1" w:styleId="quality-sign">
    <w:name w:val="quality-sign"/>
    <w:basedOn w:val="DefaultParagraphFont"/>
    <w:rsid w:val="00A70264"/>
  </w:style>
  <w:style w:type="character" w:customStyle="1" w:styleId="quality-text">
    <w:name w:val="quality-text"/>
    <w:basedOn w:val="DefaultParagraphFont"/>
    <w:rsid w:val="00A70264"/>
  </w:style>
  <w:style w:type="character" w:customStyle="1" w:styleId="comma">
    <w:name w:val="comma"/>
    <w:basedOn w:val="DefaultParagraphFont"/>
    <w:rsid w:val="00A70264"/>
  </w:style>
  <w:style w:type="character" w:customStyle="1" w:styleId="cell">
    <w:name w:val="cell"/>
    <w:basedOn w:val="DefaultParagraphFont"/>
    <w:rsid w:val="00A70264"/>
  </w:style>
  <w:style w:type="character" w:customStyle="1" w:styleId="block">
    <w:name w:val="block"/>
    <w:basedOn w:val="DefaultParagraphFont"/>
    <w:rsid w:val="00A70264"/>
  </w:style>
  <w:style w:type="character" w:customStyle="1" w:styleId="cell-value">
    <w:name w:val="cell-value"/>
    <w:basedOn w:val="DefaultParagraphFont"/>
    <w:rsid w:val="00A70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Velez</dc:creator>
  <cp:keywords/>
  <dc:description/>
  <cp:lastModifiedBy>Maria Velez</cp:lastModifiedBy>
  <cp:revision>1</cp:revision>
  <dcterms:created xsi:type="dcterms:W3CDTF">2021-01-30T19:53:00Z</dcterms:created>
  <dcterms:modified xsi:type="dcterms:W3CDTF">2021-01-30T19:57:00Z</dcterms:modified>
</cp:coreProperties>
</file>