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D4E" w:rsidRDefault="00150D4E">
      <w:pPr>
        <w:rPr>
          <w:b/>
          <w:sz w:val="24"/>
        </w:rPr>
      </w:pPr>
      <w:r w:rsidRPr="00150D4E">
        <w:rPr>
          <w:b/>
          <w:sz w:val="24"/>
        </w:rPr>
        <w:t>Supplementary Files</w:t>
      </w:r>
    </w:p>
    <w:p w:rsidR="00150D4E" w:rsidRDefault="00150D4E" w:rsidP="00150D4E">
      <w:pPr>
        <w:rPr>
          <w:rFonts w:cs="Arial"/>
          <w:b/>
          <w:sz w:val="24"/>
          <w:szCs w:val="24"/>
        </w:rPr>
      </w:pPr>
    </w:p>
    <w:p w:rsidR="00150D4E" w:rsidRPr="00150D4E" w:rsidRDefault="00150D4E" w:rsidP="00150D4E">
      <w:pPr>
        <w:rPr>
          <w:rFonts w:cs="Arial"/>
          <w:sz w:val="24"/>
          <w:szCs w:val="24"/>
        </w:rPr>
      </w:pPr>
      <w:r w:rsidRPr="00150D4E">
        <w:rPr>
          <w:rFonts w:cs="Arial"/>
          <w:b/>
          <w:sz w:val="24"/>
          <w:szCs w:val="24"/>
        </w:rPr>
        <w:t>Manuscript Title:</w:t>
      </w:r>
      <w:bookmarkStart w:id="0" w:name="_Hlk61854232"/>
      <w:r w:rsidRPr="00150D4E">
        <w:rPr>
          <w:rFonts w:cs="Arial"/>
          <w:sz w:val="24"/>
          <w:szCs w:val="24"/>
        </w:rPr>
        <w:t xml:space="preserve"> An Unconditional Prenatal Income Supplement is Associated with Improved Birth and Early Childhood Outcomes among First Nations Children in Manitoba, Canada: A Population-Based Cohort Study</w:t>
      </w:r>
      <w:bookmarkEnd w:id="0"/>
    </w:p>
    <w:p w:rsidR="00150D4E" w:rsidRPr="00150D4E" w:rsidRDefault="00150D4E" w:rsidP="00150D4E">
      <w:pPr>
        <w:spacing w:line="276" w:lineRule="auto"/>
        <w:rPr>
          <w:rFonts w:eastAsia="Hiragino Sans W4" w:cs="Arial"/>
          <w:sz w:val="24"/>
          <w:szCs w:val="24"/>
          <w:vertAlign w:val="superscript"/>
        </w:rPr>
      </w:pPr>
      <w:r w:rsidRPr="00A9234E">
        <w:rPr>
          <w:rFonts w:cs="Arial"/>
          <w:b/>
          <w:sz w:val="24"/>
          <w:szCs w:val="24"/>
        </w:rPr>
        <w:t>Authors</w:t>
      </w:r>
      <w:r w:rsidRPr="00150D4E">
        <w:rPr>
          <w:rFonts w:cs="Arial"/>
          <w:b/>
          <w:sz w:val="24"/>
          <w:szCs w:val="24"/>
        </w:rPr>
        <w:t xml:space="preserve">: </w:t>
      </w:r>
      <w:r w:rsidRPr="00150D4E">
        <w:rPr>
          <w:rFonts w:eastAsia="Hiragino Sans W4" w:cs="Arial"/>
          <w:sz w:val="24"/>
          <w:szCs w:val="24"/>
        </w:rPr>
        <w:t xml:space="preserve">Jennifer E. Enns, Nathan Nickel, Mariette Chartier, Dan Chateau, Rhonda Campbell, Wanda Phillips-Beck, </w:t>
      </w:r>
      <w:proofErr w:type="spellStart"/>
      <w:r w:rsidRPr="00150D4E">
        <w:rPr>
          <w:rFonts w:eastAsia="Hiragino Sans W4" w:cs="Arial"/>
          <w:sz w:val="24"/>
          <w:szCs w:val="24"/>
        </w:rPr>
        <w:t>Joykrishna</w:t>
      </w:r>
      <w:proofErr w:type="spellEnd"/>
      <w:r w:rsidRPr="00150D4E">
        <w:rPr>
          <w:rFonts w:eastAsia="Hiragino Sans W4" w:cs="Arial"/>
          <w:sz w:val="24"/>
          <w:szCs w:val="24"/>
        </w:rPr>
        <w:t xml:space="preserve"> Sarkar, Elaine </w:t>
      </w:r>
      <w:proofErr w:type="spellStart"/>
      <w:r w:rsidRPr="00150D4E">
        <w:rPr>
          <w:rFonts w:eastAsia="Hiragino Sans W4" w:cs="Arial"/>
          <w:sz w:val="24"/>
          <w:szCs w:val="24"/>
        </w:rPr>
        <w:t>Burland</w:t>
      </w:r>
      <w:proofErr w:type="spellEnd"/>
      <w:r w:rsidRPr="00150D4E">
        <w:rPr>
          <w:rFonts w:eastAsia="Hiragino Sans W4" w:cs="Arial"/>
          <w:sz w:val="24"/>
          <w:szCs w:val="24"/>
        </w:rPr>
        <w:t>, Alan Katz, Rob Santos, Marni Brownell</w:t>
      </w:r>
    </w:p>
    <w:p w:rsidR="00150D4E" w:rsidRDefault="00150D4E">
      <w:pPr>
        <w:rPr>
          <w:rFonts w:cs="Arial"/>
          <w:sz w:val="24"/>
          <w:szCs w:val="24"/>
        </w:rPr>
      </w:pPr>
    </w:p>
    <w:p w:rsidR="00A9234E" w:rsidRDefault="00150D4E" w:rsidP="00A9234E">
      <w:pPr>
        <w:spacing w:after="0"/>
        <w:rPr>
          <w:rFonts w:cs="Arial"/>
          <w:sz w:val="24"/>
          <w:szCs w:val="24"/>
        </w:rPr>
      </w:pPr>
      <w:r w:rsidRPr="00150D4E">
        <w:rPr>
          <w:rFonts w:cs="Arial"/>
          <w:b/>
          <w:sz w:val="24"/>
          <w:szCs w:val="24"/>
        </w:rPr>
        <w:t>Supplementary File 1</w:t>
      </w:r>
      <w:r w:rsidRPr="00150D4E">
        <w:rPr>
          <w:rFonts w:cs="Arial"/>
          <w:sz w:val="24"/>
          <w:szCs w:val="24"/>
        </w:rPr>
        <w:t>.</w:t>
      </w:r>
    </w:p>
    <w:p w:rsidR="00150D4E" w:rsidRPr="00150D4E" w:rsidRDefault="00150D4E">
      <w:pPr>
        <w:rPr>
          <w:rFonts w:cs="Arial"/>
          <w:sz w:val="24"/>
          <w:szCs w:val="24"/>
        </w:rPr>
      </w:pPr>
      <w:r w:rsidRPr="00150D4E">
        <w:rPr>
          <w:rFonts w:cs="Arial"/>
          <w:sz w:val="24"/>
          <w:szCs w:val="24"/>
        </w:rPr>
        <w:t>List of Datasets from the Manitoba Population Research Data Repository</w:t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  <w:t>p. 2</w:t>
      </w:r>
    </w:p>
    <w:p w:rsidR="00613866" w:rsidRDefault="00613866" w:rsidP="00613866">
      <w:pPr>
        <w:spacing w:after="0"/>
      </w:pPr>
      <w:r w:rsidRPr="00150D4E">
        <w:rPr>
          <w:rFonts w:cs="Arial"/>
          <w:b/>
          <w:sz w:val="24"/>
          <w:szCs w:val="24"/>
        </w:rPr>
        <w:t xml:space="preserve">Supplementary File </w:t>
      </w:r>
      <w:r>
        <w:rPr>
          <w:rFonts w:cs="Arial"/>
          <w:b/>
          <w:sz w:val="24"/>
          <w:szCs w:val="24"/>
        </w:rPr>
        <w:t>2</w:t>
      </w:r>
      <w:r w:rsidRPr="00150D4E">
        <w:rPr>
          <w:rFonts w:cs="Arial"/>
          <w:sz w:val="24"/>
          <w:szCs w:val="24"/>
        </w:rPr>
        <w:t>.</w:t>
      </w:r>
      <w:r>
        <w:t xml:space="preserve"> </w:t>
      </w:r>
    </w:p>
    <w:p w:rsidR="00613866" w:rsidRDefault="00613866" w:rsidP="00613866">
      <w:pPr>
        <w:rPr>
          <w:rFonts w:cs="Arial"/>
          <w:b/>
          <w:sz w:val="24"/>
          <w:szCs w:val="24"/>
        </w:rPr>
      </w:pPr>
      <w:r>
        <w:t>Families First Screening Form</w:t>
      </w:r>
      <w:r w:rsidRPr="00150D4E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  <w:t>p. 3</w:t>
      </w:r>
    </w:p>
    <w:p w:rsidR="00A9234E" w:rsidRDefault="00150D4E" w:rsidP="00613866">
      <w:pPr>
        <w:spacing w:after="0"/>
        <w:rPr>
          <w:rFonts w:cs="Arial"/>
          <w:sz w:val="24"/>
          <w:szCs w:val="24"/>
        </w:rPr>
      </w:pPr>
      <w:r w:rsidRPr="00150D4E">
        <w:rPr>
          <w:rFonts w:cs="Arial"/>
          <w:b/>
          <w:sz w:val="24"/>
          <w:szCs w:val="24"/>
        </w:rPr>
        <w:t xml:space="preserve">Supplementary File </w:t>
      </w:r>
      <w:r w:rsidR="00613866">
        <w:rPr>
          <w:rFonts w:cs="Arial"/>
          <w:b/>
          <w:sz w:val="24"/>
          <w:szCs w:val="24"/>
        </w:rPr>
        <w:t>3</w:t>
      </w:r>
      <w:r w:rsidRPr="00150D4E">
        <w:rPr>
          <w:rFonts w:cs="Arial"/>
          <w:sz w:val="24"/>
          <w:szCs w:val="24"/>
        </w:rPr>
        <w:t xml:space="preserve">. </w:t>
      </w:r>
    </w:p>
    <w:p w:rsidR="00150D4E" w:rsidRPr="00613866" w:rsidRDefault="00150D4E">
      <w:pPr>
        <w:rPr>
          <w:rFonts w:cs="Arial"/>
          <w:sz w:val="24"/>
          <w:szCs w:val="24"/>
        </w:rPr>
      </w:pPr>
      <w:r w:rsidRPr="00150D4E">
        <w:rPr>
          <w:rFonts w:cs="Arial"/>
          <w:sz w:val="24"/>
          <w:szCs w:val="24"/>
        </w:rPr>
        <w:t xml:space="preserve">List of Study Outcomes </w:t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</w:r>
      <w:r w:rsidR="00A9234E">
        <w:rPr>
          <w:rFonts w:cs="Arial"/>
          <w:sz w:val="24"/>
          <w:szCs w:val="24"/>
        </w:rPr>
        <w:tab/>
        <w:t xml:space="preserve">p. </w:t>
      </w:r>
      <w:r w:rsidR="00613866">
        <w:rPr>
          <w:rFonts w:cs="Arial"/>
          <w:sz w:val="24"/>
          <w:szCs w:val="24"/>
        </w:rPr>
        <w:t>5</w:t>
      </w:r>
    </w:p>
    <w:p w:rsidR="00A9234E" w:rsidRDefault="00A9234E"/>
    <w:p w:rsidR="00A9234E" w:rsidRDefault="00A9234E"/>
    <w:p w:rsidR="00A9234E" w:rsidRDefault="00A9234E">
      <w:pPr>
        <w:sectPr w:rsidR="00A9234E" w:rsidSect="00A9234E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50D4E" w:rsidRDefault="00150D4E"/>
    <w:tbl>
      <w:tblPr>
        <w:tblStyle w:val="TableGrid"/>
        <w:tblW w:w="13325" w:type="dxa"/>
        <w:tblLook w:val="04A0" w:firstRow="1" w:lastRow="0" w:firstColumn="1" w:lastColumn="0" w:noHBand="0" w:noVBand="1"/>
      </w:tblPr>
      <w:tblGrid>
        <w:gridCol w:w="3119"/>
        <w:gridCol w:w="10206"/>
      </w:tblGrid>
      <w:tr w:rsidR="00E5545A" w:rsidRPr="00C11508" w:rsidTr="0009777C">
        <w:tc>
          <w:tcPr>
            <w:tcW w:w="13325" w:type="dxa"/>
            <w:gridSpan w:val="2"/>
            <w:tcBorders>
              <w:top w:val="nil"/>
              <w:left w:val="nil"/>
              <w:right w:val="nil"/>
            </w:tcBorders>
          </w:tcPr>
          <w:p w:rsidR="00E5545A" w:rsidRPr="00C11508" w:rsidRDefault="00150D4E" w:rsidP="0009777C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Supplementary</w:t>
            </w:r>
            <w:r w:rsidR="00E5545A" w:rsidRPr="00C11508">
              <w:rPr>
                <w:rFonts w:cstheme="minorHAnsi"/>
                <w:b/>
                <w:sz w:val="24"/>
              </w:rPr>
              <w:t xml:space="preserve"> </w:t>
            </w:r>
            <w:r>
              <w:rPr>
                <w:rFonts w:cstheme="minorHAnsi"/>
                <w:b/>
                <w:sz w:val="24"/>
              </w:rPr>
              <w:t>File</w:t>
            </w:r>
            <w:r w:rsidR="00E5545A" w:rsidRPr="00C11508">
              <w:rPr>
                <w:rFonts w:cstheme="minorHAnsi"/>
                <w:b/>
                <w:sz w:val="24"/>
              </w:rPr>
              <w:t xml:space="preserve"> 1. </w:t>
            </w:r>
            <w:r>
              <w:rPr>
                <w:rFonts w:cstheme="minorHAnsi"/>
                <w:b/>
                <w:sz w:val="24"/>
              </w:rPr>
              <w:t xml:space="preserve">List of </w:t>
            </w:r>
            <w:r w:rsidR="00E5545A" w:rsidRPr="00C11508">
              <w:rPr>
                <w:rFonts w:cstheme="minorHAnsi"/>
                <w:b/>
                <w:sz w:val="24"/>
              </w:rPr>
              <w:t>Datasets from the Manitoba Population Research Data Repository</w:t>
            </w:r>
          </w:p>
        </w:tc>
      </w:tr>
      <w:tr w:rsidR="00E5545A" w:rsidRPr="00C11508" w:rsidTr="0009777C">
        <w:tc>
          <w:tcPr>
            <w:tcW w:w="3119" w:type="dxa"/>
            <w:shd w:val="clear" w:color="auto" w:fill="EF8053"/>
          </w:tcPr>
          <w:p w:rsidR="00E5545A" w:rsidRPr="00C11508" w:rsidRDefault="00E5545A" w:rsidP="0009777C">
            <w:pPr>
              <w:rPr>
                <w:rFonts w:cstheme="minorHAnsi"/>
                <w:b/>
                <w:sz w:val="24"/>
              </w:rPr>
            </w:pPr>
            <w:r w:rsidRPr="00C11508">
              <w:rPr>
                <w:rFonts w:cstheme="minorHAnsi"/>
                <w:b/>
                <w:sz w:val="24"/>
              </w:rPr>
              <w:t>Dataset</w:t>
            </w:r>
          </w:p>
        </w:tc>
        <w:tc>
          <w:tcPr>
            <w:tcW w:w="10206" w:type="dxa"/>
            <w:shd w:val="clear" w:color="auto" w:fill="EF8053"/>
          </w:tcPr>
          <w:p w:rsidR="00E5545A" w:rsidRPr="00C11508" w:rsidRDefault="00E5545A" w:rsidP="0009777C">
            <w:pPr>
              <w:rPr>
                <w:rFonts w:cstheme="minorHAnsi"/>
                <w:b/>
                <w:sz w:val="24"/>
              </w:rPr>
            </w:pPr>
            <w:r w:rsidRPr="00C11508">
              <w:rPr>
                <w:rFonts w:cstheme="minorHAnsi"/>
                <w:b/>
                <w:sz w:val="24"/>
              </w:rPr>
              <w:t>Description</w:t>
            </w:r>
          </w:p>
        </w:tc>
      </w:tr>
      <w:tr w:rsidR="00E5545A" w:rsidRPr="00101067" w:rsidTr="0009777C">
        <w:tc>
          <w:tcPr>
            <w:tcW w:w="13325" w:type="dxa"/>
            <w:gridSpan w:val="2"/>
            <w:shd w:val="clear" w:color="auto" w:fill="F7CAAC" w:themeFill="accent2" w:themeFillTint="66"/>
          </w:tcPr>
          <w:p w:rsidR="00E5545A" w:rsidRPr="00101067" w:rsidRDefault="00E5545A" w:rsidP="0009777C">
            <w:pPr>
              <w:rPr>
                <w:rFonts w:cstheme="minorHAnsi"/>
                <w:b/>
                <w:i/>
              </w:rPr>
            </w:pPr>
            <w:r w:rsidRPr="00101067">
              <w:rPr>
                <w:rFonts w:cstheme="minorHAnsi"/>
                <w:b/>
                <w:i/>
              </w:rPr>
              <w:t>Datasets used to identify and describe individuals in the study cohort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B870BD" w:rsidRDefault="00E5545A" w:rsidP="0009777C">
            <w:pPr>
              <w:rPr>
                <w:rFonts w:cstheme="minorHAnsi"/>
                <w:b/>
              </w:rPr>
            </w:pPr>
            <w:r w:rsidRPr="00B870BD">
              <w:rPr>
                <w:rFonts w:cstheme="minorHAnsi"/>
                <w:lang w:eastAsia="fr-FR"/>
              </w:rPr>
              <w:t>Manitoba Health Insurance Registry</w:t>
            </w:r>
          </w:p>
        </w:tc>
        <w:tc>
          <w:tcPr>
            <w:tcW w:w="10206" w:type="dxa"/>
          </w:tcPr>
          <w:p w:rsidR="00E5545A" w:rsidRPr="00B870BD" w:rsidRDefault="00E5545A" w:rsidP="0009777C">
            <w:pPr>
              <w:rPr>
                <w:rFonts w:cstheme="minorHAnsi"/>
                <w:b/>
              </w:rPr>
            </w:pPr>
            <w:r w:rsidRPr="00B870BD">
              <w:rPr>
                <w:rFonts w:cstheme="minorHAnsi"/>
                <w:lang w:eastAsia="fr-FR"/>
              </w:rPr>
              <w:t>Demographic information on Manitoba residents regi</w:t>
            </w:r>
            <w:r>
              <w:rPr>
                <w:rFonts w:cstheme="minorHAnsi"/>
                <w:lang w:eastAsia="fr-FR"/>
              </w:rPr>
              <w:t>stered for universal healthcare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B870BD" w:rsidRDefault="00E5545A" w:rsidP="0009777C">
            <w:pPr>
              <w:rPr>
                <w:rFonts w:cstheme="minorHAnsi"/>
                <w:lang w:eastAsia="fr-FR"/>
              </w:rPr>
            </w:pPr>
            <w:r w:rsidRPr="00B870BD">
              <w:rPr>
                <w:rFonts w:cstheme="minorHAnsi"/>
              </w:rPr>
              <w:t>Canada Census</w:t>
            </w:r>
          </w:p>
        </w:tc>
        <w:tc>
          <w:tcPr>
            <w:tcW w:w="10206" w:type="dxa"/>
          </w:tcPr>
          <w:p w:rsidR="00E5545A" w:rsidRPr="00B870BD" w:rsidRDefault="00E5545A" w:rsidP="0009777C">
            <w:pPr>
              <w:rPr>
                <w:rFonts w:cstheme="minorHAnsi"/>
                <w:lang w:eastAsia="fr-FR"/>
              </w:rPr>
            </w:pPr>
            <w:r w:rsidRPr="00B870BD">
              <w:rPr>
                <w:rFonts w:cstheme="minorHAnsi"/>
                <w:lang w:eastAsia="fr-FR"/>
              </w:rPr>
              <w:t xml:space="preserve">Small </w:t>
            </w:r>
            <w:r>
              <w:rPr>
                <w:rFonts w:cstheme="minorHAnsi"/>
                <w:lang w:eastAsia="fr-FR"/>
              </w:rPr>
              <w:t xml:space="preserve">geographical </w:t>
            </w:r>
            <w:r w:rsidRPr="00B870BD">
              <w:rPr>
                <w:rFonts w:cstheme="minorHAnsi"/>
                <w:lang w:eastAsia="fr-FR"/>
              </w:rPr>
              <w:t>area-level data fr</w:t>
            </w:r>
            <w:r>
              <w:rPr>
                <w:rFonts w:cstheme="minorHAnsi"/>
                <w:lang w:eastAsia="fr-FR"/>
              </w:rPr>
              <w:t xml:space="preserve">om the Canada Census, </w:t>
            </w:r>
            <w:r w:rsidRPr="00B870BD">
              <w:rPr>
                <w:rFonts w:cstheme="minorHAnsi"/>
                <w:lang w:eastAsia="fr-FR"/>
              </w:rPr>
              <w:t>used to create the Socioeconomic Factor Index 2 (SEFI 2), an inde</w:t>
            </w:r>
            <w:r>
              <w:rPr>
                <w:rFonts w:cstheme="minorHAnsi"/>
                <w:lang w:eastAsia="fr-FR"/>
              </w:rPr>
              <w:t>x of socioeconomic status</w:t>
            </w:r>
            <w:r w:rsidRPr="00B870BD">
              <w:rPr>
                <w:rFonts w:cstheme="minorHAnsi"/>
                <w:lang w:eastAsia="fr-FR"/>
              </w:rPr>
              <w:t>*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B870BD" w:rsidRDefault="00E5545A" w:rsidP="0009777C">
            <w:pPr>
              <w:rPr>
                <w:rFonts w:cstheme="minorHAnsi"/>
              </w:rPr>
            </w:pPr>
            <w:r>
              <w:t>Manitoba First Nations Research File</w:t>
            </w:r>
          </w:p>
        </w:tc>
        <w:tc>
          <w:tcPr>
            <w:tcW w:w="10206" w:type="dxa"/>
          </w:tcPr>
          <w:p w:rsidR="00E5545A" w:rsidRPr="00B870BD" w:rsidRDefault="00E5545A" w:rsidP="0009777C">
            <w:pPr>
              <w:rPr>
                <w:rFonts w:cstheme="minorHAnsi"/>
                <w:lang w:eastAsia="fr-FR"/>
              </w:rPr>
            </w:pPr>
            <w:r w:rsidRPr="00B870BD">
              <w:rPr>
                <w:rFonts w:cstheme="minorHAnsi"/>
              </w:rPr>
              <w:t xml:space="preserve">An official record of persons registered as </w:t>
            </w:r>
            <w:r>
              <w:rPr>
                <w:rFonts w:cstheme="minorHAnsi"/>
              </w:rPr>
              <w:t>First Nations individuals</w:t>
            </w:r>
            <w:r w:rsidRPr="00B870BD">
              <w:rPr>
                <w:rFonts w:cstheme="minorHAnsi"/>
              </w:rPr>
              <w:t xml:space="preserve"> under the Indian Act. 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E70FFE" w:rsidRDefault="00E5545A" w:rsidP="0009777C">
            <w:r>
              <w:rPr>
                <w:rFonts w:cstheme="minorHAnsi"/>
              </w:rPr>
              <w:t>Families First Universal Newborn</w:t>
            </w:r>
            <w:r w:rsidRPr="00B870B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Screen </w:t>
            </w:r>
            <w:r w:rsidRPr="00B870BD">
              <w:rPr>
                <w:rFonts w:cstheme="minorHAnsi"/>
              </w:rPr>
              <w:t>Data</w:t>
            </w:r>
          </w:p>
        </w:tc>
        <w:tc>
          <w:tcPr>
            <w:tcW w:w="10206" w:type="dxa"/>
          </w:tcPr>
          <w:p w:rsidR="00E5545A" w:rsidRPr="00E70FFE" w:rsidRDefault="00E5545A" w:rsidP="0009777C">
            <w:r>
              <w:rPr>
                <w:rFonts w:cstheme="minorHAnsi"/>
              </w:rPr>
              <w:t>I</w:t>
            </w:r>
            <w:r w:rsidRPr="00B870BD">
              <w:rPr>
                <w:rFonts w:cstheme="minorHAnsi"/>
              </w:rPr>
              <w:t xml:space="preserve">nformation on biological, social and demographic factors of Manitoba families, including parents’ ethnic identity, history of alcohol and drug use, mental </w:t>
            </w:r>
            <w:r>
              <w:rPr>
                <w:rFonts w:cstheme="minorHAnsi"/>
              </w:rPr>
              <w:t>health disorders, and education.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Default="00E5545A" w:rsidP="0009777C">
            <w:pPr>
              <w:rPr>
                <w:rFonts w:cstheme="minorHAnsi"/>
              </w:rPr>
            </w:pPr>
            <w:r>
              <w:rPr>
                <w:rFonts w:cstheme="minorHAnsi"/>
              </w:rPr>
              <w:t>Healthy Baby Prenatal Benefit Data</w:t>
            </w:r>
          </w:p>
        </w:tc>
        <w:tc>
          <w:tcPr>
            <w:tcW w:w="10206" w:type="dxa"/>
          </w:tcPr>
          <w:p w:rsidR="00E5545A" w:rsidRDefault="00E5545A" w:rsidP="0009777C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Information on</w:t>
            </w:r>
            <w:r w:rsidRPr="00B870BD">
              <w:rPr>
                <w:rFonts w:cstheme="minorHAnsi"/>
              </w:rPr>
              <w:t xml:space="preserve"> biological, social and demographic factors of Manitoba families</w:t>
            </w:r>
            <w:r>
              <w:rPr>
                <w:rFonts w:cstheme="minorHAnsi"/>
              </w:rPr>
              <w:t>, including income, marital status, and benefits received.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  <w:lang w:eastAsia="fr-FR"/>
              </w:rPr>
              <w:t>Early Development Instrument</w:t>
            </w:r>
          </w:p>
        </w:tc>
        <w:tc>
          <w:tcPr>
            <w:tcW w:w="10206" w:type="dxa"/>
          </w:tcPr>
          <w:p w:rsidR="00E5545A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</w:rPr>
              <w:t xml:space="preserve">The </w:t>
            </w:r>
            <w:r>
              <w:rPr>
                <w:rFonts w:cstheme="minorHAnsi"/>
              </w:rPr>
              <w:t>Early Development Instrument</w:t>
            </w:r>
            <w:r w:rsidRPr="00B870BD">
              <w:rPr>
                <w:rFonts w:cstheme="minorHAnsi"/>
              </w:rPr>
              <w:t xml:space="preserve"> assesses children’s developmental </w:t>
            </w:r>
            <w:r>
              <w:rPr>
                <w:rFonts w:cstheme="minorHAnsi"/>
              </w:rPr>
              <w:t>vulnerability</w:t>
            </w:r>
            <w:r w:rsidRPr="00B870B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across five domains </w:t>
            </w:r>
            <w:r w:rsidRPr="00B870BD">
              <w:rPr>
                <w:rFonts w:cstheme="minorHAnsi"/>
              </w:rPr>
              <w:t>through a kindergarten teach</w:t>
            </w:r>
            <w:r>
              <w:rPr>
                <w:rFonts w:cstheme="minorHAnsi"/>
              </w:rPr>
              <w:t>er-administered questionnaire.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</w:rPr>
              <w:t>Employment and Income Assistance Data</w:t>
            </w:r>
          </w:p>
        </w:tc>
        <w:tc>
          <w:tcPr>
            <w:tcW w:w="10206" w:type="dxa"/>
          </w:tcPr>
          <w:p w:rsidR="00E5545A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</w:rPr>
              <w:t>Demographic information on Manitoba residents who receive financial assistance.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B870BD" w:rsidRDefault="00E5545A" w:rsidP="0009777C">
            <w:pPr>
              <w:rPr>
                <w:rFonts w:cstheme="minorHAnsi"/>
                <w:lang w:eastAsia="fr-FR"/>
              </w:rPr>
            </w:pPr>
            <w:r w:rsidRPr="00E70FFE">
              <w:rPr>
                <w:rFonts w:cstheme="minorHAnsi"/>
              </w:rPr>
              <w:t>Hospital Discharge Abstracts</w:t>
            </w:r>
          </w:p>
        </w:tc>
        <w:tc>
          <w:tcPr>
            <w:tcW w:w="10206" w:type="dxa"/>
          </w:tcPr>
          <w:p w:rsidR="00E5545A" w:rsidRPr="00B870BD" w:rsidRDefault="00E5545A" w:rsidP="0009777C">
            <w:pPr>
              <w:rPr>
                <w:rFonts w:cstheme="minorHAnsi"/>
              </w:rPr>
            </w:pPr>
            <w:r w:rsidRPr="00E70FFE">
              <w:rPr>
                <w:rFonts w:cstheme="minorHAnsi"/>
              </w:rPr>
              <w:t>Demographic and clinical information on hospitalized patients</w:t>
            </w:r>
            <w:r>
              <w:rPr>
                <w:rFonts w:cstheme="minorHAnsi"/>
              </w:rPr>
              <w:t>, including information on births and birth outcomes</w:t>
            </w:r>
            <w:r w:rsidRPr="00E70FFE">
              <w:rPr>
                <w:rFonts w:cstheme="minorHAnsi"/>
              </w:rPr>
              <w:t>.</w:t>
            </w:r>
          </w:p>
        </w:tc>
      </w:tr>
      <w:tr w:rsidR="00E5545A" w:rsidRPr="00101067" w:rsidTr="0009777C">
        <w:tc>
          <w:tcPr>
            <w:tcW w:w="13325" w:type="dxa"/>
            <w:gridSpan w:val="2"/>
            <w:shd w:val="clear" w:color="auto" w:fill="F7CAAC" w:themeFill="accent2" w:themeFillTint="66"/>
          </w:tcPr>
          <w:p w:rsidR="00E5545A" w:rsidRPr="00101067" w:rsidRDefault="00E5545A" w:rsidP="0009777C">
            <w:pPr>
              <w:rPr>
                <w:rFonts w:cstheme="minorHAnsi"/>
                <w:b/>
                <w:i/>
              </w:rPr>
            </w:pPr>
            <w:r w:rsidRPr="00101067">
              <w:rPr>
                <w:rFonts w:cstheme="minorHAnsi"/>
                <w:b/>
                <w:i/>
              </w:rPr>
              <w:t>Datasets used to examine birth and early childhood outcomes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E70FFE" w:rsidRDefault="00E5545A" w:rsidP="0009777C">
            <w:r w:rsidRPr="00E70FFE">
              <w:rPr>
                <w:rFonts w:cstheme="minorHAnsi"/>
              </w:rPr>
              <w:t>Hospital Discharge Abstracts</w:t>
            </w:r>
          </w:p>
        </w:tc>
        <w:tc>
          <w:tcPr>
            <w:tcW w:w="10206" w:type="dxa"/>
          </w:tcPr>
          <w:p w:rsidR="00E5545A" w:rsidRPr="00E70FFE" w:rsidRDefault="00E5545A" w:rsidP="0009777C">
            <w:r w:rsidRPr="00E70FFE">
              <w:rPr>
                <w:rFonts w:cstheme="minorHAnsi"/>
              </w:rPr>
              <w:t>Demographic and clinical information on hospitalized patients</w:t>
            </w:r>
            <w:r>
              <w:rPr>
                <w:rFonts w:cstheme="minorHAnsi"/>
              </w:rPr>
              <w:t>, including information on births and birth outcomes</w:t>
            </w:r>
            <w:r w:rsidRPr="00E70FFE">
              <w:rPr>
                <w:rFonts w:cstheme="minorHAnsi"/>
              </w:rPr>
              <w:t>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E70FFE" w:rsidRDefault="00E5545A" w:rsidP="0009777C">
            <w:r w:rsidRPr="00B870BD">
              <w:rPr>
                <w:rFonts w:cstheme="minorHAnsi"/>
                <w:lang w:eastAsia="fr-FR"/>
              </w:rPr>
              <w:t>Manitoba Immunization Monitoring System</w:t>
            </w:r>
          </w:p>
        </w:tc>
        <w:tc>
          <w:tcPr>
            <w:tcW w:w="10206" w:type="dxa"/>
          </w:tcPr>
          <w:p w:rsidR="00E5545A" w:rsidRPr="00E70FFE" w:rsidRDefault="00E5545A" w:rsidP="0009777C">
            <w:r w:rsidRPr="00B870BD">
              <w:rPr>
                <w:rFonts w:cstheme="minorHAnsi"/>
                <w:lang w:eastAsia="fr-FR"/>
              </w:rPr>
              <w:t>An electronic registry that captures pediatric</w:t>
            </w:r>
            <w:r>
              <w:rPr>
                <w:rFonts w:cstheme="minorHAnsi"/>
                <w:lang w:eastAsia="fr-FR"/>
              </w:rPr>
              <w:t xml:space="preserve"> and adult</w:t>
            </w:r>
            <w:r w:rsidRPr="00B870BD">
              <w:rPr>
                <w:rFonts w:cstheme="minorHAnsi"/>
                <w:lang w:eastAsia="fr-FR"/>
              </w:rPr>
              <w:t xml:space="preserve"> </w:t>
            </w:r>
            <w:r>
              <w:rPr>
                <w:rFonts w:cstheme="minorHAnsi"/>
                <w:lang w:eastAsia="fr-FR"/>
              </w:rPr>
              <w:t>immunizations</w:t>
            </w:r>
            <w:r w:rsidRPr="00B870BD">
              <w:rPr>
                <w:rFonts w:cstheme="minorHAnsi"/>
                <w:lang w:eastAsia="fr-FR"/>
              </w:rPr>
              <w:t>.</w:t>
            </w:r>
          </w:p>
        </w:tc>
      </w:tr>
      <w:tr w:rsidR="00E5545A" w:rsidRPr="00B870BD" w:rsidTr="0009777C">
        <w:tc>
          <w:tcPr>
            <w:tcW w:w="3119" w:type="dxa"/>
          </w:tcPr>
          <w:p w:rsidR="00E5545A" w:rsidRPr="00B870BD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  <w:lang w:eastAsia="fr-FR"/>
              </w:rPr>
              <w:t>Early Development Instrument</w:t>
            </w:r>
          </w:p>
        </w:tc>
        <w:tc>
          <w:tcPr>
            <w:tcW w:w="10206" w:type="dxa"/>
          </w:tcPr>
          <w:p w:rsidR="00E5545A" w:rsidRPr="00B870BD" w:rsidRDefault="00E5545A" w:rsidP="0009777C">
            <w:pPr>
              <w:rPr>
                <w:rFonts w:cstheme="minorHAnsi"/>
              </w:rPr>
            </w:pPr>
            <w:r w:rsidRPr="00B870BD">
              <w:rPr>
                <w:rFonts w:cstheme="minorHAnsi"/>
              </w:rPr>
              <w:t xml:space="preserve">The </w:t>
            </w:r>
            <w:r>
              <w:rPr>
                <w:rFonts w:cstheme="minorHAnsi"/>
              </w:rPr>
              <w:t>Early Development Instrument</w:t>
            </w:r>
            <w:r w:rsidRPr="00B870BD">
              <w:rPr>
                <w:rFonts w:cstheme="minorHAnsi"/>
              </w:rPr>
              <w:t xml:space="preserve"> assesses children’s developmental </w:t>
            </w:r>
            <w:r>
              <w:rPr>
                <w:rFonts w:cstheme="minorHAnsi"/>
              </w:rPr>
              <w:t>vulnerability</w:t>
            </w:r>
            <w:r w:rsidRPr="00B870B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across five domains </w:t>
            </w:r>
            <w:r w:rsidRPr="00B870BD">
              <w:rPr>
                <w:rFonts w:cstheme="minorHAnsi"/>
              </w:rPr>
              <w:t>through a kindergarten teach</w:t>
            </w:r>
            <w:r>
              <w:rPr>
                <w:rFonts w:cstheme="minorHAnsi"/>
              </w:rPr>
              <w:t>er-administered questionnaire.</w:t>
            </w:r>
          </w:p>
        </w:tc>
      </w:tr>
      <w:tr w:rsidR="00E5545A" w:rsidRPr="00B870BD" w:rsidTr="0009777C">
        <w:tc>
          <w:tcPr>
            <w:tcW w:w="13325" w:type="dxa"/>
            <w:gridSpan w:val="2"/>
            <w:tcBorders>
              <w:left w:val="nil"/>
              <w:bottom w:val="nil"/>
              <w:right w:val="nil"/>
            </w:tcBorders>
          </w:tcPr>
          <w:p w:rsidR="00E5545A" w:rsidRPr="00150D4E" w:rsidRDefault="00E5545A" w:rsidP="0009777C">
            <w:pPr>
              <w:rPr>
                <w:rFonts w:cstheme="minorHAnsi"/>
                <w:sz w:val="18"/>
              </w:rPr>
            </w:pPr>
            <w:r w:rsidRPr="00150D4E">
              <w:rPr>
                <w:rFonts w:cstheme="minorHAnsi"/>
                <w:sz w:val="18"/>
                <w:lang w:eastAsia="fr-FR"/>
              </w:rPr>
              <w:t>*Chateau D, Metge C, Prior H, Soodeen RA. 2012. Learning from the census: The Socioeconomic Factor Index (SEFI) and health outcomes in Manitoba. Can J Public Health 103(8 Suppl 2): S23-7.</w:t>
            </w:r>
          </w:p>
        </w:tc>
      </w:tr>
    </w:tbl>
    <w:p w:rsidR="00E5545A" w:rsidRDefault="00E5545A" w:rsidP="00CA49C4">
      <w:pPr>
        <w:rPr>
          <w:rStyle w:val="SubtleEmphasis"/>
          <w:i w:val="0"/>
          <w:iCs w:val="0"/>
          <w:color w:val="auto"/>
        </w:rPr>
      </w:pPr>
    </w:p>
    <w:p w:rsidR="00613866" w:rsidRDefault="00E5545A">
      <w:pPr>
        <w:rPr>
          <w:rStyle w:val="SubtleEmphasis"/>
          <w:i w:val="0"/>
          <w:iCs w:val="0"/>
          <w:color w:val="auto"/>
        </w:rPr>
        <w:sectPr w:rsidR="00613866" w:rsidSect="00A9234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SubtleEmphasis"/>
          <w:i w:val="0"/>
          <w:iCs w:val="0"/>
          <w:color w:val="auto"/>
        </w:rPr>
        <w:br w:type="page"/>
      </w:r>
    </w:p>
    <w:p w:rsidR="00613866" w:rsidRPr="00150D4E" w:rsidRDefault="00613866" w:rsidP="00613866">
      <w:pPr>
        <w:rPr>
          <w:rStyle w:val="SubtleEmphasis"/>
          <w:b/>
          <w:i w:val="0"/>
          <w:iCs w:val="0"/>
          <w:color w:val="auto"/>
        </w:rPr>
      </w:pPr>
      <w:r w:rsidRPr="00150D4E">
        <w:rPr>
          <w:rStyle w:val="SubtleEmphasis"/>
          <w:b/>
          <w:i w:val="0"/>
          <w:iCs w:val="0"/>
          <w:color w:val="auto"/>
        </w:rPr>
        <w:lastRenderedPageBreak/>
        <w:t xml:space="preserve">Supplementary File </w:t>
      </w:r>
      <w:r>
        <w:rPr>
          <w:rStyle w:val="SubtleEmphasis"/>
          <w:b/>
          <w:i w:val="0"/>
          <w:iCs w:val="0"/>
          <w:color w:val="auto"/>
        </w:rPr>
        <w:t>2</w:t>
      </w:r>
      <w:r w:rsidRPr="00150D4E">
        <w:rPr>
          <w:rStyle w:val="SubtleEmphasis"/>
          <w:b/>
          <w:i w:val="0"/>
          <w:iCs w:val="0"/>
          <w:color w:val="auto"/>
        </w:rPr>
        <w:t>.</w:t>
      </w:r>
      <w:r>
        <w:rPr>
          <w:rStyle w:val="SubtleEmphasis"/>
          <w:b/>
          <w:i w:val="0"/>
          <w:iCs w:val="0"/>
          <w:color w:val="auto"/>
        </w:rPr>
        <w:t xml:space="preserve"> Families First Screening Form</w:t>
      </w:r>
    </w:p>
    <w:p w:rsidR="00613866" w:rsidRDefault="00613866" w:rsidP="00613866">
      <w:pPr>
        <w:rPr>
          <w:rStyle w:val="SubtleEmphasis"/>
          <w:i w:val="0"/>
          <w:iCs w:val="0"/>
          <w:color w:val="auto"/>
        </w:rPr>
      </w:pPr>
      <w:r w:rsidRPr="00150D4E">
        <w:rPr>
          <w:rStyle w:val="SubtleEmphasis"/>
          <w:i w:val="0"/>
          <w:iCs w:val="0"/>
          <w:noProof/>
          <w:color w:val="auto"/>
        </w:rPr>
        <w:drawing>
          <wp:inline distT="0" distB="0" distL="0" distR="0" wp14:anchorId="49064C75" wp14:editId="11AFF01B">
            <wp:extent cx="6117020" cy="7898130"/>
            <wp:effectExtent l="19050" t="19050" r="17145" b="26670"/>
            <wp:docPr id="1327" name="Picture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985" cy="79807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13866" w:rsidRDefault="00613866">
      <w:pPr>
        <w:rPr>
          <w:rStyle w:val="SubtleEmphasis"/>
          <w:i w:val="0"/>
          <w:iCs w:val="0"/>
          <w:color w:val="auto"/>
        </w:rPr>
        <w:sectPr w:rsidR="00613866" w:rsidSect="006138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0D4E">
        <w:rPr>
          <w:rStyle w:val="SubtleEmphasis"/>
          <w:i w:val="0"/>
          <w:iCs w:val="0"/>
          <w:noProof/>
          <w:color w:val="auto"/>
        </w:rPr>
        <w:lastRenderedPageBreak/>
        <w:drawing>
          <wp:inline distT="0" distB="0" distL="0" distR="0" wp14:anchorId="259AF235" wp14:editId="444AB026">
            <wp:extent cx="5959366" cy="8288501"/>
            <wp:effectExtent l="19050" t="19050" r="22860" b="17780"/>
            <wp:docPr id="1328" name="Picture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411" cy="83205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8730"/>
      </w:tblGrid>
      <w:tr w:rsidR="00E5545A" w:rsidRPr="00C11508" w:rsidTr="0009777C">
        <w:tc>
          <w:tcPr>
            <w:tcW w:w="11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545A" w:rsidRPr="00C11508" w:rsidRDefault="00150D4E" w:rsidP="0009777C">
            <w:pPr>
              <w:rPr>
                <w:b/>
                <w:sz w:val="24"/>
              </w:rPr>
            </w:pPr>
            <w:r w:rsidRPr="00150D4E">
              <w:rPr>
                <w:rFonts w:cs="Arial"/>
                <w:b/>
                <w:sz w:val="24"/>
                <w:szCs w:val="24"/>
              </w:rPr>
              <w:lastRenderedPageBreak/>
              <w:t>Supplementary</w:t>
            </w:r>
            <w:r w:rsidRPr="00150D4E">
              <w:rPr>
                <w:rFonts w:cs="Arial"/>
                <w:sz w:val="24"/>
                <w:szCs w:val="24"/>
              </w:rPr>
              <w:t xml:space="preserve"> </w:t>
            </w:r>
            <w:r w:rsidRPr="00150D4E">
              <w:rPr>
                <w:rFonts w:cs="Arial"/>
                <w:b/>
                <w:sz w:val="24"/>
              </w:rPr>
              <w:t>File</w:t>
            </w:r>
            <w:r w:rsidR="00E5545A" w:rsidRPr="00C11508">
              <w:rPr>
                <w:b/>
                <w:sz w:val="24"/>
              </w:rPr>
              <w:t xml:space="preserve"> </w:t>
            </w:r>
            <w:r w:rsidR="00613866">
              <w:rPr>
                <w:b/>
                <w:sz w:val="24"/>
              </w:rPr>
              <w:t>3</w:t>
            </w:r>
            <w:r w:rsidR="00E5545A" w:rsidRPr="00C11508">
              <w:rPr>
                <w:b/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List of </w:t>
            </w:r>
            <w:r w:rsidR="00E5545A" w:rsidRPr="00C11508">
              <w:rPr>
                <w:b/>
                <w:sz w:val="24"/>
              </w:rPr>
              <w:t>Study Outcomes</w:t>
            </w:r>
          </w:p>
        </w:tc>
      </w:tr>
      <w:tr w:rsidR="00E5545A" w:rsidRPr="00C11508" w:rsidTr="0009777C">
        <w:tc>
          <w:tcPr>
            <w:tcW w:w="287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F8053"/>
          </w:tcPr>
          <w:p w:rsidR="00E5545A" w:rsidRPr="00C11508" w:rsidRDefault="00E5545A" w:rsidP="0009777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C1150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  <w:t>Outcome</w:t>
            </w:r>
          </w:p>
        </w:tc>
        <w:tc>
          <w:tcPr>
            <w:tcW w:w="873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F8053"/>
          </w:tcPr>
          <w:p w:rsidR="00E5545A" w:rsidRPr="00C11508" w:rsidRDefault="00E5545A" w:rsidP="0009777C">
            <w:pPr>
              <w:rPr>
                <w:b/>
                <w:sz w:val="24"/>
              </w:rPr>
            </w:pPr>
            <w:r w:rsidRPr="00C11508">
              <w:rPr>
                <w:b/>
                <w:sz w:val="24"/>
              </w:rPr>
              <w:t>Definition</w:t>
            </w:r>
          </w:p>
        </w:tc>
      </w:tr>
      <w:tr w:rsidR="00E5545A" w:rsidTr="0009777C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5545A" w:rsidRPr="00613866" w:rsidRDefault="00E5545A" w:rsidP="0009777C">
            <w:pPr>
              <w:rPr>
                <w:rFonts w:cs="Arial"/>
                <w:color w:val="000000"/>
              </w:rPr>
            </w:pPr>
            <w:r w:rsidRPr="00613866">
              <w:rPr>
                <w:rFonts w:cs="Arial"/>
                <w:color w:val="000000"/>
              </w:rPr>
              <w:t>Low birth weight</w:t>
            </w:r>
          </w:p>
        </w:tc>
        <w:tc>
          <w:tcPr>
            <w:tcW w:w="8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&lt;2500 g at birth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  <w:color w:val="000000"/>
              </w:rPr>
            </w:pPr>
            <w:r w:rsidRPr="00613866">
              <w:rPr>
                <w:rFonts w:cs="Arial"/>
                <w:color w:val="000000"/>
              </w:rPr>
              <w:t xml:space="preserve">Preterm birth 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&lt;37 week gestational age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545A" w:rsidRPr="00613866" w:rsidRDefault="00E5545A" w:rsidP="0009777C">
            <w:pPr>
              <w:rPr>
                <w:rFonts w:eastAsia="Times New Roman" w:cs="Arial"/>
                <w:color w:val="000000"/>
              </w:rPr>
            </w:pPr>
            <w:r w:rsidRPr="00613866">
              <w:rPr>
                <w:rFonts w:eastAsia="Times New Roman" w:cs="Arial"/>
                <w:color w:val="000000"/>
              </w:rPr>
              <w:t>Small for gestational age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&lt;10</w:t>
            </w:r>
            <w:r w:rsidRPr="00613866">
              <w:rPr>
                <w:rFonts w:cs="Arial"/>
                <w:vertAlign w:val="superscript"/>
              </w:rPr>
              <w:t>th</w:t>
            </w:r>
            <w:r w:rsidRPr="00613866">
              <w:rPr>
                <w:rFonts w:cs="Arial"/>
              </w:rPr>
              <w:t xml:space="preserve"> percentile for gestational age and gender using Canadian </w:t>
            </w:r>
            <w:proofErr w:type="spellStart"/>
            <w:r w:rsidRPr="00613866">
              <w:rPr>
                <w:rFonts w:cs="Arial"/>
              </w:rPr>
              <w:t>standard</w:t>
            </w:r>
            <w:r w:rsidRPr="00613866">
              <w:rPr>
                <w:rFonts w:cs="Arial"/>
                <w:vertAlign w:val="superscript"/>
              </w:rPr>
              <w:t>a</w:t>
            </w:r>
            <w:proofErr w:type="spellEnd"/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eastAsia="Times New Roman" w:cs="Arial"/>
                <w:color w:val="000000"/>
              </w:rPr>
            </w:pPr>
            <w:r w:rsidRPr="00613866">
              <w:rPr>
                <w:rFonts w:eastAsia="Times New Roman" w:cs="Arial"/>
                <w:color w:val="000000"/>
              </w:rPr>
              <w:t>Large for gestational age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&gt;90</w:t>
            </w:r>
            <w:r w:rsidRPr="00613866">
              <w:rPr>
                <w:rFonts w:cs="Arial"/>
                <w:vertAlign w:val="superscript"/>
              </w:rPr>
              <w:t>th</w:t>
            </w:r>
            <w:r w:rsidRPr="00613866">
              <w:rPr>
                <w:rFonts w:cs="Arial"/>
              </w:rPr>
              <w:t xml:space="preserve"> percentile for gestational age and gender using Canadian </w:t>
            </w:r>
            <w:proofErr w:type="spellStart"/>
            <w:r w:rsidRPr="00613866">
              <w:rPr>
                <w:rFonts w:cs="Arial"/>
              </w:rPr>
              <w:t>standard</w:t>
            </w:r>
            <w:r w:rsidRPr="00613866">
              <w:rPr>
                <w:rFonts w:cs="Arial"/>
                <w:vertAlign w:val="superscript"/>
              </w:rPr>
              <w:t>a</w:t>
            </w:r>
            <w:proofErr w:type="spellEnd"/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545A" w:rsidRPr="00613866" w:rsidRDefault="00E5545A" w:rsidP="0009777C">
            <w:pPr>
              <w:rPr>
                <w:rFonts w:eastAsia="Times New Roman" w:cs="Arial"/>
                <w:color w:val="000000"/>
              </w:rPr>
            </w:pPr>
            <w:r w:rsidRPr="00613866">
              <w:rPr>
                <w:rFonts w:eastAsia="Times New Roman" w:cs="Arial"/>
                <w:color w:val="000000"/>
              </w:rPr>
              <w:t>5-min Apgar score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Apgar score dichotomized into ≤7 and ≥8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eastAsia="Times New Roman" w:cs="Arial"/>
                <w:color w:val="000000"/>
              </w:rPr>
            </w:pPr>
            <w:r w:rsidRPr="00613866">
              <w:rPr>
                <w:rFonts w:eastAsia="Times New Roman" w:cs="Arial"/>
                <w:color w:val="000000"/>
              </w:rPr>
              <w:t>Breastfeeding initiation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Exclusive or partial breastfeeding at hospital discharge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545A" w:rsidRPr="00613866" w:rsidRDefault="00E5545A" w:rsidP="0009777C">
            <w:pPr>
              <w:rPr>
                <w:rFonts w:cs="Arial"/>
                <w:color w:val="000000"/>
              </w:rPr>
            </w:pPr>
            <w:r w:rsidRPr="00613866">
              <w:rPr>
                <w:rFonts w:cs="Arial"/>
                <w:color w:val="000000"/>
              </w:rPr>
              <w:t>Hospital readmission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Readmission to any Manitoba hospital within 28 days or 2 years of birth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  <w:color w:val="000000"/>
              </w:rPr>
            </w:pPr>
            <w:r w:rsidRPr="00613866">
              <w:rPr>
                <w:rFonts w:cs="Arial"/>
                <w:color w:val="000000"/>
              </w:rPr>
              <w:t>Length of stay of birth hospitalization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Length of hospital stay at birth (continuous measure calculated separately for infants delivered vaginally and by caesarean delivery due to different stays expected for these groups)</w:t>
            </w:r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545A" w:rsidRPr="00613866" w:rsidRDefault="00E5545A" w:rsidP="0009777C">
            <w:pPr>
              <w:rPr>
                <w:rFonts w:cs="Arial"/>
                <w:color w:val="000000"/>
              </w:rPr>
            </w:pPr>
            <w:r w:rsidRPr="00613866">
              <w:rPr>
                <w:rFonts w:cs="Arial"/>
                <w:color w:val="000000"/>
              </w:rPr>
              <w:t>Complete childhood immunization</w:t>
            </w:r>
          </w:p>
        </w:tc>
        <w:tc>
          <w:tcPr>
            <w:tcW w:w="8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 xml:space="preserve">Received complete series of recommended vaccinations from birth to age 1 and 2 using the Manitoba immunization </w:t>
            </w:r>
            <w:proofErr w:type="spellStart"/>
            <w:r w:rsidRPr="00613866">
              <w:rPr>
                <w:rFonts w:cs="Arial"/>
              </w:rPr>
              <w:t>schedule</w:t>
            </w:r>
            <w:r w:rsidRPr="00613866">
              <w:rPr>
                <w:rFonts w:cs="Arial"/>
                <w:vertAlign w:val="superscript"/>
              </w:rPr>
              <w:t>b</w:t>
            </w:r>
            <w:proofErr w:type="spellEnd"/>
          </w:p>
        </w:tc>
      </w:tr>
      <w:tr w:rsidR="00E5545A" w:rsidTr="0009777C"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eastAsia="Times New Roman" w:cs="Arial"/>
                <w:color w:val="000000"/>
              </w:rPr>
            </w:pPr>
            <w:r w:rsidRPr="00613866">
              <w:rPr>
                <w:rFonts w:eastAsia="Times New Roman" w:cs="Arial"/>
                <w:color w:val="000000"/>
              </w:rPr>
              <w:t>Developmental vulnerability at kindergarten</w:t>
            </w:r>
          </w:p>
        </w:tc>
        <w:tc>
          <w:tcPr>
            <w:tcW w:w="8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5545A" w:rsidRPr="00613866" w:rsidRDefault="00E5545A" w:rsidP="0009777C">
            <w:pPr>
              <w:rPr>
                <w:rFonts w:cs="Arial"/>
              </w:rPr>
            </w:pPr>
            <w:r w:rsidRPr="00613866">
              <w:rPr>
                <w:rFonts w:cs="Arial"/>
              </w:rPr>
              <w:t>Readiness in five developmental domains in Kindergarten, as measured by the Early Development Instrument: 1) physical health and well-being, 2) social competence, 3) emotional maturity, 4) language and cognitive development, and 5) communication skills and general knowledge</w:t>
            </w:r>
          </w:p>
        </w:tc>
      </w:tr>
      <w:tr w:rsidR="00E5545A" w:rsidRPr="00A633A7" w:rsidTr="0009777C">
        <w:tc>
          <w:tcPr>
            <w:tcW w:w="11605" w:type="dxa"/>
            <w:gridSpan w:val="2"/>
            <w:tcBorders>
              <w:left w:val="nil"/>
              <w:bottom w:val="nil"/>
              <w:right w:val="nil"/>
            </w:tcBorders>
          </w:tcPr>
          <w:p w:rsidR="00E5545A" w:rsidRPr="00A633A7" w:rsidRDefault="00E5545A" w:rsidP="0009777C">
            <w:pPr>
              <w:rPr>
                <w:rFonts w:cs="AdvPAC59"/>
                <w:sz w:val="16"/>
                <w:szCs w:val="16"/>
                <w:lang w:val="fr-CA"/>
              </w:rPr>
            </w:pPr>
            <w:r w:rsidRPr="00A633A7">
              <w:rPr>
                <w:sz w:val="16"/>
                <w:szCs w:val="16"/>
                <w:vertAlign w:val="superscript"/>
                <w:lang w:val="fr-CA"/>
              </w:rPr>
              <w:t xml:space="preserve">a </w:t>
            </w:r>
            <w:r w:rsidRPr="00A633A7">
              <w:rPr>
                <w:sz w:val="16"/>
                <w:szCs w:val="16"/>
                <w:lang w:val="fr-CA"/>
              </w:rPr>
              <w:t>Kramer et al. (2001)</w:t>
            </w:r>
            <w:r w:rsidRPr="00A633A7">
              <w:rPr>
                <w:rStyle w:val="CommentReference"/>
                <w:lang w:val="fr-CA"/>
              </w:rPr>
              <w:t>.</w:t>
            </w:r>
            <w:r w:rsidRPr="00A633A7">
              <w:rPr>
                <w:rFonts w:cs="AdvPAC59"/>
                <w:sz w:val="16"/>
                <w:szCs w:val="16"/>
                <w:lang w:val="fr-CA"/>
              </w:rPr>
              <w:t xml:space="preserve"> </w:t>
            </w:r>
          </w:p>
          <w:p w:rsidR="00E5545A" w:rsidRPr="00E56CC0" w:rsidRDefault="00E5545A" w:rsidP="0009777C">
            <w:pPr>
              <w:rPr>
                <w:sz w:val="16"/>
                <w:szCs w:val="16"/>
                <w:lang w:val="en-CA"/>
              </w:rPr>
            </w:pPr>
            <w:r w:rsidRPr="00E56CC0">
              <w:rPr>
                <w:rFonts w:cs="AdvPAC59"/>
                <w:sz w:val="16"/>
                <w:szCs w:val="16"/>
                <w:vertAlign w:val="superscript"/>
                <w:lang w:val="en-CA"/>
              </w:rPr>
              <w:t>b</w:t>
            </w:r>
            <w:r w:rsidRPr="00E56CC0">
              <w:rPr>
                <w:rFonts w:cs="AdvPAC59"/>
                <w:sz w:val="16"/>
                <w:szCs w:val="16"/>
                <w:lang w:val="en-CA"/>
              </w:rPr>
              <w:t xml:space="preserve"> </w:t>
            </w:r>
            <w:hyperlink r:id="rId9" w:anchor="child" w:history="1">
              <w:r w:rsidRPr="00E56CC0">
                <w:rPr>
                  <w:rStyle w:val="Hyperlink"/>
                  <w:rFonts w:cs="AdvPAC59"/>
                  <w:sz w:val="16"/>
                  <w:szCs w:val="16"/>
                  <w:lang w:val="en-CA"/>
                </w:rPr>
                <w:t>https://www.gov.mb.ca/health/publichealth/cdc/div/schedules.html#child</w:t>
              </w:r>
            </w:hyperlink>
          </w:p>
        </w:tc>
      </w:tr>
    </w:tbl>
    <w:p w:rsidR="00150D4E" w:rsidRPr="00E14613" w:rsidRDefault="00150D4E" w:rsidP="00613866">
      <w:pPr>
        <w:rPr>
          <w:rStyle w:val="SubtleEmphasis"/>
          <w:i w:val="0"/>
          <w:iCs w:val="0"/>
          <w:color w:val="auto"/>
        </w:rPr>
      </w:pPr>
      <w:bookmarkStart w:id="1" w:name="_GoBack"/>
      <w:bookmarkEnd w:id="1"/>
    </w:p>
    <w:sectPr w:rsidR="00150D4E" w:rsidRPr="00E14613" w:rsidSect="006138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9B7" w:rsidRDefault="003829B7" w:rsidP="00A9234E">
      <w:pPr>
        <w:spacing w:after="0" w:line="240" w:lineRule="auto"/>
      </w:pPr>
      <w:r>
        <w:separator/>
      </w:r>
    </w:p>
  </w:endnote>
  <w:endnote w:type="continuationSeparator" w:id="0">
    <w:p w:rsidR="003829B7" w:rsidRDefault="003829B7" w:rsidP="00A9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ragino Sans W4">
    <w:charset w:val="80"/>
    <w:family w:val="swiss"/>
    <w:pitch w:val="variable"/>
    <w:sig w:usb0="E00002FF" w:usb1="7AC7FFFF" w:usb2="00000012" w:usb3="00000000" w:csb0="0002000D" w:csb1="00000000"/>
  </w:font>
  <w:font w:name="AdvPAC5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01477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234E" w:rsidRDefault="00A923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234E" w:rsidRDefault="00A92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9B7" w:rsidRDefault="003829B7" w:rsidP="00A9234E">
      <w:pPr>
        <w:spacing w:after="0" w:line="240" w:lineRule="auto"/>
      </w:pPr>
      <w:r>
        <w:separator/>
      </w:r>
    </w:p>
  </w:footnote>
  <w:footnote w:type="continuationSeparator" w:id="0">
    <w:p w:rsidR="003829B7" w:rsidRDefault="003829B7" w:rsidP="00A923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5A"/>
    <w:rsid w:val="00115440"/>
    <w:rsid w:val="00150D4E"/>
    <w:rsid w:val="00163D74"/>
    <w:rsid w:val="00213948"/>
    <w:rsid w:val="002A4121"/>
    <w:rsid w:val="003829B7"/>
    <w:rsid w:val="00613866"/>
    <w:rsid w:val="00634877"/>
    <w:rsid w:val="00732AEC"/>
    <w:rsid w:val="008454CE"/>
    <w:rsid w:val="008702C3"/>
    <w:rsid w:val="008B1DC0"/>
    <w:rsid w:val="00996DBD"/>
    <w:rsid w:val="00A9234E"/>
    <w:rsid w:val="00B15E74"/>
    <w:rsid w:val="00BD4629"/>
    <w:rsid w:val="00C94A78"/>
    <w:rsid w:val="00CA49C4"/>
    <w:rsid w:val="00CC2E99"/>
    <w:rsid w:val="00E14613"/>
    <w:rsid w:val="00E5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1E063"/>
  <w15:chartTrackingRefBased/>
  <w15:docId w15:val="{E820D55B-A55E-4068-9969-68B493DA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E74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E74"/>
    <w:pPr>
      <w:keepNext/>
      <w:keepLines/>
      <w:spacing w:before="240" w:after="0"/>
      <w:outlineLvl w:val="0"/>
    </w:pPr>
    <w:rPr>
      <w:rFonts w:eastAsiaTheme="majorEastAsia" w:cstheme="majorBidi"/>
      <w:color w:val="7FA9AE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E74"/>
    <w:pPr>
      <w:keepNext/>
      <w:keepLines/>
      <w:spacing w:before="40" w:after="0"/>
      <w:outlineLvl w:val="1"/>
    </w:pPr>
    <w:rPr>
      <w:rFonts w:eastAsiaTheme="majorEastAsia" w:cstheme="majorBidi"/>
      <w:color w:val="7FA9A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877"/>
    <w:pPr>
      <w:keepNext/>
      <w:keepLines/>
      <w:spacing w:before="40" w:after="0"/>
      <w:outlineLvl w:val="2"/>
    </w:pPr>
    <w:rPr>
      <w:rFonts w:eastAsiaTheme="majorEastAsia" w:cstheme="majorBidi"/>
      <w:color w:val="7FA9AE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87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7FA9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5E74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B15E74"/>
    <w:rPr>
      <w:rFonts w:ascii="Arial" w:eastAsiaTheme="majorEastAsia" w:hAnsi="Arial" w:cstheme="majorBidi"/>
      <w:color w:val="7FA9AE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5E74"/>
    <w:rPr>
      <w:rFonts w:ascii="Arial" w:eastAsiaTheme="majorEastAsia" w:hAnsi="Arial" w:cstheme="majorBidi"/>
      <w:color w:val="7FA9AE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15E74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E74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34877"/>
    <w:rPr>
      <w:rFonts w:ascii="Arial" w:eastAsiaTheme="majorEastAsia" w:hAnsi="Arial" w:cstheme="majorBidi"/>
      <w:color w:val="7FA9AE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E74"/>
    <w:pPr>
      <w:numPr>
        <w:ilvl w:val="1"/>
      </w:numPr>
    </w:pPr>
    <w:rPr>
      <w:rFonts w:eastAsiaTheme="minorEastAsia"/>
      <w:color w:val="4D4D4F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15E74"/>
    <w:rPr>
      <w:rFonts w:ascii="Arial" w:eastAsiaTheme="minorEastAsia" w:hAnsi="Arial"/>
      <w:color w:val="4D4D4F"/>
      <w:spacing w:val="15"/>
    </w:rPr>
  </w:style>
  <w:style w:type="character" w:styleId="SubtleEmphasis">
    <w:name w:val="Subtle Emphasis"/>
    <w:basedOn w:val="DefaultParagraphFont"/>
    <w:uiPriority w:val="19"/>
    <w:qFormat/>
    <w:rsid w:val="00C94A78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94A78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C2E99"/>
    <w:rPr>
      <w:i/>
      <w:iCs/>
      <w:color w:val="7FA9AE"/>
    </w:rPr>
  </w:style>
  <w:style w:type="character" w:styleId="Strong">
    <w:name w:val="Strong"/>
    <w:basedOn w:val="DefaultParagraphFont"/>
    <w:uiPriority w:val="22"/>
    <w:qFormat/>
    <w:rsid w:val="00C94A78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94A78"/>
    <w:pPr>
      <w:spacing w:before="200"/>
      <w:ind w:left="864" w:right="864"/>
      <w:jc w:val="center"/>
    </w:pPr>
    <w:rPr>
      <w:i/>
      <w:iCs/>
      <w:color w:val="4D4D4F"/>
    </w:rPr>
  </w:style>
  <w:style w:type="character" w:customStyle="1" w:styleId="QuoteChar">
    <w:name w:val="Quote Char"/>
    <w:basedOn w:val="DefaultParagraphFont"/>
    <w:link w:val="Quote"/>
    <w:uiPriority w:val="29"/>
    <w:rsid w:val="00C94A78"/>
    <w:rPr>
      <w:rFonts w:ascii="Arial" w:hAnsi="Arial"/>
      <w:i/>
      <w:iCs/>
      <w:color w:val="4D4D4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7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7FA9A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78"/>
    <w:rPr>
      <w:rFonts w:ascii="Arial" w:hAnsi="Arial"/>
      <w:i/>
      <w:iCs/>
      <w:color w:val="7FA9AE"/>
    </w:rPr>
  </w:style>
  <w:style w:type="character" w:styleId="SubtleReference">
    <w:name w:val="Subtle Reference"/>
    <w:basedOn w:val="DefaultParagraphFont"/>
    <w:uiPriority w:val="31"/>
    <w:qFormat/>
    <w:rsid w:val="00C94A78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C94A78"/>
    <w:rPr>
      <w:b/>
      <w:bCs/>
      <w:smallCaps/>
      <w:color w:val="7FA9AE"/>
      <w:spacing w:val="5"/>
    </w:rPr>
  </w:style>
  <w:style w:type="character" w:styleId="BookTitle">
    <w:name w:val="Book Title"/>
    <w:basedOn w:val="DefaultParagraphFont"/>
    <w:uiPriority w:val="33"/>
    <w:qFormat/>
    <w:rsid w:val="00C94A78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C94A7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634877"/>
    <w:rPr>
      <w:rFonts w:ascii="Arial" w:eastAsiaTheme="majorEastAsia" w:hAnsi="Arial" w:cstheme="majorBidi"/>
      <w:i/>
      <w:iCs/>
      <w:color w:val="7FA9AE"/>
    </w:rPr>
  </w:style>
  <w:style w:type="table" w:styleId="TableGrid">
    <w:name w:val="Table Grid"/>
    <w:basedOn w:val="TableNormal"/>
    <w:uiPriority w:val="39"/>
    <w:rsid w:val="00E55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545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54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34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9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34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gov.mb.ca/health/publichealth/cdc/div/schedul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Enns</dc:creator>
  <cp:keywords/>
  <dc:description/>
  <cp:lastModifiedBy>Jennifer Enns</cp:lastModifiedBy>
  <cp:revision>3</cp:revision>
  <dcterms:created xsi:type="dcterms:W3CDTF">2021-02-08T17:06:00Z</dcterms:created>
  <dcterms:modified xsi:type="dcterms:W3CDTF">2021-02-08T17:28:00Z</dcterms:modified>
</cp:coreProperties>
</file>