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54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2700"/>
        <w:gridCol w:w="1710"/>
        <w:gridCol w:w="1710"/>
        <w:gridCol w:w="1620"/>
        <w:gridCol w:w="1895"/>
        <w:gridCol w:w="1610"/>
      </w:tblGrid>
      <w:tr w:rsidR="004A086F" w:rsidRPr="00005904" w:rsidTr="003646F3">
        <w:tc>
          <w:tcPr>
            <w:tcW w:w="12950" w:type="dxa"/>
            <w:gridSpan w:val="7"/>
            <w:tcBorders>
              <w:top w:val="nil"/>
              <w:bottom w:val="single" w:sz="4" w:space="0" w:color="auto"/>
            </w:tcBorders>
          </w:tcPr>
          <w:p w:rsidR="004A086F" w:rsidRPr="00005904" w:rsidRDefault="004A086F" w:rsidP="003646F3">
            <w:pPr>
              <w:rPr>
                <w:rFonts w:cstheme="minorHAnsi"/>
                <w:b/>
                <w:sz w:val="22"/>
              </w:rPr>
            </w:pPr>
            <w:r w:rsidRPr="00005904">
              <w:rPr>
                <w:rFonts w:cstheme="minorHAnsi"/>
                <w:b/>
                <w:sz w:val="22"/>
              </w:rPr>
              <w:t>Supplementary Table 1. Odds ratios (95% CIs) in models with continuous independent variables</w:t>
            </w:r>
          </w:p>
          <w:p w:rsidR="004A086F" w:rsidRPr="00005904" w:rsidRDefault="004A086F" w:rsidP="003646F3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4A086F" w:rsidRPr="00005904" w:rsidTr="003646F3"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:rsidR="004A086F" w:rsidRPr="00005904" w:rsidRDefault="004A086F" w:rsidP="003646F3">
            <w:pPr>
              <w:rPr>
                <w:rFonts w:cstheme="minorHAnsi"/>
                <w:b/>
                <w:color w:val="000000" w:themeColor="text1"/>
                <w:sz w:val="22"/>
              </w:rPr>
            </w:pPr>
            <w:r w:rsidRPr="00005904">
              <w:rPr>
                <w:rFonts w:cstheme="minorHAnsi"/>
                <w:b/>
                <w:color w:val="000000" w:themeColor="text1"/>
                <w:sz w:val="22"/>
              </w:rPr>
              <w:t xml:space="preserve">Variables 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b/>
                <w:color w:val="000000" w:themeColor="text1"/>
                <w:sz w:val="22"/>
              </w:rPr>
            </w:pPr>
            <w:r w:rsidRPr="00005904">
              <w:rPr>
                <w:rFonts w:cstheme="minorHAnsi"/>
                <w:b/>
                <w:color w:val="000000" w:themeColor="text1"/>
                <w:sz w:val="22"/>
              </w:rPr>
              <w:t xml:space="preserve">Predictor(s) </w:t>
            </w:r>
          </w:p>
          <w:p w:rsidR="004A086F" w:rsidRPr="00005904" w:rsidRDefault="004A086F" w:rsidP="003646F3">
            <w:pPr>
              <w:jc w:val="center"/>
              <w:rPr>
                <w:rFonts w:cstheme="minorHAnsi"/>
                <w:b/>
                <w:color w:val="000000" w:themeColor="text1"/>
                <w:sz w:val="22"/>
              </w:rPr>
            </w:pPr>
            <w:r w:rsidRPr="00005904">
              <w:rPr>
                <w:rFonts w:cstheme="minorHAnsi"/>
                <w:b/>
                <w:color w:val="000000" w:themeColor="text1"/>
                <w:sz w:val="22"/>
              </w:rPr>
              <w:t>entered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4A086F" w:rsidRPr="00005904" w:rsidRDefault="004A086F" w:rsidP="003646F3">
            <w:pPr>
              <w:jc w:val="center"/>
              <w:rPr>
                <w:b/>
                <w:color w:val="000000" w:themeColor="text1"/>
                <w:sz w:val="22"/>
              </w:rPr>
            </w:pPr>
            <w:r w:rsidRPr="00005904">
              <w:rPr>
                <w:b/>
                <w:color w:val="000000" w:themeColor="text1"/>
                <w:sz w:val="22"/>
              </w:rPr>
              <w:t>Apgar 1 minute score &lt;7 †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4A086F" w:rsidRPr="00005904" w:rsidRDefault="004A086F" w:rsidP="003646F3">
            <w:pPr>
              <w:jc w:val="center"/>
              <w:rPr>
                <w:b/>
                <w:color w:val="000000" w:themeColor="text1"/>
                <w:sz w:val="22"/>
              </w:rPr>
            </w:pPr>
            <w:r w:rsidRPr="00005904">
              <w:rPr>
                <w:b/>
                <w:color w:val="000000" w:themeColor="text1"/>
                <w:sz w:val="22"/>
              </w:rPr>
              <w:t>Apgar 5 minute score &lt;7 †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4A086F" w:rsidRPr="00005904" w:rsidRDefault="004A086F" w:rsidP="003646F3">
            <w:pPr>
              <w:jc w:val="center"/>
              <w:rPr>
                <w:b/>
                <w:color w:val="000000" w:themeColor="text1"/>
                <w:sz w:val="22"/>
              </w:rPr>
            </w:pPr>
            <w:r w:rsidRPr="00005904">
              <w:rPr>
                <w:b/>
                <w:color w:val="000000" w:themeColor="text1"/>
                <w:sz w:val="22"/>
              </w:rPr>
              <w:t>Pre-term birth (&lt; 37 weeks)‡</w:t>
            </w: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</w:tcPr>
          <w:p w:rsidR="004A086F" w:rsidRPr="00005904" w:rsidRDefault="004A086F" w:rsidP="003646F3">
            <w:pPr>
              <w:jc w:val="center"/>
              <w:rPr>
                <w:b/>
                <w:color w:val="000000" w:themeColor="text1"/>
                <w:sz w:val="22"/>
              </w:rPr>
            </w:pPr>
            <w:r w:rsidRPr="00005904">
              <w:rPr>
                <w:b/>
                <w:color w:val="000000" w:themeColor="text1"/>
                <w:sz w:val="22"/>
              </w:rPr>
              <w:t>Low birth weight (&lt;2.5 kg) ‡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4A086F" w:rsidRPr="00005904" w:rsidRDefault="004A086F" w:rsidP="003646F3">
            <w:pPr>
              <w:jc w:val="center"/>
              <w:rPr>
                <w:b/>
                <w:color w:val="000000" w:themeColor="text1"/>
                <w:sz w:val="22"/>
              </w:rPr>
            </w:pPr>
            <w:r w:rsidRPr="00005904">
              <w:rPr>
                <w:b/>
                <w:color w:val="000000" w:themeColor="text1"/>
                <w:sz w:val="22"/>
              </w:rPr>
              <w:t>Small for gestational age‡</w:t>
            </w:r>
          </w:p>
        </w:tc>
      </w:tr>
      <w:tr w:rsidR="004A086F" w:rsidRPr="00005904" w:rsidTr="003646F3">
        <w:tc>
          <w:tcPr>
            <w:tcW w:w="1705" w:type="dxa"/>
            <w:tcBorders>
              <w:top w:val="single" w:sz="4" w:space="0" w:color="auto"/>
            </w:tcBorders>
          </w:tcPr>
          <w:p w:rsidR="004A086F" w:rsidRPr="00005904" w:rsidRDefault="004A086F" w:rsidP="003646F3">
            <w:pPr>
              <w:rPr>
                <w:rFonts w:cstheme="minorHAnsi"/>
                <w:color w:val="000000" w:themeColor="text1"/>
                <w:sz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</w:p>
        </w:tc>
        <w:tc>
          <w:tcPr>
            <w:tcW w:w="1895" w:type="dxa"/>
            <w:tcBorders>
              <w:top w:val="single" w:sz="4" w:space="0" w:color="auto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</w:p>
        </w:tc>
      </w:tr>
      <w:tr w:rsidR="004A086F" w:rsidRPr="00005904" w:rsidTr="00005904">
        <w:trPr>
          <w:trHeight w:val="345"/>
        </w:trPr>
        <w:tc>
          <w:tcPr>
            <w:tcW w:w="1705" w:type="dxa"/>
            <w:vMerge w:val="restart"/>
          </w:tcPr>
          <w:p w:rsidR="004A086F" w:rsidRPr="00005904" w:rsidRDefault="004A086F" w:rsidP="003646F3">
            <w:pPr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Depression</w:t>
            </w:r>
          </w:p>
        </w:tc>
        <w:tc>
          <w:tcPr>
            <w:tcW w:w="2700" w:type="dxa"/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EPDS (univariate)</w:t>
            </w:r>
          </w:p>
        </w:tc>
        <w:tc>
          <w:tcPr>
            <w:tcW w:w="1710" w:type="dxa"/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1.01 (.95-1.07)</w:t>
            </w:r>
          </w:p>
        </w:tc>
        <w:tc>
          <w:tcPr>
            <w:tcW w:w="1710" w:type="dxa"/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1.03 (.92-1.15)</w:t>
            </w:r>
          </w:p>
        </w:tc>
        <w:tc>
          <w:tcPr>
            <w:tcW w:w="1620" w:type="dxa"/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1.03 (.95-1.11)</w:t>
            </w:r>
          </w:p>
        </w:tc>
        <w:tc>
          <w:tcPr>
            <w:tcW w:w="1895" w:type="dxa"/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1.00 (.90-1.10)</w:t>
            </w:r>
          </w:p>
        </w:tc>
        <w:tc>
          <w:tcPr>
            <w:tcW w:w="1610" w:type="dxa"/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1.01 (.94-1.08)</w:t>
            </w:r>
          </w:p>
        </w:tc>
      </w:tr>
      <w:tr w:rsidR="004A086F" w:rsidRPr="00005904" w:rsidTr="003646F3">
        <w:tc>
          <w:tcPr>
            <w:tcW w:w="1705" w:type="dxa"/>
            <w:vMerge/>
          </w:tcPr>
          <w:p w:rsidR="004A086F" w:rsidRPr="00005904" w:rsidRDefault="004A086F" w:rsidP="003646F3">
            <w:pPr>
              <w:rPr>
                <w:rFonts w:cstheme="minorHAnsi"/>
                <w:color w:val="000000" w:themeColor="text1"/>
                <w:sz w:val="22"/>
              </w:rPr>
            </w:pPr>
          </w:p>
        </w:tc>
        <w:tc>
          <w:tcPr>
            <w:tcW w:w="2700" w:type="dxa"/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EPDS + maternal age, partnered status</w:t>
            </w:r>
          </w:p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</w:p>
        </w:tc>
        <w:tc>
          <w:tcPr>
            <w:tcW w:w="1710" w:type="dxa"/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1.01 (.95-1.07)</w:t>
            </w:r>
          </w:p>
        </w:tc>
        <w:tc>
          <w:tcPr>
            <w:tcW w:w="1710" w:type="dxa"/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1.03 (.92-1.16)</w:t>
            </w:r>
          </w:p>
        </w:tc>
        <w:tc>
          <w:tcPr>
            <w:tcW w:w="1620" w:type="dxa"/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1.02 (.95-1.11)</w:t>
            </w:r>
          </w:p>
        </w:tc>
        <w:tc>
          <w:tcPr>
            <w:tcW w:w="1895" w:type="dxa"/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1.00 (.90-1.10)</w:t>
            </w:r>
          </w:p>
        </w:tc>
        <w:tc>
          <w:tcPr>
            <w:tcW w:w="1610" w:type="dxa"/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1.00 (.93-1.07)</w:t>
            </w:r>
          </w:p>
        </w:tc>
      </w:tr>
      <w:tr w:rsidR="004A086F" w:rsidRPr="00005904" w:rsidTr="00005904">
        <w:trPr>
          <w:trHeight w:val="317"/>
        </w:trPr>
        <w:tc>
          <w:tcPr>
            <w:tcW w:w="1705" w:type="dxa"/>
            <w:vMerge w:val="restart"/>
            <w:tcBorders>
              <w:top w:val="single" w:sz="4" w:space="0" w:color="auto"/>
            </w:tcBorders>
          </w:tcPr>
          <w:p w:rsidR="004A086F" w:rsidRPr="00005904" w:rsidRDefault="004A086F" w:rsidP="003646F3">
            <w:pPr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Anxiety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EPDS Anxiety (univariate)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1.04 (.91-1.19)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1.06 (.81-1.38)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1.05 (.88-1.27)</w:t>
            </w:r>
          </w:p>
        </w:tc>
        <w:tc>
          <w:tcPr>
            <w:tcW w:w="1895" w:type="dxa"/>
            <w:tcBorders>
              <w:top w:val="single" w:sz="4" w:space="0" w:color="auto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.93 (.74-1.18)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1.04 (.88-1.23)</w:t>
            </w:r>
          </w:p>
        </w:tc>
      </w:tr>
      <w:tr w:rsidR="004A086F" w:rsidRPr="00005904" w:rsidTr="003646F3">
        <w:tc>
          <w:tcPr>
            <w:tcW w:w="1705" w:type="dxa"/>
            <w:vMerge/>
            <w:tcBorders>
              <w:top w:val="nil"/>
            </w:tcBorders>
          </w:tcPr>
          <w:p w:rsidR="004A086F" w:rsidRPr="00005904" w:rsidRDefault="004A086F" w:rsidP="003646F3">
            <w:pPr>
              <w:rPr>
                <w:rFonts w:cstheme="minorHAnsi"/>
                <w:color w:val="000000" w:themeColor="text1"/>
                <w:sz w:val="22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EPDS Anxiety +  maternal age, partnered status</w:t>
            </w:r>
          </w:p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</w:p>
        </w:tc>
        <w:tc>
          <w:tcPr>
            <w:tcW w:w="1710" w:type="dxa"/>
            <w:tcBorders>
              <w:top w:val="nil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1.05 (.92-1.21)</w:t>
            </w:r>
          </w:p>
        </w:tc>
        <w:tc>
          <w:tcPr>
            <w:tcW w:w="1710" w:type="dxa"/>
            <w:tcBorders>
              <w:top w:val="nil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1.06 (.81-1.40)</w:t>
            </w:r>
          </w:p>
        </w:tc>
        <w:tc>
          <w:tcPr>
            <w:tcW w:w="1620" w:type="dxa"/>
            <w:tcBorders>
              <w:top w:val="nil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1.04 (.86-1.26)</w:t>
            </w:r>
          </w:p>
        </w:tc>
        <w:tc>
          <w:tcPr>
            <w:tcW w:w="1895" w:type="dxa"/>
            <w:tcBorders>
              <w:top w:val="nil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.92 (.73-1.16)</w:t>
            </w:r>
          </w:p>
        </w:tc>
        <w:tc>
          <w:tcPr>
            <w:tcW w:w="1610" w:type="dxa"/>
            <w:tcBorders>
              <w:top w:val="nil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1.02 (.86-1.21)</w:t>
            </w:r>
          </w:p>
        </w:tc>
      </w:tr>
      <w:tr w:rsidR="004A086F" w:rsidRPr="00005904" w:rsidTr="00005904">
        <w:trPr>
          <w:trHeight w:val="308"/>
        </w:trPr>
        <w:tc>
          <w:tcPr>
            <w:tcW w:w="1705" w:type="dxa"/>
            <w:vMerge w:val="restart"/>
            <w:tcBorders>
              <w:top w:val="single" w:sz="4" w:space="0" w:color="auto"/>
            </w:tcBorders>
          </w:tcPr>
          <w:p w:rsidR="004A086F" w:rsidRPr="00005904" w:rsidRDefault="004A086F" w:rsidP="003646F3">
            <w:pPr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Mood instability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MI (univariate)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1.01 (.98-1.03)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.99 (.94-1.04)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1.01 (.98-1.05)</w:t>
            </w:r>
          </w:p>
        </w:tc>
        <w:tc>
          <w:tcPr>
            <w:tcW w:w="1895" w:type="dxa"/>
            <w:tcBorders>
              <w:top w:val="single" w:sz="4" w:space="0" w:color="auto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.98 (.94-1.03)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.99 (.95-1.02)</w:t>
            </w:r>
          </w:p>
        </w:tc>
      </w:tr>
      <w:tr w:rsidR="004A086F" w:rsidRPr="00005904" w:rsidTr="003646F3">
        <w:tc>
          <w:tcPr>
            <w:tcW w:w="1705" w:type="dxa"/>
            <w:vMerge/>
            <w:tcBorders>
              <w:top w:val="nil"/>
            </w:tcBorders>
          </w:tcPr>
          <w:p w:rsidR="004A086F" w:rsidRPr="00005904" w:rsidRDefault="004A086F" w:rsidP="003646F3">
            <w:pPr>
              <w:rPr>
                <w:rFonts w:cstheme="minorHAnsi"/>
                <w:color w:val="000000" w:themeColor="text1"/>
                <w:sz w:val="22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MI + maternal age, partnered status</w:t>
            </w:r>
          </w:p>
        </w:tc>
        <w:tc>
          <w:tcPr>
            <w:tcW w:w="1710" w:type="dxa"/>
            <w:tcBorders>
              <w:top w:val="nil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1.01 (.98-1.03)</w:t>
            </w:r>
          </w:p>
        </w:tc>
        <w:tc>
          <w:tcPr>
            <w:tcW w:w="1710" w:type="dxa"/>
            <w:tcBorders>
              <w:top w:val="nil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.99 (.94-1.04)</w:t>
            </w:r>
          </w:p>
        </w:tc>
        <w:tc>
          <w:tcPr>
            <w:tcW w:w="1620" w:type="dxa"/>
            <w:tcBorders>
              <w:top w:val="nil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1.01 (.98-1.05)</w:t>
            </w:r>
          </w:p>
        </w:tc>
        <w:tc>
          <w:tcPr>
            <w:tcW w:w="1895" w:type="dxa"/>
            <w:tcBorders>
              <w:top w:val="nil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.98 (.94-1.03)</w:t>
            </w:r>
          </w:p>
        </w:tc>
        <w:tc>
          <w:tcPr>
            <w:tcW w:w="1610" w:type="dxa"/>
            <w:tcBorders>
              <w:top w:val="nil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  <w:r w:rsidRPr="00005904">
              <w:rPr>
                <w:rFonts w:cstheme="minorHAnsi"/>
                <w:color w:val="000000" w:themeColor="text1"/>
                <w:sz w:val="22"/>
              </w:rPr>
              <w:t>.98 (.95-1.01)</w:t>
            </w:r>
          </w:p>
        </w:tc>
      </w:tr>
      <w:tr w:rsidR="004A086F" w:rsidRPr="00005904" w:rsidTr="003646F3">
        <w:tc>
          <w:tcPr>
            <w:tcW w:w="1705" w:type="dxa"/>
            <w:tcBorders>
              <w:bottom w:val="single" w:sz="4" w:space="0" w:color="auto"/>
            </w:tcBorders>
          </w:tcPr>
          <w:p w:rsidR="004A086F" w:rsidRPr="00005904" w:rsidRDefault="004A086F" w:rsidP="003646F3">
            <w:pPr>
              <w:rPr>
                <w:rFonts w:cstheme="minorHAnsi"/>
                <w:color w:val="000000" w:themeColor="text1"/>
                <w:sz w:val="22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:rsidR="004A086F" w:rsidRPr="00005904" w:rsidRDefault="004A086F" w:rsidP="003646F3">
            <w:pPr>
              <w:jc w:val="center"/>
              <w:rPr>
                <w:rFonts w:cstheme="minorHAnsi"/>
                <w:color w:val="000000" w:themeColor="text1"/>
                <w:sz w:val="22"/>
              </w:rPr>
            </w:pPr>
          </w:p>
        </w:tc>
      </w:tr>
    </w:tbl>
    <w:p w:rsidR="004D6FAE" w:rsidRDefault="004D6FAE">
      <w:bookmarkStart w:id="0" w:name="_GoBack"/>
      <w:bookmarkEnd w:id="0"/>
    </w:p>
    <w:sectPr w:rsidR="004D6FAE" w:rsidSect="004A086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00000287" w:usb1="080E0000" w:usb2="00000010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ewNDM0NDcDsowtjJR0lIJTi4sz8/NACgxrAYN1zuksAAAA"/>
  </w:docVars>
  <w:rsids>
    <w:rsidRoot w:val="004A086F"/>
    <w:rsid w:val="00005904"/>
    <w:rsid w:val="004A086F"/>
    <w:rsid w:val="004D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D6F90"/>
  <w15:chartTrackingRefBased/>
  <w15:docId w15:val="{40350860-BF1E-4B4F-9D17-11639671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86F"/>
    <w:rPr>
      <w:rFonts w:ascii="Times New Roman" w:eastAsiaTheme="minorHAnsi" w:hAnsi="Times New Rom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086F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Hua</dc:creator>
  <cp:keywords/>
  <dc:description/>
  <cp:lastModifiedBy>Li, Hua</cp:lastModifiedBy>
  <cp:revision>2</cp:revision>
  <dcterms:created xsi:type="dcterms:W3CDTF">2021-02-15T20:57:00Z</dcterms:created>
  <dcterms:modified xsi:type="dcterms:W3CDTF">2021-02-15T20:57:00Z</dcterms:modified>
</cp:coreProperties>
</file>