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77CBC" w14:textId="11EC33D5" w:rsidR="003E6BC2" w:rsidRPr="00CD3678" w:rsidRDefault="008502F6">
      <w:pPr>
        <w:rPr>
          <w:sz w:val="24"/>
          <w:szCs w:val="24"/>
        </w:rPr>
      </w:pPr>
      <w:r w:rsidRPr="00CD3678">
        <w:rPr>
          <w:sz w:val="24"/>
          <w:szCs w:val="24"/>
        </w:rPr>
        <w:t xml:space="preserve">Supplementary </w:t>
      </w:r>
      <w:r w:rsidR="004101E5" w:rsidRPr="00CD3678">
        <w:rPr>
          <w:sz w:val="24"/>
          <w:szCs w:val="24"/>
        </w:rPr>
        <w:t>note</w:t>
      </w:r>
      <w:r w:rsidRPr="00CD3678">
        <w:rPr>
          <w:sz w:val="24"/>
          <w:szCs w:val="24"/>
        </w:rPr>
        <w:t xml:space="preserve"> 1 The ingredients of oral carbohydrate-rich solution is listed below:</w:t>
      </w:r>
    </w:p>
    <w:p w14:paraId="4CF91B20" w14:textId="42A0C06E" w:rsidR="008502F6" w:rsidRPr="00CD3678" w:rsidRDefault="008502F6">
      <w:pPr>
        <w:rPr>
          <w:sz w:val="24"/>
          <w:szCs w:val="24"/>
        </w:rPr>
      </w:pPr>
      <w:r w:rsidRPr="00CD3678">
        <w:rPr>
          <w:sz w:val="24"/>
          <w:szCs w:val="24"/>
        </w:rPr>
        <w:t xml:space="preserve">Water, </w:t>
      </w:r>
      <w:r w:rsidR="004101E5" w:rsidRPr="00CD3678">
        <w:rPr>
          <w:sz w:val="24"/>
          <w:szCs w:val="24"/>
        </w:rPr>
        <w:t>m</w:t>
      </w:r>
      <w:r w:rsidRPr="00CD3678">
        <w:rPr>
          <w:sz w:val="24"/>
          <w:szCs w:val="24"/>
        </w:rPr>
        <w:t xml:space="preserve">altodextrin, </w:t>
      </w:r>
      <w:r w:rsidR="004101E5" w:rsidRPr="00CD3678">
        <w:rPr>
          <w:sz w:val="24"/>
          <w:szCs w:val="24"/>
        </w:rPr>
        <w:t>c</w:t>
      </w:r>
      <w:r w:rsidRPr="00CD3678">
        <w:rPr>
          <w:sz w:val="24"/>
          <w:szCs w:val="24"/>
        </w:rPr>
        <w:t xml:space="preserve">rystalline fructose, </w:t>
      </w:r>
      <w:r w:rsidR="004101E5" w:rsidRPr="00CD3678">
        <w:rPr>
          <w:sz w:val="24"/>
          <w:szCs w:val="24"/>
        </w:rPr>
        <w:t xml:space="preserve">potassium citrate, citric acid, sodium citrate, sodium benzoate, </w:t>
      </w:r>
      <w:proofErr w:type="spellStart"/>
      <w:r w:rsidR="004101E5" w:rsidRPr="00CD3678">
        <w:rPr>
          <w:sz w:val="24"/>
          <w:szCs w:val="24"/>
        </w:rPr>
        <w:t>stevioside</w:t>
      </w:r>
      <w:proofErr w:type="spellEnd"/>
      <w:r w:rsidR="004101E5" w:rsidRPr="00CD3678">
        <w:rPr>
          <w:sz w:val="24"/>
          <w:szCs w:val="24"/>
        </w:rPr>
        <w:t xml:space="preserve">, </w:t>
      </w:r>
      <w:proofErr w:type="spellStart"/>
      <w:r w:rsidR="004101E5" w:rsidRPr="00CD3678">
        <w:rPr>
          <w:sz w:val="24"/>
          <w:szCs w:val="24"/>
        </w:rPr>
        <w:t>flavor</w:t>
      </w:r>
      <w:proofErr w:type="spellEnd"/>
      <w:r w:rsidR="004101E5" w:rsidRPr="00CD3678">
        <w:rPr>
          <w:sz w:val="24"/>
          <w:szCs w:val="24"/>
        </w:rPr>
        <w:t>.</w:t>
      </w:r>
    </w:p>
    <w:p w14:paraId="0B928ADF" w14:textId="77777777" w:rsidR="008502F6" w:rsidRDefault="008502F6"/>
    <w:sectPr w:rsidR="008502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2F6"/>
    <w:rsid w:val="003E6BC2"/>
    <w:rsid w:val="004101E5"/>
    <w:rsid w:val="004F3B86"/>
    <w:rsid w:val="007E1245"/>
    <w:rsid w:val="008502F6"/>
    <w:rsid w:val="00CD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F8E03C"/>
  <w15:chartTrackingRefBased/>
  <w15:docId w15:val="{B56F3C8A-5F2A-4D0D-87F8-FFC7B5A4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 He</dc:creator>
  <cp:keywords/>
  <dc:description/>
  <cp:lastModifiedBy>Haze He</cp:lastModifiedBy>
  <cp:revision>1</cp:revision>
  <dcterms:created xsi:type="dcterms:W3CDTF">2021-09-17T06:09:00Z</dcterms:created>
  <dcterms:modified xsi:type="dcterms:W3CDTF">2021-09-17T10:00:00Z</dcterms:modified>
</cp:coreProperties>
</file>