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435" w:rsidRPr="00725A5C" w:rsidRDefault="00777435" w:rsidP="00777435">
      <w:pPr>
        <w:rPr>
          <w:rFonts w:cs="Times New Roman"/>
          <w:b/>
          <w:bCs/>
          <w:sz w:val="24"/>
          <w:szCs w:val="24"/>
        </w:rPr>
      </w:pPr>
      <w:r w:rsidRPr="00725A5C">
        <w:rPr>
          <w:rFonts w:cs="Times New Roman"/>
          <w:b/>
          <w:bCs/>
          <w:sz w:val="24"/>
          <w:szCs w:val="24"/>
          <w:u w:val="single"/>
        </w:rPr>
        <w:t xml:space="preserve">Table </w:t>
      </w:r>
      <w:r>
        <w:rPr>
          <w:rFonts w:cs="Times New Roman"/>
          <w:b/>
          <w:bCs/>
          <w:sz w:val="24"/>
          <w:szCs w:val="24"/>
          <w:u w:val="single"/>
        </w:rPr>
        <w:t>S</w:t>
      </w:r>
      <w:r w:rsidRPr="00725A5C">
        <w:rPr>
          <w:rFonts w:cs="Times New Roman"/>
          <w:b/>
          <w:bCs/>
          <w:sz w:val="24"/>
          <w:szCs w:val="24"/>
          <w:u w:val="single"/>
        </w:rPr>
        <w:t>1:</w:t>
      </w:r>
      <w:r w:rsidRPr="00725A5C">
        <w:rPr>
          <w:rFonts w:cs="Times New Roman"/>
          <w:b/>
          <w:bCs/>
          <w:sz w:val="24"/>
          <w:szCs w:val="24"/>
        </w:rPr>
        <w:t xml:space="preserve">  Search Strategy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77435" w:rsidTr="00E7491C">
        <w:tc>
          <w:tcPr>
            <w:tcW w:w="9016" w:type="dxa"/>
          </w:tcPr>
          <w:p w:rsidR="00777435" w:rsidRPr="007E5F4E" w:rsidRDefault="00777435" w:rsidP="00E7491C">
            <w:pPr>
              <w:rPr>
                <w:rFonts w:cs="Times New Roman"/>
              </w:rPr>
            </w:pPr>
            <w:r w:rsidRPr="00971774">
              <w:rPr>
                <w:rFonts w:cs="Times New Roman"/>
                <w:b/>
                <w:bCs/>
                <w:u w:val="single"/>
              </w:rPr>
              <w:t>Data bases:</w:t>
            </w:r>
            <w:r>
              <w:rPr>
                <w:rFonts w:cs="Times New Roman"/>
              </w:rPr>
              <w:t xml:space="preserve">  </w:t>
            </w:r>
            <w:r w:rsidRPr="007E5F4E">
              <w:rPr>
                <w:rFonts w:cs="Times New Roman"/>
              </w:rPr>
              <w:t xml:space="preserve"> </w:t>
            </w:r>
            <w:proofErr w:type="spellStart"/>
            <w:r w:rsidRPr="007E5F4E">
              <w:rPr>
                <w:rFonts w:cs="Times New Roman"/>
              </w:rPr>
              <w:t>Cinahl</w:t>
            </w:r>
            <w:proofErr w:type="spellEnd"/>
            <w:r w:rsidRPr="007E5F4E">
              <w:rPr>
                <w:rFonts w:cs="Times New Roman"/>
              </w:rPr>
              <w:t>, Cochrane</w:t>
            </w:r>
            <w:r>
              <w:rPr>
                <w:rFonts w:cs="Times New Roman"/>
              </w:rPr>
              <w:t xml:space="preserve">, </w:t>
            </w:r>
            <w:r w:rsidRPr="007E5F4E">
              <w:rPr>
                <w:rFonts w:cs="Times New Roman"/>
              </w:rPr>
              <w:t>Global Health</w:t>
            </w:r>
            <w:r>
              <w:rPr>
                <w:rFonts w:cs="Times New Roman"/>
              </w:rPr>
              <w:t>,</w:t>
            </w:r>
            <w:r w:rsidRPr="007E5F4E">
              <w:rPr>
                <w:rFonts w:cs="Times New Roman"/>
              </w:rPr>
              <w:t xml:space="preserve"> Medline,</w:t>
            </w:r>
            <w:r>
              <w:rPr>
                <w:rFonts w:cs="Times New Roman"/>
              </w:rPr>
              <w:t xml:space="preserve"> PubMed and Web of Science.</w:t>
            </w:r>
            <w:r w:rsidRPr="007E5F4E">
              <w:rPr>
                <w:rFonts w:cs="Times New Roman"/>
              </w:rPr>
              <w:t xml:space="preserve"> </w:t>
            </w:r>
          </w:p>
          <w:p w:rsidR="00777435" w:rsidRDefault="00777435" w:rsidP="00E7491C"/>
        </w:tc>
      </w:tr>
      <w:tr w:rsidR="00777435" w:rsidTr="00E7491C">
        <w:tc>
          <w:tcPr>
            <w:tcW w:w="9016" w:type="dxa"/>
          </w:tcPr>
          <w:p w:rsidR="00777435" w:rsidRDefault="00777435" w:rsidP="00E7491C">
            <w:pPr>
              <w:rPr>
                <w:rFonts w:eastAsia="Calibri" w:cs="Arial"/>
                <w:b/>
                <w:bCs/>
                <w:u w:val="single"/>
                <w:lang w:val="en"/>
              </w:rPr>
            </w:pPr>
          </w:p>
          <w:p w:rsidR="00777435" w:rsidRPr="007E5F4E" w:rsidRDefault="00777435" w:rsidP="00E7491C">
            <w:pPr>
              <w:rPr>
                <w:rFonts w:eastAsia="Calibri" w:cs="Arial"/>
                <w:b/>
                <w:bCs/>
                <w:u w:val="single"/>
                <w:lang w:val="en"/>
              </w:rPr>
            </w:pPr>
            <w:r w:rsidRPr="007E5F4E">
              <w:rPr>
                <w:rFonts w:eastAsia="Calibri" w:cs="Arial"/>
                <w:b/>
                <w:bCs/>
                <w:u w:val="single"/>
                <w:lang w:val="en"/>
              </w:rPr>
              <w:t>Search terms</w:t>
            </w:r>
          </w:p>
          <w:p w:rsidR="00777435" w:rsidRPr="007E5F4E" w:rsidRDefault="00777435" w:rsidP="00E7491C">
            <w:pPr>
              <w:rPr>
                <w:rFonts w:eastAsia="Calibri" w:cs="Arial"/>
                <w:bCs/>
                <w:lang w:val="en"/>
              </w:rPr>
            </w:pPr>
            <w:r>
              <w:rPr>
                <w:rFonts w:eastAsia="Calibri" w:cs="Arial"/>
                <w:bCs/>
                <w:lang w:val="en"/>
              </w:rPr>
              <w:t>(“postnatal”) or (“postpartum”) or (“P</w:t>
            </w:r>
            <w:r w:rsidRPr="007E5F4E">
              <w:rPr>
                <w:rFonts w:eastAsia="Calibri" w:cs="Arial"/>
                <w:bCs/>
                <w:lang w:val="en"/>
              </w:rPr>
              <w:t>NC”) or (“</w:t>
            </w:r>
            <w:r>
              <w:rPr>
                <w:rFonts w:eastAsia="Calibri" w:cs="Arial"/>
                <w:bCs/>
                <w:lang w:val="en"/>
              </w:rPr>
              <w:t xml:space="preserve">after </w:t>
            </w:r>
            <w:r w:rsidRPr="007E5F4E">
              <w:rPr>
                <w:rFonts w:eastAsia="Calibri" w:cs="Arial"/>
                <w:bCs/>
                <w:lang w:val="en"/>
              </w:rPr>
              <w:t>pregnancy”)</w:t>
            </w:r>
          </w:p>
          <w:p w:rsidR="00777435" w:rsidRPr="007E5F4E" w:rsidRDefault="00777435" w:rsidP="00E7491C">
            <w:pPr>
              <w:rPr>
                <w:rFonts w:eastAsia="Calibri" w:cs="Arial"/>
                <w:bCs/>
                <w:lang w:val="en"/>
              </w:rPr>
            </w:pPr>
            <w:r w:rsidRPr="007E5F4E">
              <w:rPr>
                <w:rFonts w:eastAsia="Calibri" w:cs="Arial"/>
                <w:bCs/>
                <w:lang w:val="en"/>
              </w:rPr>
              <w:t xml:space="preserve"> </w:t>
            </w:r>
            <w:r w:rsidRPr="007E5F4E">
              <w:rPr>
                <w:rFonts w:eastAsia="Calibri" w:cs="Arial"/>
                <w:b/>
                <w:bCs/>
                <w:lang w:val="en"/>
              </w:rPr>
              <w:t xml:space="preserve">and </w:t>
            </w:r>
          </w:p>
          <w:p w:rsidR="00777435" w:rsidRPr="007E5F4E" w:rsidRDefault="00777435" w:rsidP="00E7491C">
            <w:pPr>
              <w:rPr>
                <w:rFonts w:eastAsia="Calibri" w:cs="Arial"/>
              </w:rPr>
            </w:pPr>
            <w:r w:rsidRPr="007E5F4E">
              <w:rPr>
                <w:rFonts w:eastAsia="Calibri" w:cs="Arial"/>
                <w:bCs/>
                <w:lang w:val="en"/>
              </w:rPr>
              <w:t>(</w:t>
            </w:r>
            <w:r w:rsidRPr="007E5F4E">
              <w:rPr>
                <w:rFonts w:eastAsia="Calibri" w:cs="Arial"/>
              </w:rPr>
              <w:t>“essential components”) or (“essential interventions”) or (“signal functions”) or (“key indicators”) or (“clinical indicators”) or (“routine care”)</w:t>
            </w:r>
          </w:p>
          <w:p w:rsidR="00777435" w:rsidRDefault="00777435" w:rsidP="00E7491C"/>
        </w:tc>
      </w:tr>
      <w:tr w:rsidR="00777435" w:rsidTr="00E7491C">
        <w:tc>
          <w:tcPr>
            <w:tcW w:w="9016" w:type="dxa"/>
          </w:tcPr>
          <w:p w:rsidR="00777435" w:rsidRDefault="00777435" w:rsidP="00E7491C">
            <w:pPr>
              <w:rPr>
                <w:b/>
                <w:u w:val="single"/>
              </w:rPr>
            </w:pPr>
          </w:p>
          <w:p w:rsidR="00777435" w:rsidRPr="00725A5C" w:rsidRDefault="00777435" w:rsidP="00E7491C">
            <w:pPr>
              <w:rPr>
                <w:b/>
                <w:u w:val="single"/>
              </w:rPr>
            </w:pPr>
            <w:r w:rsidRPr="00725A5C">
              <w:rPr>
                <w:b/>
                <w:u w:val="single"/>
              </w:rPr>
              <w:t>Headings added depending on individual databases</w:t>
            </w:r>
          </w:p>
          <w:p w:rsidR="00777435" w:rsidRDefault="00777435" w:rsidP="00E7491C">
            <w:pPr>
              <w:rPr>
                <w:b/>
              </w:rPr>
            </w:pPr>
          </w:p>
          <w:p w:rsidR="00777435" w:rsidRPr="00725A5C" w:rsidRDefault="00777435" w:rsidP="00E7491C">
            <w:proofErr w:type="spellStart"/>
            <w:r w:rsidRPr="00725A5C">
              <w:rPr>
                <w:b/>
              </w:rPr>
              <w:t>Cinahl</w:t>
            </w:r>
            <w:proofErr w:type="spellEnd"/>
            <w:r w:rsidRPr="00725A5C">
              <w:rPr>
                <w:b/>
              </w:rPr>
              <w:t xml:space="preserve">- </w:t>
            </w:r>
            <w:r w:rsidRPr="00725A5C">
              <w:t>Subheadings: (“clini</w:t>
            </w:r>
            <w:r>
              <w:t>cal indicators”) and (“postnatal”) or (postnata</w:t>
            </w:r>
            <w:r w:rsidRPr="00725A5C">
              <w:t>l care”)</w:t>
            </w:r>
          </w:p>
          <w:p w:rsidR="00777435" w:rsidRDefault="00777435" w:rsidP="00E7491C">
            <w:pPr>
              <w:rPr>
                <w:b/>
              </w:rPr>
            </w:pPr>
          </w:p>
          <w:p w:rsidR="00777435" w:rsidRPr="00725A5C" w:rsidRDefault="00777435" w:rsidP="00E7491C">
            <w:r w:rsidRPr="00725A5C">
              <w:rPr>
                <w:b/>
              </w:rPr>
              <w:t>Cochrane</w:t>
            </w:r>
            <w:r w:rsidRPr="00725A5C">
              <w:t>- MESH: (“standard of care”) or (“care bundles”)</w:t>
            </w:r>
          </w:p>
          <w:p w:rsidR="00777435" w:rsidRDefault="00777435" w:rsidP="00E7491C">
            <w:pPr>
              <w:rPr>
                <w:b/>
              </w:rPr>
            </w:pPr>
          </w:p>
          <w:p w:rsidR="00777435" w:rsidRPr="00725A5C" w:rsidRDefault="00777435" w:rsidP="00E7491C">
            <w:r w:rsidRPr="00725A5C">
              <w:rPr>
                <w:b/>
              </w:rPr>
              <w:t>Global health</w:t>
            </w:r>
            <w:r w:rsidRPr="00725A5C">
              <w:t>- Thesaurus: (“DE indicators”) or (“DE clini</w:t>
            </w:r>
            <w:r>
              <w:t>cal components”) and (“DE postpartum</w:t>
            </w:r>
            <w:proofErr w:type="gramStart"/>
            <w:r>
              <w:t>”)  or</w:t>
            </w:r>
            <w:proofErr w:type="gramEnd"/>
            <w:r>
              <w:t xml:space="preserve"> (“DE postnatal</w:t>
            </w:r>
            <w:r w:rsidRPr="00725A5C">
              <w:t xml:space="preserve"> period”) </w:t>
            </w:r>
          </w:p>
          <w:p w:rsidR="00777435" w:rsidRDefault="00777435" w:rsidP="00E7491C">
            <w:pPr>
              <w:rPr>
                <w:b/>
              </w:rPr>
            </w:pPr>
          </w:p>
          <w:p w:rsidR="00777435" w:rsidRPr="00725A5C" w:rsidRDefault="00777435" w:rsidP="00E7491C">
            <w:r w:rsidRPr="00725A5C">
              <w:rPr>
                <w:b/>
              </w:rPr>
              <w:t>Medline</w:t>
            </w:r>
            <w:r w:rsidRPr="00725A5C">
              <w:t xml:space="preserve">-Mesh headings: </w:t>
            </w:r>
            <w:proofErr w:type="gramStart"/>
            <w:r w:rsidRPr="00725A5C">
              <w:t>(</w:t>
            </w:r>
            <w:r>
              <w:t xml:space="preserve"> quality</w:t>
            </w:r>
            <w:proofErr w:type="gramEnd"/>
            <w:r>
              <w:t xml:space="preserve"> indicators”) and (“post</w:t>
            </w:r>
            <w:r w:rsidRPr="00725A5C">
              <w:t>natal”)</w:t>
            </w:r>
          </w:p>
          <w:p w:rsidR="00777435" w:rsidRDefault="00777435" w:rsidP="00E7491C"/>
        </w:tc>
      </w:tr>
    </w:tbl>
    <w:p w:rsidR="007235AB" w:rsidRDefault="007235AB">
      <w:bookmarkStart w:id="0" w:name="_GoBack"/>
      <w:bookmarkEnd w:id="0"/>
    </w:p>
    <w:sectPr w:rsidR="00723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435"/>
    <w:rsid w:val="007235AB"/>
    <w:rsid w:val="0077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8395DA-83E7-4438-A84F-5EE0BD27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7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McCauley</dc:creator>
  <cp:keywords/>
  <dc:description/>
  <cp:lastModifiedBy>Hannah McCauley</cp:lastModifiedBy>
  <cp:revision>1</cp:revision>
  <dcterms:created xsi:type="dcterms:W3CDTF">2022-01-04T10:40:00Z</dcterms:created>
  <dcterms:modified xsi:type="dcterms:W3CDTF">2022-01-04T10:40:00Z</dcterms:modified>
</cp:coreProperties>
</file>