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Table. </w:t>
      </w:r>
      <w:r>
        <w:rPr>
          <w:rFonts w:hint="default"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 xml:space="preserve"> Assessment of the Meta-Evidence of Cohort Studies for NutriGrade</w:t>
      </w:r>
    </w:p>
    <w:tbl>
      <w:tblPr>
        <w:tblStyle w:val="5"/>
        <w:tblW w:w="7088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4"/>
        <w:gridCol w:w="3230"/>
        <w:gridCol w:w="1134"/>
      </w:tblGrid>
      <w:tr>
        <w:trPr>
          <w:trHeight w:val="529" w:hRule="atLeast"/>
          <w:jc w:val="center"/>
        </w:trPr>
        <w:tc>
          <w:tcPr>
            <w:tcW w:w="2724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  <w:t>Item</w:t>
            </w:r>
          </w:p>
        </w:tc>
        <w:tc>
          <w:tcPr>
            <w:tcW w:w="3230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  <w:t>Scoring Criteria</w:t>
            </w:r>
          </w:p>
        </w:tc>
        <w:tc>
          <w:tcPr>
            <w:tcW w:w="1134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b/>
                <w:bCs/>
                <w:color w:val="000000"/>
                <w:kern w:val="0"/>
                <w:sz w:val="22"/>
              </w:rPr>
              <w:t>Score</w:t>
            </w:r>
          </w:p>
        </w:tc>
      </w:tr>
      <w:tr>
        <w:trPr>
          <w:trHeight w:val="835" w:hRule="atLeast"/>
          <w:jc w:val="center"/>
        </w:trPr>
        <w:tc>
          <w:tcPr>
            <w:tcW w:w="2724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after="156" w:afterLines="50" w:line="200" w:lineRule="exac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Risk of bias/ study quality/ study limitations (2 P)</w:t>
            </w:r>
          </w:p>
        </w:tc>
        <w:tc>
          <w:tcPr>
            <w:tcW w:w="3230" w:type="dxa"/>
            <w:tcBorders>
              <w:top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after="156" w:afterLines="50" w:line="200" w:lineRule="exact"/>
              <w:rPr>
                <w:rFonts w:hint="default" w:eastAsia="等线" w:cs="Times New Roman"/>
                <w:color w:val="000000"/>
                <w:kern w:val="0"/>
                <w:sz w:val="22"/>
                <w:lang w:eastAsia="zh-Hans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Newcastle–Ottawa Scale</w:t>
            </w:r>
            <w:r>
              <w:rPr>
                <w:rFonts w:hint="eastAsia" w:ascii="等线" w:hAnsi="等线" w:eastAsia="等线" w:cs="Times New Roman"/>
                <w:color w:val="000000"/>
                <w:kern w:val="0"/>
                <w:sz w:val="22"/>
              </w:rPr>
              <w:t>（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>mean</w:t>
            </w:r>
            <w:r>
              <w:rPr>
                <w:rFonts w:hint="eastAsia" w:ascii="等线" w:hAnsi="等线" w:eastAsia="等线" w:cs="Times New Roman"/>
                <w:color w:val="000000"/>
                <w:kern w:val="0"/>
                <w:sz w:val="22"/>
              </w:rPr>
              <w:t>）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 xml:space="preserve">= </w:t>
            </w:r>
            <w:r>
              <w:rPr>
                <w:rFonts w:hint="default" w:eastAsia="等线" w:cs="Times New Roman"/>
                <w:color w:val="000000"/>
                <w:kern w:val="0"/>
                <w:sz w:val="22"/>
              </w:rPr>
              <w:t>6</w:t>
            </w:r>
            <w:r>
              <w:rPr>
                <w:rFonts w:hint="eastAsia" w:eastAsia="等线" w:cs="Times New Roman"/>
                <w:color w:val="000000"/>
                <w:kern w:val="0"/>
                <w:sz w:val="22"/>
                <w:lang w:val="en-US" w:eastAsia="zh-Hans"/>
              </w:rPr>
              <w:t>.</w:t>
            </w:r>
            <w:r>
              <w:rPr>
                <w:rFonts w:hint="default" w:eastAsia="等线" w:cs="Times New Roman"/>
                <w:color w:val="000000"/>
                <w:kern w:val="0"/>
                <w:sz w:val="22"/>
                <w:lang w:eastAsia="zh-Hans"/>
              </w:rPr>
              <w:t>25</w:t>
            </w:r>
          </w:p>
        </w:tc>
        <w:tc>
          <w:tcPr>
            <w:tcW w:w="1134" w:type="dxa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after="156" w:afterLines="50" w:line="200" w:lineRule="exact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1</w:t>
            </w:r>
          </w:p>
        </w:tc>
      </w:tr>
      <w:tr>
        <w:trPr>
          <w:trHeight w:val="710" w:hRule="atLeast"/>
          <w:jc w:val="center"/>
        </w:trPr>
        <w:tc>
          <w:tcPr>
            <w:tcW w:w="2724" w:type="dxa"/>
            <w:shd w:val="clear" w:color="auto" w:fill="auto"/>
            <w:vAlign w:val="center"/>
          </w:tcPr>
          <w:p>
            <w:pPr>
              <w:widowControl/>
              <w:spacing w:after="156" w:afterLines="50" w:line="200" w:lineRule="exac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Precision (1 P)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widowControl/>
              <w:spacing w:after="156" w:afterLines="50" w:line="200" w:lineRule="exac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Times New Roman"/>
                <w:color w:val="000000"/>
                <w:kern w:val="0"/>
                <w:sz w:val="22"/>
              </w:rPr>
              <w:t>≥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>500 events and the 95% CI excludes the null value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widowControl/>
              <w:spacing w:after="156" w:afterLines="50" w:line="200" w:lineRule="exact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1</w:t>
            </w:r>
          </w:p>
        </w:tc>
      </w:tr>
      <w:tr>
        <w:trPr>
          <w:trHeight w:val="707" w:hRule="atLeast"/>
          <w:jc w:val="center"/>
        </w:trPr>
        <w:tc>
          <w:tcPr>
            <w:tcW w:w="2724" w:type="dxa"/>
            <w:shd w:val="clear" w:color="auto" w:fill="auto"/>
            <w:vAlign w:val="center"/>
          </w:tcPr>
          <w:p>
            <w:pPr>
              <w:widowControl/>
              <w:spacing w:after="156" w:afterLines="50" w:line="200" w:lineRule="exac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Heterogeneity (1 P)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widowControl/>
              <w:spacing w:after="156" w:afterLines="50" w:line="200" w:lineRule="exac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Heterogeneity is observed</w:t>
            </w:r>
            <w:r>
              <w:rPr>
                <w:rFonts w:hint="eastAsia" w:ascii="等线" w:hAnsi="等线" w:eastAsia="等线" w:cs="Times New Roman"/>
                <w:color w:val="000000"/>
                <w:kern w:val="0"/>
                <w:sz w:val="22"/>
              </w:rPr>
              <w:t>，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 xml:space="preserve">I2 </w:t>
            </w:r>
            <w:r>
              <w:rPr>
                <w:rFonts w:hint="eastAsia" w:ascii="等线" w:hAnsi="等线" w:eastAsia="等线" w:cs="Times New Roman"/>
                <w:color w:val="000000"/>
                <w:kern w:val="0"/>
                <w:sz w:val="22"/>
              </w:rPr>
              <w:t>≥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>40%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spacing w:after="156" w:afterLines="50" w:line="200" w:lineRule="exact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0.3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0" w:hRule="atLeast"/>
          <w:jc w:val="center"/>
        </w:trPr>
        <w:tc>
          <w:tcPr>
            <w:tcW w:w="2724" w:type="dxa"/>
            <w:shd w:val="clear" w:color="auto" w:fill="auto"/>
            <w:vAlign w:val="center"/>
          </w:tcPr>
          <w:p>
            <w:pPr>
              <w:widowControl/>
              <w:spacing w:after="156" w:afterLines="50" w:line="200" w:lineRule="exac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Directness (1 P</w:t>
            </w:r>
            <w:r>
              <w:rPr>
                <w:rFonts w:hint="eastAsia" w:ascii="等线" w:hAnsi="等线" w:eastAsia="等线"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widowControl/>
              <w:spacing w:after="156" w:afterLines="50" w:line="200" w:lineRule="exac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No important differences in the population or intervention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spacing w:after="156" w:afterLines="50" w:line="200" w:lineRule="exact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0" w:hRule="atLeast"/>
          <w:jc w:val="center"/>
        </w:trPr>
        <w:tc>
          <w:tcPr>
            <w:tcW w:w="2724" w:type="dxa"/>
            <w:shd w:val="clear" w:color="auto" w:fill="auto"/>
            <w:vAlign w:val="center"/>
          </w:tcPr>
          <w:p>
            <w:pPr>
              <w:widowControl/>
              <w:spacing w:after="156" w:afterLines="50" w:line="200" w:lineRule="exac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Publication bias (1 P)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widowControl/>
              <w:spacing w:after="156" w:afterLines="50" w:line="200" w:lineRule="exac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Times New Roman"/>
                <w:color w:val="000000"/>
                <w:kern w:val="0"/>
                <w:sz w:val="22"/>
              </w:rPr>
              <w:t>＜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>5 studies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spacing w:after="156" w:afterLines="50" w:line="200" w:lineRule="exact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0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60" w:hRule="atLeast"/>
          <w:jc w:val="center"/>
        </w:trPr>
        <w:tc>
          <w:tcPr>
            <w:tcW w:w="2724" w:type="dxa"/>
            <w:shd w:val="clear" w:color="auto" w:fill="auto"/>
            <w:vAlign w:val="center"/>
          </w:tcPr>
          <w:p>
            <w:pPr>
              <w:widowControl/>
              <w:spacing w:after="156" w:afterLines="50" w:line="200" w:lineRule="exac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Funding bias (1 P)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widowControl/>
              <w:spacing w:after="156" w:afterLines="50" w:line="200" w:lineRule="exac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Academic institutions</w:t>
            </w:r>
            <w:r>
              <w:rPr>
                <w:rFonts w:hint="eastAsia" w:ascii="等线" w:hAnsi="等线" w:eastAsia="等线" w:cs="Times New Roman"/>
                <w:color w:val="000000"/>
                <w:kern w:val="0"/>
                <w:sz w:val="22"/>
              </w:rPr>
              <w:t>，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 xml:space="preserve"> research institutions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spacing w:after="156" w:afterLines="50" w:line="200" w:lineRule="exact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0" w:hRule="atLeast"/>
          <w:jc w:val="center"/>
        </w:trPr>
        <w:tc>
          <w:tcPr>
            <w:tcW w:w="2724" w:type="dxa"/>
            <w:shd w:val="clear" w:color="auto" w:fill="auto"/>
            <w:vAlign w:val="center"/>
          </w:tcPr>
          <w:p>
            <w:pPr>
              <w:widowControl/>
              <w:spacing w:after="156" w:afterLines="50" w:line="200" w:lineRule="exac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Effect size (2 P)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widowControl/>
              <w:spacing w:after="156" w:afterLines="50" w:line="200" w:lineRule="exac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OR</w:t>
            </w:r>
            <w:r>
              <w:rPr>
                <w:rFonts w:hint="eastAsia" w:ascii="等线" w:hAnsi="等线" w:eastAsia="等线" w:cs="Times New Roman"/>
                <w:color w:val="000000"/>
                <w:kern w:val="0"/>
                <w:sz w:val="22"/>
              </w:rPr>
              <w:t>，＞</w:t>
            </w:r>
            <w:r>
              <w:rPr>
                <w:rFonts w:eastAsia="等线" w:cs="Times New Roman"/>
                <w:color w:val="000000"/>
                <w:kern w:val="0"/>
                <w:sz w:val="22"/>
              </w:rPr>
              <w:t>1.20–2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spacing w:after="156" w:afterLines="50" w:line="200" w:lineRule="exact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0" w:hRule="atLeast"/>
          <w:jc w:val="center"/>
        </w:trPr>
        <w:tc>
          <w:tcPr>
            <w:tcW w:w="2724" w:type="dxa"/>
            <w:shd w:val="clear" w:color="auto" w:fill="auto"/>
            <w:vAlign w:val="center"/>
          </w:tcPr>
          <w:p>
            <w:pPr>
              <w:widowControl/>
              <w:spacing w:after="156" w:afterLines="50" w:line="200" w:lineRule="exac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Dose-response (1 P)</w:t>
            </w:r>
          </w:p>
        </w:tc>
        <w:tc>
          <w:tcPr>
            <w:tcW w:w="3230" w:type="dxa"/>
            <w:shd w:val="clear" w:color="auto" w:fill="auto"/>
            <w:vAlign w:val="center"/>
          </w:tcPr>
          <w:p>
            <w:pPr>
              <w:widowControl/>
              <w:spacing w:after="156" w:afterLines="50" w:line="200" w:lineRule="exac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No dose-response analysis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spacing w:after="156" w:afterLines="50" w:line="200" w:lineRule="exact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0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0" w:hRule="atLeast"/>
          <w:jc w:val="center"/>
        </w:trPr>
        <w:tc>
          <w:tcPr>
            <w:tcW w:w="2724" w:type="dxa"/>
            <w:shd w:val="clear" w:color="auto" w:fill="auto"/>
            <w:vAlign w:val="center"/>
          </w:tcPr>
          <w:p>
            <w:pPr>
              <w:widowControl/>
              <w:spacing w:after="156" w:afterLines="50" w:line="200" w:lineRule="exact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Total</w:t>
            </w:r>
          </w:p>
        </w:tc>
        <w:tc>
          <w:tcPr>
            <w:tcW w:w="3230" w:type="dxa"/>
            <w:shd w:val="clear" w:color="auto" w:fill="auto"/>
            <w:noWrap/>
            <w:vAlign w:val="center"/>
          </w:tcPr>
          <w:p>
            <w:pPr>
              <w:widowControl/>
              <w:spacing w:after="156" w:afterLines="50" w:line="200" w:lineRule="exact"/>
              <w:rPr>
                <w:rFonts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spacing w:after="156" w:afterLines="50" w:line="200" w:lineRule="exact"/>
              <w:jc w:val="center"/>
              <w:rPr>
                <w:rFonts w:eastAsia="等线" w:cs="Times New Roman"/>
                <w:color w:val="000000"/>
                <w:kern w:val="0"/>
                <w:sz w:val="22"/>
              </w:rPr>
            </w:pPr>
            <w:r>
              <w:rPr>
                <w:rFonts w:eastAsia="等线" w:cs="Times New Roman"/>
                <w:color w:val="000000"/>
                <w:kern w:val="0"/>
                <w:sz w:val="22"/>
              </w:rPr>
              <w:t>5.3</w:t>
            </w:r>
          </w:p>
        </w:tc>
      </w:tr>
    </w:tbl>
    <w:p/>
    <w:p>
      <w:r>
        <w:t xml:space="preserve">4 categories to judge the meta-evidence: high, moderate, low, and very low. </w:t>
      </w:r>
      <w:r>
        <w:rPr>
          <w:rFonts w:hint="eastAsia"/>
        </w:rPr>
        <w:t>≥</w:t>
      </w:r>
      <w:r>
        <w:t>8 points (high meta-evidence); 6–7.99 points (moderate meta-evidence); 4–5.99 points (low meta evidence); and 0–3.99 points (very low meta-evidence)</w:t>
      </w:r>
      <w:r>
        <w:rPr>
          <w:rFonts w:hint="eastAsia"/>
        </w:rPr>
        <w:t>.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A58"/>
    <w:rsid w:val="000D46B9"/>
    <w:rsid w:val="00360B22"/>
    <w:rsid w:val="00534385"/>
    <w:rsid w:val="005868BD"/>
    <w:rsid w:val="005976CF"/>
    <w:rsid w:val="005F21F8"/>
    <w:rsid w:val="00B67CFD"/>
    <w:rsid w:val="00B8717F"/>
    <w:rsid w:val="00DD40F3"/>
    <w:rsid w:val="00E37A58"/>
    <w:rsid w:val="00E8606B"/>
    <w:rsid w:val="00EA510B"/>
    <w:rsid w:val="00F10C42"/>
    <w:rsid w:val="7AFE37B0"/>
    <w:rsid w:val="7BE60E80"/>
    <w:rsid w:val="AFFF4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4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/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/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715</Characters>
  <Lines>5</Lines>
  <Paragraphs>1</Paragraphs>
  <TotalTime>7</TotalTime>
  <ScaleCrop>false</ScaleCrop>
  <LinksUpToDate>false</LinksUpToDate>
  <CharactersWithSpaces>839</CharactersWithSpaces>
  <Application>WPS Office_4.2.2.6882_F1E327BC-269C-435d-A152-05C5408002CA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2022-06-05T11:32:00Z</dcterms:created>
  <dc:creator>莫 忆</dc:creator>
  <cp:lastModifiedBy>何瑾</cp:lastModifiedBy>
  <dcterms:modified xsi:type="dcterms:W3CDTF">2022-06-06T14:53:57Z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2052-4.2.2.6882</vt:lpwstr>
  </property>
  <property fmtid="{D5CDD505-2E9C-101B-9397-08002B2CF9AE}" pid="3" name="ICV">
    <vt:lpwstr>E79BF246CFEC4689CDA39D629544CE4C</vt:lpwstr>
  </property>
</Properties>
</file>