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432FC" w14:textId="29F63027" w:rsidR="00F90B2E" w:rsidRPr="008A7DEA" w:rsidRDefault="008A7DEA" w:rsidP="001E5327">
      <w:pPr>
        <w:pStyle w:val="a8"/>
        <w:keepNext/>
        <w:spacing w:before="120"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7DEA">
        <w:rPr>
          <w:rFonts w:ascii="Times New Roman" w:hAnsi="Times New Roman" w:cs="Times New Roman"/>
          <w:sz w:val="24"/>
          <w:szCs w:val="24"/>
        </w:rPr>
        <w:t>Supplementa</w:t>
      </w:r>
      <w:r w:rsidR="00C77051">
        <w:rPr>
          <w:rFonts w:ascii="Times New Roman" w:hAnsi="Times New Roman" w:cs="Times New Roman"/>
          <w:sz w:val="24"/>
          <w:szCs w:val="24"/>
        </w:rPr>
        <w:t>l</w:t>
      </w:r>
      <w:r w:rsidRPr="008A7DEA">
        <w:rPr>
          <w:rFonts w:ascii="Times New Roman" w:hAnsi="Times New Roman" w:cs="Times New Roman"/>
          <w:sz w:val="24"/>
          <w:szCs w:val="24"/>
        </w:rPr>
        <w:t xml:space="preserve"> </w:t>
      </w:r>
      <w:r w:rsidR="00F90B2E" w:rsidRPr="008A7DEA">
        <w:rPr>
          <w:rFonts w:ascii="Times New Roman" w:hAnsi="Times New Roman" w:cs="Times New Roman"/>
          <w:sz w:val="24"/>
          <w:szCs w:val="24"/>
        </w:rPr>
        <w:t xml:space="preserve">Table </w:t>
      </w:r>
      <w:r w:rsidRPr="008A7DEA">
        <w:rPr>
          <w:rFonts w:ascii="Times New Roman" w:hAnsi="Times New Roman" w:cs="Times New Roman"/>
          <w:sz w:val="24"/>
          <w:szCs w:val="24"/>
        </w:rPr>
        <w:t xml:space="preserve">1. </w:t>
      </w:r>
      <w:r w:rsidR="00F90B2E" w:rsidRPr="008A7DEA">
        <w:rPr>
          <w:rFonts w:ascii="Times New Roman" w:hAnsi="Times New Roman" w:cs="Times New Roman"/>
          <w:sz w:val="24"/>
          <w:szCs w:val="24"/>
        </w:rPr>
        <w:t>The definitions of</w:t>
      </w:r>
      <w:r w:rsidRPr="008A7DEA">
        <w:rPr>
          <w:rFonts w:ascii="Times New Roman" w:hAnsi="Times New Roman" w:cs="Times New Roman"/>
          <w:sz w:val="24"/>
          <w:szCs w:val="24"/>
        </w:rPr>
        <w:t xml:space="preserve"> clinical</w:t>
      </w:r>
      <w:r w:rsidR="00F90B2E" w:rsidRPr="008A7DEA">
        <w:rPr>
          <w:rFonts w:ascii="Times New Roman" w:hAnsi="Times New Roman" w:cs="Times New Roman"/>
          <w:sz w:val="24"/>
          <w:szCs w:val="24"/>
        </w:rPr>
        <w:t xml:space="preserve"> outcomes</w:t>
      </w:r>
    </w:p>
    <w:tbl>
      <w:tblPr>
        <w:tblStyle w:val="a7"/>
        <w:tblpPr w:leftFromText="180" w:rightFromText="180" w:vertAnchor="text" w:horzAnchor="margin" w:tblpY="1"/>
        <w:tblW w:w="8359" w:type="dxa"/>
        <w:tblLook w:val="04A0" w:firstRow="1" w:lastRow="0" w:firstColumn="1" w:lastColumn="0" w:noHBand="0" w:noVBand="1"/>
      </w:tblPr>
      <w:tblGrid>
        <w:gridCol w:w="2263"/>
        <w:gridCol w:w="6096"/>
      </w:tblGrid>
      <w:tr w:rsidR="00F90B2E" w:rsidRPr="008A7DEA" w14:paraId="1FDD0485" w14:textId="77777777" w:rsidTr="009E1671">
        <w:trPr>
          <w:trHeight w:val="624"/>
        </w:trPr>
        <w:tc>
          <w:tcPr>
            <w:tcW w:w="2263" w:type="dxa"/>
            <w:vAlign w:val="center"/>
          </w:tcPr>
          <w:p w14:paraId="65011E38" w14:textId="77777777" w:rsidR="00F90B2E" w:rsidRPr="008A7DEA" w:rsidRDefault="00F90B2E" w:rsidP="001E532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EA">
              <w:rPr>
                <w:rFonts w:ascii="Times New Roman" w:hAnsi="Times New Roman" w:cs="Times New Roman"/>
                <w:sz w:val="20"/>
                <w:szCs w:val="20"/>
              </w:rPr>
              <w:t>Clinical pregnancy</w:t>
            </w:r>
          </w:p>
        </w:tc>
        <w:tc>
          <w:tcPr>
            <w:tcW w:w="6096" w:type="dxa"/>
            <w:vAlign w:val="center"/>
          </w:tcPr>
          <w:p w14:paraId="76F13DCE" w14:textId="227304C8" w:rsidR="00F90B2E" w:rsidRPr="008A7DEA" w:rsidRDefault="00F90B2E" w:rsidP="001E5327">
            <w:pPr>
              <w:tabs>
                <w:tab w:val="left" w:pos="111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EA">
              <w:rPr>
                <w:rFonts w:ascii="Times New Roman" w:hAnsi="Times New Roman" w:cs="Times New Roman"/>
                <w:sz w:val="20"/>
                <w:szCs w:val="20"/>
              </w:rPr>
              <w:t>Defined as the presence of one gestational sac at 7 weeks of gestation after embryo transfer</w:t>
            </w:r>
            <w:r w:rsidR="00DB7B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B7B87" w:rsidRPr="009E167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[1</w:t>
            </w:r>
            <w:r w:rsidR="00585B6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9</w:t>
            </w:r>
            <w:r w:rsidR="00DB7B87" w:rsidRPr="009E167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]</w:t>
            </w:r>
            <w:r w:rsidR="00DB7B8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90B2E" w:rsidRPr="008A7DEA" w14:paraId="21017A6B" w14:textId="77777777" w:rsidTr="009E1671">
        <w:trPr>
          <w:trHeight w:val="624"/>
        </w:trPr>
        <w:tc>
          <w:tcPr>
            <w:tcW w:w="2263" w:type="dxa"/>
            <w:vAlign w:val="center"/>
          </w:tcPr>
          <w:p w14:paraId="7D031F61" w14:textId="77777777" w:rsidR="00F90B2E" w:rsidRPr="008A7DEA" w:rsidRDefault="00F90B2E" w:rsidP="001E532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7DEA">
              <w:rPr>
                <w:rFonts w:ascii="Times New Roman" w:hAnsi="Times New Roman" w:cs="Times New Roman"/>
                <w:sz w:val="20"/>
                <w:szCs w:val="20"/>
              </w:rPr>
              <w:t>Early miscarriage</w:t>
            </w:r>
          </w:p>
        </w:tc>
        <w:tc>
          <w:tcPr>
            <w:tcW w:w="6096" w:type="dxa"/>
            <w:vAlign w:val="center"/>
          </w:tcPr>
          <w:p w14:paraId="7BD7CDDC" w14:textId="7C643A16" w:rsidR="00F90B2E" w:rsidRPr="008A7DEA" w:rsidRDefault="00F90B2E" w:rsidP="001E5327">
            <w:pPr>
              <w:tabs>
                <w:tab w:val="left" w:pos="111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EA">
              <w:rPr>
                <w:rFonts w:ascii="Times New Roman" w:hAnsi="Times New Roman" w:cs="Times New Roman"/>
                <w:sz w:val="20"/>
                <w:szCs w:val="20"/>
              </w:rPr>
              <w:t>Defined as pregnancy loss before 12 weeks of gestation</w:t>
            </w:r>
            <w:r w:rsidR="00DB7B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B7B87" w:rsidRPr="009E167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[</w:t>
            </w:r>
            <w:r w:rsidR="00585B6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20</w:t>
            </w:r>
            <w:r w:rsidR="00DB7B87" w:rsidRPr="009E167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]</w:t>
            </w:r>
            <w:r w:rsidR="00DB7B8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90B2E" w:rsidRPr="008A7DEA" w14:paraId="6032B442" w14:textId="77777777" w:rsidTr="009E1671">
        <w:trPr>
          <w:trHeight w:val="624"/>
        </w:trPr>
        <w:tc>
          <w:tcPr>
            <w:tcW w:w="2263" w:type="dxa"/>
            <w:vAlign w:val="center"/>
          </w:tcPr>
          <w:p w14:paraId="50C21A56" w14:textId="4B665EAF" w:rsidR="00F90B2E" w:rsidRPr="008A7DEA" w:rsidRDefault="00F90B2E" w:rsidP="001E532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EA">
              <w:rPr>
                <w:rFonts w:ascii="Times New Roman" w:hAnsi="Times New Roman" w:cs="Times New Roman"/>
                <w:sz w:val="20"/>
                <w:szCs w:val="20"/>
              </w:rPr>
              <w:t>Late miscarriage</w:t>
            </w:r>
          </w:p>
        </w:tc>
        <w:tc>
          <w:tcPr>
            <w:tcW w:w="6096" w:type="dxa"/>
            <w:vAlign w:val="center"/>
          </w:tcPr>
          <w:p w14:paraId="41792950" w14:textId="14FA011E" w:rsidR="00F90B2E" w:rsidRPr="008A7DEA" w:rsidRDefault="00F90B2E" w:rsidP="001E5327">
            <w:pPr>
              <w:tabs>
                <w:tab w:val="left" w:pos="111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EA">
              <w:rPr>
                <w:rFonts w:ascii="Times New Roman" w:hAnsi="Times New Roman" w:cs="Times New Roman"/>
                <w:sz w:val="20"/>
                <w:szCs w:val="20"/>
              </w:rPr>
              <w:t>Defined as pregnancy loss between 12-24 weeks of gestation</w:t>
            </w:r>
            <w:r w:rsidR="00DB7B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B7B87" w:rsidRPr="009E167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[</w:t>
            </w:r>
            <w:r w:rsidR="00585B6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20</w:t>
            </w:r>
            <w:r w:rsidR="00DB7B87" w:rsidRPr="009E167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]</w:t>
            </w:r>
            <w:r w:rsidR="00DB7B8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90B2E" w:rsidRPr="008A7DEA" w14:paraId="3CF46A6E" w14:textId="77777777" w:rsidTr="009E1671">
        <w:trPr>
          <w:trHeight w:val="624"/>
        </w:trPr>
        <w:tc>
          <w:tcPr>
            <w:tcW w:w="2263" w:type="dxa"/>
            <w:vAlign w:val="center"/>
          </w:tcPr>
          <w:p w14:paraId="143A2BC9" w14:textId="784D2914" w:rsidR="00F90B2E" w:rsidRPr="008A7DEA" w:rsidRDefault="00DB7B87" w:rsidP="001E532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F90B2E" w:rsidRPr="008A7DEA">
              <w:rPr>
                <w:rFonts w:ascii="Times New Roman" w:hAnsi="Times New Roman" w:cs="Times New Roman"/>
                <w:sz w:val="20"/>
                <w:szCs w:val="20"/>
              </w:rPr>
              <w:t>reeclampsia</w:t>
            </w:r>
          </w:p>
        </w:tc>
        <w:tc>
          <w:tcPr>
            <w:tcW w:w="6096" w:type="dxa"/>
            <w:vAlign w:val="center"/>
          </w:tcPr>
          <w:p w14:paraId="16AE6F66" w14:textId="3A6941F8" w:rsidR="00F90B2E" w:rsidRPr="008A7DEA" w:rsidRDefault="00F90B2E" w:rsidP="001E532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08826047"/>
            <w:r w:rsidRPr="008A7DEA">
              <w:rPr>
                <w:rFonts w:ascii="Times New Roman" w:hAnsi="Times New Roman" w:cs="Times New Roman"/>
                <w:sz w:val="20"/>
                <w:szCs w:val="20"/>
              </w:rPr>
              <w:t xml:space="preserve">Defined as gestational hypertension </w:t>
            </w:r>
            <w:r w:rsidR="00DB7B87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8A7DEA">
              <w:rPr>
                <w:rFonts w:ascii="Times New Roman" w:hAnsi="Times New Roman" w:cs="Times New Roman"/>
                <w:sz w:val="20"/>
                <w:szCs w:val="20"/>
              </w:rPr>
              <w:t>blood pressure ≥ 140/90 mmHg</w:t>
            </w:r>
            <w:r w:rsidR="00DB7B87">
              <w:rPr>
                <w:rFonts w:ascii="Times New Roman" w:hAnsi="Times New Roman" w:cs="Times New Roman"/>
                <w:sz w:val="20"/>
                <w:szCs w:val="20"/>
              </w:rPr>
              <w:t>],</w:t>
            </w:r>
            <w:r w:rsidRPr="008A7DEA">
              <w:rPr>
                <w:rFonts w:ascii="Times New Roman" w:hAnsi="Times New Roman" w:cs="Times New Roman"/>
                <w:sz w:val="20"/>
                <w:szCs w:val="20"/>
              </w:rPr>
              <w:t xml:space="preserve"> proteinuria plus organ dysfunction after 20 weeks of gestation</w:t>
            </w:r>
            <w:bookmarkEnd w:id="0"/>
            <w:r w:rsidR="00DB7B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B7B87" w:rsidRPr="009E167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[</w:t>
            </w:r>
            <w:r w:rsidR="00585B6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21</w:t>
            </w:r>
            <w:r w:rsidR="00DB7B87" w:rsidRPr="009E167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]</w:t>
            </w:r>
            <w:r w:rsidR="00DB7B8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90B2E" w:rsidRPr="008A7DEA" w14:paraId="7231820C" w14:textId="77777777" w:rsidTr="009E1671">
        <w:trPr>
          <w:trHeight w:val="624"/>
        </w:trPr>
        <w:tc>
          <w:tcPr>
            <w:tcW w:w="2263" w:type="dxa"/>
            <w:vAlign w:val="center"/>
          </w:tcPr>
          <w:p w14:paraId="07A3D7A7" w14:textId="43FD2818" w:rsidR="00F90B2E" w:rsidRPr="008A7DEA" w:rsidRDefault="006C1A1B" w:rsidP="001E532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F90B2E" w:rsidRPr="008A7DEA">
              <w:rPr>
                <w:rFonts w:ascii="Times New Roman" w:hAnsi="Times New Roman" w:cs="Times New Roman"/>
                <w:sz w:val="20"/>
                <w:szCs w:val="20"/>
              </w:rPr>
              <w:t>regnancy-induced hypertension syndrome</w:t>
            </w:r>
          </w:p>
        </w:tc>
        <w:tc>
          <w:tcPr>
            <w:tcW w:w="6096" w:type="dxa"/>
            <w:vAlign w:val="center"/>
          </w:tcPr>
          <w:p w14:paraId="3394E567" w14:textId="40B93A5A" w:rsidR="00F90B2E" w:rsidRPr="008A7DEA" w:rsidRDefault="00585B6E" w:rsidP="001E532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F90B2E" w:rsidRPr="008A7DEA">
              <w:rPr>
                <w:rFonts w:ascii="Times New Roman" w:hAnsi="Times New Roman" w:cs="Times New Roman"/>
                <w:sz w:val="20"/>
                <w:szCs w:val="20"/>
              </w:rPr>
              <w:t xml:space="preserve">efined as hypertension </w:t>
            </w:r>
            <w:r w:rsidR="00DB7B87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F90B2E" w:rsidRPr="008A7DEA">
              <w:rPr>
                <w:rFonts w:ascii="Times New Roman" w:hAnsi="Times New Roman" w:cs="Times New Roman"/>
                <w:sz w:val="20"/>
                <w:szCs w:val="20"/>
              </w:rPr>
              <w:t>blood pressure ≥ 140/90 mmHg</w:t>
            </w:r>
            <w:r w:rsidR="00DB7B87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F90B2E" w:rsidRPr="008A7DEA">
              <w:rPr>
                <w:rFonts w:ascii="Times New Roman" w:hAnsi="Times New Roman" w:cs="Times New Roman"/>
                <w:sz w:val="20"/>
                <w:szCs w:val="20"/>
              </w:rPr>
              <w:t xml:space="preserve"> after 20 weeks of gestation, but resolving up to 12 weeks postpartum</w:t>
            </w:r>
            <w:r w:rsidR="006C1A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C1A1B" w:rsidRPr="009E167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22</w:t>
            </w:r>
            <w:r w:rsidR="006C1A1B" w:rsidRPr="009E167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]</w:t>
            </w:r>
            <w:r w:rsidR="006C1A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90B2E" w:rsidRPr="008A7DEA" w14:paraId="6C1483CA" w14:textId="77777777" w:rsidTr="009E1671">
        <w:trPr>
          <w:trHeight w:val="624"/>
        </w:trPr>
        <w:tc>
          <w:tcPr>
            <w:tcW w:w="2263" w:type="dxa"/>
            <w:vAlign w:val="center"/>
          </w:tcPr>
          <w:p w14:paraId="7056FA32" w14:textId="4F3028F8" w:rsidR="00F90B2E" w:rsidRPr="008A7DEA" w:rsidRDefault="00F90B2E" w:rsidP="001E532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EA">
              <w:rPr>
                <w:rFonts w:ascii="Times New Roman" w:hAnsi="Times New Roman" w:cs="Times New Roman"/>
                <w:sz w:val="20"/>
                <w:szCs w:val="20"/>
              </w:rPr>
              <w:t xml:space="preserve">Gestational </w:t>
            </w:r>
            <w:r w:rsidR="004F7F45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8A7DEA">
              <w:rPr>
                <w:rFonts w:ascii="Times New Roman" w:hAnsi="Times New Roman" w:cs="Times New Roman"/>
                <w:sz w:val="20"/>
                <w:szCs w:val="20"/>
              </w:rPr>
              <w:t xml:space="preserve">iabetes </w:t>
            </w:r>
            <w:r w:rsidR="004F7F4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8A7DEA">
              <w:rPr>
                <w:rFonts w:ascii="Times New Roman" w:hAnsi="Times New Roman" w:cs="Times New Roman"/>
                <w:sz w:val="20"/>
                <w:szCs w:val="20"/>
              </w:rPr>
              <w:t>ellitus</w:t>
            </w:r>
          </w:p>
        </w:tc>
        <w:tc>
          <w:tcPr>
            <w:tcW w:w="6096" w:type="dxa"/>
            <w:vAlign w:val="center"/>
          </w:tcPr>
          <w:p w14:paraId="53C94979" w14:textId="68930112" w:rsidR="00F90B2E" w:rsidRPr="008A7DEA" w:rsidRDefault="00F90B2E" w:rsidP="001E532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EA">
              <w:rPr>
                <w:rFonts w:ascii="Times New Roman" w:hAnsi="Times New Roman" w:cs="Times New Roman"/>
                <w:sz w:val="20"/>
                <w:szCs w:val="20"/>
              </w:rPr>
              <w:t>Defined as the occurrence or discovery of abnormal glucose metabolism during pregnancy</w:t>
            </w:r>
            <w:r w:rsidR="006C1A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C1A1B" w:rsidRPr="009E167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[</w:t>
            </w:r>
            <w:r w:rsidR="00585B6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23</w:t>
            </w:r>
            <w:r w:rsidR="006C1A1B" w:rsidRPr="009E167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]</w:t>
            </w:r>
            <w:r w:rsidR="006C1A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90B2E" w:rsidRPr="008A7DEA" w14:paraId="33496770" w14:textId="77777777" w:rsidTr="009E1671">
        <w:trPr>
          <w:trHeight w:val="624"/>
        </w:trPr>
        <w:tc>
          <w:tcPr>
            <w:tcW w:w="2263" w:type="dxa"/>
            <w:vAlign w:val="center"/>
          </w:tcPr>
          <w:p w14:paraId="6A10DE9B" w14:textId="3594B065" w:rsidR="00F90B2E" w:rsidRPr="008A7DEA" w:rsidRDefault="006C1A1B" w:rsidP="001E532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F90B2E" w:rsidRPr="008A7DEA">
              <w:rPr>
                <w:rFonts w:ascii="Times New Roman" w:hAnsi="Times New Roman" w:cs="Times New Roman"/>
                <w:sz w:val="20"/>
                <w:szCs w:val="20"/>
              </w:rPr>
              <w:t>lacenta previa</w:t>
            </w:r>
          </w:p>
        </w:tc>
        <w:tc>
          <w:tcPr>
            <w:tcW w:w="6096" w:type="dxa"/>
            <w:vAlign w:val="center"/>
          </w:tcPr>
          <w:p w14:paraId="2438D4D3" w14:textId="7A24C024" w:rsidR="00F90B2E" w:rsidRPr="008A7DEA" w:rsidRDefault="00585B6E" w:rsidP="001E5327">
            <w:pPr>
              <w:spacing w:line="360" w:lineRule="auto"/>
              <w:ind w:left="105" w:hanging="105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108826196"/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F90B2E" w:rsidRPr="008A7DEA">
              <w:rPr>
                <w:rFonts w:ascii="Times New Roman" w:hAnsi="Times New Roman" w:cs="Times New Roman"/>
                <w:sz w:val="20"/>
                <w:szCs w:val="20"/>
              </w:rPr>
              <w:t>efer to lower placental edge overlapping or within 2 cm of the internal cervical orifice in late pregnancy</w:t>
            </w:r>
            <w:r w:rsidR="006C1A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C1A1B" w:rsidRPr="009E167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24</w:t>
            </w:r>
            <w:r w:rsidR="006C1A1B" w:rsidRPr="009E167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]</w:t>
            </w:r>
            <w:r w:rsidR="00F90B2E" w:rsidRPr="008A7DE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bookmarkEnd w:id="1"/>
          </w:p>
        </w:tc>
      </w:tr>
      <w:tr w:rsidR="00F90B2E" w:rsidRPr="008A7DEA" w14:paraId="24F51116" w14:textId="77777777" w:rsidTr="009E1671">
        <w:trPr>
          <w:trHeight w:val="624"/>
        </w:trPr>
        <w:tc>
          <w:tcPr>
            <w:tcW w:w="2263" w:type="dxa"/>
            <w:vAlign w:val="center"/>
          </w:tcPr>
          <w:p w14:paraId="221203CA" w14:textId="5223460E" w:rsidR="00F90B2E" w:rsidRPr="008A7DEA" w:rsidRDefault="006C1A1B" w:rsidP="001E532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F90B2E" w:rsidRPr="008A7DEA">
              <w:rPr>
                <w:rFonts w:ascii="Times New Roman" w:hAnsi="Times New Roman" w:cs="Times New Roman"/>
                <w:sz w:val="20"/>
                <w:szCs w:val="20"/>
              </w:rPr>
              <w:t>remature rupture of membrane</w:t>
            </w:r>
          </w:p>
        </w:tc>
        <w:tc>
          <w:tcPr>
            <w:tcW w:w="6096" w:type="dxa"/>
            <w:vAlign w:val="center"/>
          </w:tcPr>
          <w:p w14:paraId="28281687" w14:textId="70A7C437" w:rsidR="00F90B2E" w:rsidRPr="008A7DEA" w:rsidRDefault="00F90B2E" w:rsidP="001E532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EA">
              <w:rPr>
                <w:rFonts w:ascii="Times New Roman" w:hAnsi="Times New Roman" w:cs="Times New Roman"/>
                <w:sz w:val="20"/>
                <w:szCs w:val="20"/>
              </w:rPr>
              <w:t>Defined as the rupture of membranes prior to delivery</w:t>
            </w:r>
            <w:r w:rsidR="006C1A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C1A1B" w:rsidRPr="009E167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[2</w:t>
            </w:r>
            <w:r w:rsidR="00585B6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  <w:r w:rsidR="006C1A1B" w:rsidRPr="009E167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]</w:t>
            </w:r>
            <w:r w:rsidR="006C1A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90B2E" w:rsidRPr="008A7DEA" w14:paraId="5ED5A525" w14:textId="77777777" w:rsidTr="009E1671">
        <w:trPr>
          <w:trHeight w:val="624"/>
        </w:trPr>
        <w:tc>
          <w:tcPr>
            <w:tcW w:w="2263" w:type="dxa"/>
            <w:vAlign w:val="center"/>
          </w:tcPr>
          <w:p w14:paraId="689D3CE0" w14:textId="77777777" w:rsidR="00F90B2E" w:rsidRPr="008A7DEA" w:rsidRDefault="00F90B2E" w:rsidP="001E532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EA">
              <w:rPr>
                <w:rFonts w:ascii="Times New Roman" w:hAnsi="Times New Roman" w:cs="Times New Roman"/>
                <w:sz w:val="20"/>
                <w:szCs w:val="20"/>
              </w:rPr>
              <w:t>Fetal distress</w:t>
            </w:r>
          </w:p>
        </w:tc>
        <w:tc>
          <w:tcPr>
            <w:tcW w:w="6096" w:type="dxa"/>
            <w:vAlign w:val="center"/>
          </w:tcPr>
          <w:p w14:paraId="73354CF1" w14:textId="152CD3DB" w:rsidR="00F90B2E" w:rsidRPr="008A7DEA" w:rsidRDefault="00585B6E" w:rsidP="001E532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F90B2E" w:rsidRPr="008A7DEA">
              <w:rPr>
                <w:rFonts w:ascii="Times New Roman" w:hAnsi="Times New Roman" w:cs="Times New Roman"/>
                <w:sz w:val="20"/>
                <w:szCs w:val="20"/>
              </w:rPr>
              <w:t>efer to</w:t>
            </w:r>
            <w:r w:rsidR="00F90B2E" w:rsidRPr="008A7DEA">
              <w:rPr>
                <w:rFonts w:ascii="Times New Roman" w:hAnsi="Times New Roman" w:cs="Times New Roman"/>
                <w:color w:val="2E3033"/>
                <w:sz w:val="20"/>
                <w:szCs w:val="20"/>
                <w:shd w:val="clear" w:color="auto" w:fill="FFFFFF"/>
              </w:rPr>
              <w:t xml:space="preserve"> the presence of fetal heart trace, with or without fetal acidosis</w:t>
            </w:r>
            <w:r w:rsidR="006C1A1B">
              <w:rPr>
                <w:rFonts w:ascii="Times New Roman" w:hAnsi="Times New Roman" w:cs="Times New Roman"/>
                <w:color w:val="2E3033"/>
                <w:sz w:val="20"/>
                <w:szCs w:val="20"/>
                <w:shd w:val="clear" w:color="auto" w:fill="FFFFFF"/>
              </w:rPr>
              <w:t xml:space="preserve"> </w:t>
            </w:r>
            <w:r w:rsidR="006C1A1B" w:rsidRPr="009E1671">
              <w:rPr>
                <w:rFonts w:ascii="Times New Roman" w:hAnsi="Times New Roman" w:cs="Times New Roman"/>
                <w:color w:val="2E3033"/>
                <w:sz w:val="20"/>
                <w:szCs w:val="20"/>
                <w:shd w:val="clear" w:color="auto" w:fill="FFFFFF"/>
                <w:vertAlign w:val="superscript"/>
              </w:rPr>
              <w:t>[2</w:t>
            </w:r>
            <w:r>
              <w:rPr>
                <w:rFonts w:ascii="Times New Roman" w:hAnsi="Times New Roman" w:cs="Times New Roman"/>
                <w:color w:val="2E3033"/>
                <w:sz w:val="20"/>
                <w:szCs w:val="20"/>
                <w:shd w:val="clear" w:color="auto" w:fill="FFFFFF"/>
                <w:vertAlign w:val="superscript"/>
              </w:rPr>
              <w:t>6</w:t>
            </w:r>
            <w:r w:rsidR="006C1A1B" w:rsidRPr="009E1671">
              <w:rPr>
                <w:rFonts w:ascii="Times New Roman" w:hAnsi="Times New Roman" w:cs="Times New Roman"/>
                <w:color w:val="2E3033"/>
                <w:sz w:val="20"/>
                <w:szCs w:val="20"/>
                <w:shd w:val="clear" w:color="auto" w:fill="FFFFFF"/>
                <w:vertAlign w:val="superscript"/>
              </w:rPr>
              <w:t>]</w:t>
            </w:r>
            <w:r w:rsidR="00F90B2E" w:rsidRPr="008A7DEA">
              <w:rPr>
                <w:rFonts w:ascii="Times New Roman" w:hAnsi="Times New Roman" w:cs="Times New Roman"/>
                <w:color w:val="2E3033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F90B2E" w:rsidRPr="008A7DEA" w14:paraId="44917C9C" w14:textId="77777777" w:rsidTr="009E1671">
        <w:trPr>
          <w:trHeight w:val="624"/>
        </w:trPr>
        <w:tc>
          <w:tcPr>
            <w:tcW w:w="2263" w:type="dxa"/>
            <w:vAlign w:val="center"/>
          </w:tcPr>
          <w:p w14:paraId="452D765A" w14:textId="31E9C22C" w:rsidR="00F90B2E" w:rsidRPr="008A7DEA" w:rsidRDefault="002B3BD4" w:rsidP="001E532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F90B2E" w:rsidRPr="008A7DEA">
              <w:rPr>
                <w:rFonts w:ascii="Times New Roman" w:hAnsi="Times New Roman" w:cs="Times New Roman"/>
                <w:sz w:val="20"/>
                <w:szCs w:val="20"/>
              </w:rPr>
              <w:t>ligohydramnios</w:t>
            </w:r>
          </w:p>
        </w:tc>
        <w:tc>
          <w:tcPr>
            <w:tcW w:w="6096" w:type="dxa"/>
            <w:vAlign w:val="center"/>
          </w:tcPr>
          <w:p w14:paraId="7C222279" w14:textId="4EC496C9" w:rsidR="00F90B2E" w:rsidRPr="008A7DEA" w:rsidRDefault="00585B6E" w:rsidP="001E532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F90B2E" w:rsidRPr="008A7DEA">
              <w:rPr>
                <w:rFonts w:ascii="Times New Roman" w:hAnsi="Times New Roman" w:cs="Times New Roman"/>
                <w:sz w:val="20"/>
                <w:szCs w:val="20"/>
              </w:rPr>
              <w:t xml:space="preserve">efer to the maximum vertical depth of </w:t>
            </w:r>
            <w:r w:rsidR="002B3BD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="00F90B2E" w:rsidRPr="008A7DEA">
              <w:rPr>
                <w:rFonts w:ascii="Times New Roman" w:hAnsi="Times New Roman" w:cs="Times New Roman"/>
                <w:sz w:val="20"/>
                <w:szCs w:val="20"/>
              </w:rPr>
              <w:t>amniotic fluid pool or amniotic fluid &lt; 2 cm</w:t>
            </w:r>
            <w:r w:rsidR="002B3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B3BD4" w:rsidRPr="009E167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[2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7</w:t>
            </w:r>
            <w:r w:rsidR="002B3BD4" w:rsidRPr="009E167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]</w:t>
            </w:r>
            <w:r w:rsidR="002B3BD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90B2E" w:rsidRPr="008A7DEA" w14:paraId="19DFFB83" w14:textId="77777777" w:rsidTr="009E1671">
        <w:trPr>
          <w:trHeight w:val="624"/>
        </w:trPr>
        <w:tc>
          <w:tcPr>
            <w:tcW w:w="2263" w:type="dxa"/>
            <w:vAlign w:val="center"/>
          </w:tcPr>
          <w:p w14:paraId="1C6641DE" w14:textId="55D45A30" w:rsidR="00F90B2E" w:rsidRPr="008A7DEA" w:rsidRDefault="002B3BD4" w:rsidP="001E532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F90B2E" w:rsidRPr="008A7DEA">
              <w:rPr>
                <w:rFonts w:ascii="Times New Roman" w:hAnsi="Times New Roman" w:cs="Times New Roman"/>
                <w:sz w:val="20"/>
                <w:szCs w:val="20"/>
              </w:rPr>
              <w:t>acrosomia</w:t>
            </w:r>
          </w:p>
        </w:tc>
        <w:tc>
          <w:tcPr>
            <w:tcW w:w="6096" w:type="dxa"/>
            <w:vAlign w:val="center"/>
          </w:tcPr>
          <w:p w14:paraId="19F9A948" w14:textId="6F898E78" w:rsidR="00F90B2E" w:rsidRPr="008A7DEA" w:rsidRDefault="00585B6E" w:rsidP="001E532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F90B2E" w:rsidRPr="008A7DEA">
              <w:rPr>
                <w:rFonts w:ascii="Times New Roman" w:hAnsi="Times New Roman" w:cs="Times New Roman"/>
                <w:sz w:val="20"/>
                <w:szCs w:val="20"/>
              </w:rPr>
              <w:t>efined as birth weight ≥ 4000</w:t>
            </w:r>
            <w:r w:rsidR="00A347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90B2E" w:rsidRPr="008A7DEA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2B3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B3BD4" w:rsidRPr="009E167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[2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8</w:t>
            </w:r>
            <w:r w:rsidR="002B3BD4" w:rsidRPr="009E167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]</w:t>
            </w:r>
            <w:r w:rsidR="002B3BD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90B2E" w:rsidRPr="008A7DEA" w14:paraId="6B193C15" w14:textId="77777777" w:rsidTr="009E1671">
        <w:trPr>
          <w:trHeight w:val="624"/>
        </w:trPr>
        <w:tc>
          <w:tcPr>
            <w:tcW w:w="2263" w:type="dxa"/>
            <w:vAlign w:val="center"/>
          </w:tcPr>
          <w:p w14:paraId="40C08796" w14:textId="77777777" w:rsidR="00F90B2E" w:rsidRPr="008A7DEA" w:rsidRDefault="00F90B2E" w:rsidP="001E532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EA">
              <w:rPr>
                <w:rFonts w:ascii="Times New Roman" w:hAnsi="Times New Roman" w:cs="Times New Roman"/>
                <w:sz w:val="20"/>
                <w:szCs w:val="20"/>
              </w:rPr>
              <w:t>Preterm birth</w:t>
            </w:r>
          </w:p>
        </w:tc>
        <w:tc>
          <w:tcPr>
            <w:tcW w:w="6096" w:type="dxa"/>
            <w:vAlign w:val="center"/>
          </w:tcPr>
          <w:p w14:paraId="351E6BC5" w14:textId="2597F4F0" w:rsidR="00F90B2E" w:rsidRPr="008A7DEA" w:rsidRDefault="00582A7B" w:rsidP="001E532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8A7DEA">
              <w:rPr>
                <w:rFonts w:ascii="Times New Roman" w:hAnsi="Times New Roman" w:cs="Times New Roman"/>
                <w:sz w:val="20"/>
                <w:szCs w:val="20"/>
              </w:rPr>
              <w:t>efined as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</w:t>
            </w:r>
            <w:r w:rsidR="00F90B2E" w:rsidRPr="008A7DEA">
              <w:rPr>
                <w:rFonts w:ascii="Times New Roman" w:hAnsi="Times New Roman" w:cs="Times New Roman"/>
                <w:sz w:val="20"/>
                <w:szCs w:val="20"/>
              </w:rPr>
              <w:t>elivery after 28 weeks of gestation but before 37 weeks of gestation</w:t>
            </w:r>
            <w:r w:rsidR="002B3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B3BD4" w:rsidRPr="009E167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[2</w:t>
            </w:r>
            <w:r w:rsidR="00585B6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9</w:t>
            </w:r>
            <w:r w:rsidR="002B3BD4" w:rsidRPr="009E167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]</w:t>
            </w:r>
            <w:r w:rsidR="00F90B2E" w:rsidRPr="008A7DE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90B2E" w:rsidRPr="008A7DEA" w14:paraId="0FE9DD38" w14:textId="77777777" w:rsidTr="009E1671">
        <w:trPr>
          <w:trHeight w:val="624"/>
        </w:trPr>
        <w:tc>
          <w:tcPr>
            <w:tcW w:w="2263" w:type="dxa"/>
            <w:vAlign w:val="center"/>
          </w:tcPr>
          <w:p w14:paraId="4222D176" w14:textId="77777777" w:rsidR="00F90B2E" w:rsidRPr="008A7DEA" w:rsidRDefault="00F90B2E" w:rsidP="001E532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EA">
              <w:rPr>
                <w:rFonts w:ascii="Times New Roman" w:hAnsi="Times New Roman" w:cs="Times New Roman"/>
                <w:sz w:val="20"/>
                <w:szCs w:val="20"/>
              </w:rPr>
              <w:t>Live birth</w:t>
            </w:r>
          </w:p>
        </w:tc>
        <w:tc>
          <w:tcPr>
            <w:tcW w:w="6096" w:type="dxa"/>
            <w:vAlign w:val="center"/>
          </w:tcPr>
          <w:p w14:paraId="4CCA81FE" w14:textId="4DB6C251" w:rsidR="00F90B2E" w:rsidRPr="008A7DEA" w:rsidRDefault="00F90B2E" w:rsidP="001E532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EA">
              <w:rPr>
                <w:rFonts w:ascii="Times New Roman" w:hAnsi="Times New Roman" w:cs="Times New Roman"/>
                <w:sz w:val="20"/>
                <w:szCs w:val="20"/>
              </w:rPr>
              <w:t>Defined as cycles with at least one live-born baby</w:t>
            </w:r>
            <w:r w:rsidR="002B3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B3BD4" w:rsidRPr="009E167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[</w:t>
            </w:r>
            <w:r w:rsidR="00585B6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19</w:t>
            </w:r>
            <w:r w:rsidR="002B3BD4" w:rsidRPr="009E167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]</w:t>
            </w:r>
            <w:r w:rsidRPr="008A7DE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1406A2B0" w14:textId="77777777" w:rsidR="00D16280" w:rsidRPr="008A7DEA" w:rsidRDefault="00D16280" w:rsidP="001E5327">
      <w:pPr>
        <w:spacing w:line="360" w:lineRule="auto"/>
        <w:rPr>
          <w:rFonts w:ascii="Times New Roman" w:hAnsi="Times New Roman" w:cs="Times New Roman"/>
        </w:rPr>
      </w:pPr>
    </w:p>
    <w:sectPr w:rsidR="00D16280" w:rsidRPr="008A7D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3F9AF" w14:textId="77777777" w:rsidR="009E6E1E" w:rsidRDefault="009E6E1E" w:rsidP="00F90B2E">
      <w:r>
        <w:separator/>
      </w:r>
    </w:p>
  </w:endnote>
  <w:endnote w:type="continuationSeparator" w:id="0">
    <w:p w14:paraId="64B28C16" w14:textId="77777777" w:rsidR="009E6E1E" w:rsidRDefault="009E6E1E" w:rsidP="00F90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EBC2E" w14:textId="77777777" w:rsidR="009E6E1E" w:rsidRDefault="009E6E1E" w:rsidP="00F90B2E">
      <w:r>
        <w:separator/>
      </w:r>
    </w:p>
  </w:footnote>
  <w:footnote w:type="continuationSeparator" w:id="0">
    <w:p w14:paraId="7006FFAF" w14:textId="77777777" w:rsidR="009E6E1E" w:rsidRDefault="009E6E1E" w:rsidP="00F90B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QxNzY3NTAxNjc3MTVT0lEKTi0uzszPAykwqwUAnKOfNCwAAAA="/>
  </w:docVars>
  <w:rsids>
    <w:rsidRoot w:val="009B44CC"/>
    <w:rsid w:val="000A3DD5"/>
    <w:rsid w:val="001E5327"/>
    <w:rsid w:val="00233C8B"/>
    <w:rsid w:val="002B3BD4"/>
    <w:rsid w:val="004F7F45"/>
    <w:rsid w:val="00582A7B"/>
    <w:rsid w:val="00585B6E"/>
    <w:rsid w:val="00613DA2"/>
    <w:rsid w:val="006C1A1B"/>
    <w:rsid w:val="00703F1F"/>
    <w:rsid w:val="007B665F"/>
    <w:rsid w:val="008A7DEA"/>
    <w:rsid w:val="008F21DA"/>
    <w:rsid w:val="009B44CC"/>
    <w:rsid w:val="009E1671"/>
    <w:rsid w:val="009E6E1E"/>
    <w:rsid w:val="00A3479D"/>
    <w:rsid w:val="00C77051"/>
    <w:rsid w:val="00D16280"/>
    <w:rsid w:val="00DB7B87"/>
    <w:rsid w:val="00DD27E6"/>
    <w:rsid w:val="00F90B2E"/>
    <w:rsid w:val="00FA5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AAF5E4"/>
  <w15:chartTrackingRefBased/>
  <w15:docId w15:val="{CFD24D35-AA03-4301-BF2B-52FCDAF27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0B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90B2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90B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90B2E"/>
    <w:rPr>
      <w:sz w:val="18"/>
      <w:szCs w:val="18"/>
    </w:rPr>
  </w:style>
  <w:style w:type="table" w:styleId="a7">
    <w:name w:val="Table Grid"/>
    <w:basedOn w:val="a1"/>
    <w:uiPriority w:val="39"/>
    <w:rsid w:val="00F90B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uiPriority w:val="35"/>
    <w:unhideWhenUsed/>
    <w:qFormat/>
    <w:rsid w:val="00F90B2E"/>
    <w:rPr>
      <w:rFonts w:asciiTheme="majorHAnsi" w:eastAsia="黑体" w:hAnsiTheme="majorHAnsi" w:cstheme="majorBidi"/>
      <w:sz w:val="20"/>
      <w:szCs w:val="20"/>
    </w:rPr>
  </w:style>
  <w:style w:type="paragraph" w:styleId="a9">
    <w:name w:val="Revision"/>
    <w:hidden/>
    <w:uiPriority w:val="99"/>
    <w:semiHidden/>
    <w:rsid w:val="004F7F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214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18</cp:revision>
  <dcterms:created xsi:type="dcterms:W3CDTF">2022-07-05T05:49:00Z</dcterms:created>
  <dcterms:modified xsi:type="dcterms:W3CDTF">2022-09-18T02:42:00Z</dcterms:modified>
</cp:coreProperties>
</file>