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959259" w14:textId="01086F94" w:rsidR="009970A7" w:rsidRPr="00FE2E6E" w:rsidRDefault="009970A7" w:rsidP="009970A7">
      <w:pPr>
        <w:spacing w:after="0" w:line="240" w:lineRule="auto"/>
        <w:rPr>
          <w:rStyle w:val="Heading1Char"/>
          <w:rFonts w:asciiTheme="minorHAnsi" w:hAnsiTheme="minorHAnsi" w:cstheme="minorHAnsi"/>
          <w:b/>
          <w:bCs/>
          <w:color w:val="auto"/>
          <w:sz w:val="22"/>
          <w:szCs w:val="22"/>
        </w:rPr>
      </w:pPr>
      <w:bookmarkStart w:id="0" w:name="_Toc102832383"/>
      <w:r w:rsidRPr="00FE2E6E">
        <w:rPr>
          <w:rStyle w:val="Heading1Char"/>
          <w:rFonts w:asciiTheme="minorHAnsi" w:hAnsiTheme="minorHAnsi" w:cstheme="minorHAnsi"/>
          <w:b/>
          <w:bCs/>
          <w:color w:val="auto"/>
          <w:sz w:val="22"/>
          <w:szCs w:val="22"/>
        </w:rPr>
        <w:t xml:space="preserve">Supplementary </w:t>
      </w:r>
      <w:r w:rsidR="00624E5B" w:rsidRPr="00FE2E6E">
        <w:rPr>
          <w:rStyle w:val="Heading1Char"/>
          <w:rFonts w:asciiTheme="minorHAnsi" w:hAnsiTheme="minorHAnsi" w:cstheme="minorHAnsi"/>
          <w:b/>
          <w:bCs/>
          <w:color w:val="auto"/>
          <w:sz w:val="22"/>
          <w:szCs w:val="22"/>
        </w:rPr>
        <w:t>f</w:t>
      </w:r>
      <w:r w:rsidRPr="00FE2E6E">
        <w:rPr>
          <w:rStyle w:val="Heading1Char"/>
          <w:rFonts w:asciiTheme="minorHAnsi" w:hAnsiTheme="minorHAnsi" w:cstheme="minorHAnsi"/>
          <w:b/>
          <w:bCs/>
          <w:color w:val="auto"/>
          <w:sz w:val="22"/>
          <w:szCs w:val="22"/>
        </w:rPr>
        <w:t xml:space="preserve">igure </w:t>
      </w:r>
      <w:r w:rsidR="007657C5">
        <w:rPr>
          <w:rStyle w:val="Heading1Char"/>
          <w:rFonts w:asciiTheme="minorHAnsi" w:hAnsiTheme="minorHAnsi" w:cstheme="minorHAnsi"/>
          <w:b/>
          <w:bCs/>
          <w:color w:val="auto"/>
          <w:sz w:val="22"/>
          <w:szCs w:val="22"/>
        </w:rPr>
        <w:t>1</w:t>
      </w:r>
      <w:r w:rsidRPr="00FE2E6E">
        <w:rPr>
          <w:rStyle w:val="Heading1Char"/>
          <w:rFonts w:asciiTheme="minorHAnsi" w:hAnsiTheme="minorHAnsi" w:cstheme="minorHAnsi"/>
          <w:b/>
          <w:bCs/>
          <w:color w:val="auto"/>
          <w:sz w:val="22"/>
          <w:szCs w:val="22"/>
        </w:rPr>
        <w:t>. Timeline of eligible conceptions and corresponding births</w:t>
      </w:r>
      <w:bookmarkEnd w:id="0"/>
    </w:p>
    <w:p w14:paraId="7664BBBE" w14:textId="6FDC1906" w:rsidR="009970A7" w:rsidRDefault="002B5F89" w:rsidP="009970A7">
      <w:pPr>
        <w:spacing w:after="0" w:line="240" w:lineRule="auto"/>
        <w:rPr>
          <w:rFonts w:eastAsiaTheme="majorEastAsia" w:cs="Times New Roman"/>
          <w:b/>
          <w:sz w:val="24"/>
          <w:szCs w:val="32"/>
        </w:rPr>
      </w:pPr>
      <w:r>
        <w:rPr>
          <w:rFonts w:eastAsiaTheme="majorEastAsia" w:cs="Times New Roman"/>
          <w:b/>
          <w:noProof/>
          <w:sz w:val="24"/>
          <w:szCs w:val="32"/>
        </w:rPr>
        <w:drawing>
          <wp:anchor distT="0" distB="0" distL="114300" distR="114300" simplePos="0" relativeHeight="251658240" behindDoc="0" locked="0" layoutInCell="1" allowOverlap="1" wp14:anchorId="1DE4D295" wp14:editId="68E41966">
            <wp:simplePos x="0" y="0"/>
            <wp:positionH relativeFrom="margin">
              <wp:align>center</wp:align>
            </wp:positionH>
            <wp:positionV relativeFrom="paragraph">
              <wp:posOffset>238760</wp:posOffset>
            </wp:positionV>
            <wp:extent cx="6685915" cy="2705100"/>
            <wp:effectExtent l="0" t="0" r="635"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8" cstate="print">
                      <a:extLst>
                        <a:ext uri="{28A0092B-C50C-407E-A947-70E740481C1C}">
                          <a14:useLocalDpi xmlns:a14="http://schemas.microsoft.com/office/drawing/2010/main" val="0"/>
                        </a:ext>
                      </a:extLst>
                    </a:blip>
                    <a:stretch>
                      <a:fillRect/>
                    </a:stretch>
                  </pic:blipFill>
                  <pic:spPr>
                    <a:xfrm>
                      <a:off x="0" y="0"/>
                      <a:ext cx="6685915" cy="2705100"/>
                    </a:xfrm>
                    <a:prstGeom prst="rect">
                      <a:avLst/>
                    </a:prstGeom>
                  </pic:spPr>
                </pic:pic>
              </a:graphicData>
            </a:graphic>
            <wp14:sizeRelH relativeFrom="page">
              <wp14:pctWidth>0</wp14:pctWidth>
            </wp14:sizeRelH>
            <wp14:sizeRelV relativeFrom="page">
              <wp14:pctHeight>0</wp14:pctHeight>
            </wp14:sizeRelV>
          </wp:anchor>
        </w:drawing>
      </w:r>
    </w:p>
    <w:p w14:paraId="797048BF" w14:textId="07F7098D" w:rsidR="009970A7" w:rsidRDefault="009970A7" w:rsidP="009970A7">
      <w:pPr>
        <w:spacing w:after="0" w:line="240" w:lineRule="auto"/>
        <w:rPr>
          <w:rFonts w:eastAsiaTheme="majorEastAsia" w:cs="Times New Roman"/>
          <w:b/>
          <w:sz w:val="24"/>
          <w:szCs w:val="32"/>
        </w:rPr>
      </w:pPr>
    </w:p>
    <w:p w14:paraId="0B919FED" w14:textId="3ED5FCA8" w:rsidR="009970A7" w:rsidRDefault="009970A7" w:rsidP="009970A7">
      <w:pPr>
        <w:spacing w:after="0" w:line="240" w:lineRule="auto"/>
        <w:rPr>
          <w:rFonts w:eastAsia="Times New Roman" w:cs="Calibri"/>
          <w:lang w:val="nb-NO"/>
        </w:rPr>
      </w:pPr>
    </w:p>
    <w:p w14:paraId="324A8409" w14:textId="6FB8204A" w:rsidR="00B25071" w:rsidRDefault="00B25071" w:rsidP="009970A7">
      <w:pPr>
        <w:spacing w:after="0" w:line="240" w:lineRule="auto"/>
        <w:rPr>
          <w:rFonts w:eastAsia="Times New Roman" w:cs="Calibri"/>
          <w:lang w:val="nb-NO"/>
        </w:rPr>
      </w:pPr>
    </w:p>
    <w:p w14:paraId="05BB9A9E" w14:textId="092749E3" w:rsidR="00B25071" w:rsidRDefault="00B25071" w:rsidP="009970A7">
      <w:pPr>
        <w:spacing w:after="0" w:line="240" w:lineRule="auto"/>
        <w:rPr>
          <w:rFonts w:eastAsia="Times New Roman" w:cs="Calibri"/>
          <w:lang w:val="nb-NO"/>
        </w:rPr>
      </w:pPr>
    </w:p>
    <w:p w14:paraId="434A3C91" w14:textId="12025BDF" w:rsidR="00B25071" w:rsidRDefault="00B25071" w:rsidP="009970A7">
      <w:pPr>
        <w:spacing w:after="0" w:line="240" w:lineRule="auto"/>
        <w:rPr>
          <w:rFonts w:eastAsia="Times New Roman" w:cs="Calibri"/>
          <w:lang w:val="nb-NO"/>
        </w:rPr>
      </w:pPr>
    </w:p>
    <w:p w14:paraId="7F8B41A4" w14:textId="1C62234C" w:rsidR="00B25071" w:rsidRDefault="00B25071" w:rsidP="009970A7">
      <w:pPr>
        <w:spacing w:after="0" w:line="240" w:lineRule="auto"/>
        <w:rPr>
          <w:rFonts w:eastAsia="Times New Roman" w:cs="Calibri"/>
          <w:lang w:val="nb-NO"/>
        </w:rPr>
      </w:pPr>
    </w:p>
    <w:p w14:paraId="7BF0D1AE" w14:textId="60A8ED74" w:rsidR="00B25071" w:rsidRDefault="00B25071" w:rsidP="009970A7">
      <w:pPr>
        <w:spacing w:after="0" w:line="240" w:lineRule="auto"/>
        <w:rPr>
          <w:rFonts w:eastAsia="Times New Roman" w:cs="Calibri"/>
          <w:lang w:val="nb-NO"/>
        </w:rPr>
      </w:pPr>
    </w:p>
    <w:p w14:paraId="4BAA750C" w14:textId="431ADFC1" w:rsidR="00B25071" w:rsidRDefault="00B25071" w:rsidP="009970A7">
      <w:pPr>
        <w:spacing w:after="0" w:line="240" w:lineRule="auto"/>
        <w:rPr>
          <w:rFonts w:eastAsia="Times New Roman" w:cs="Calibri"/>
          <w:lang w:val="nb-NO"/>
        </w:rPr>
      </w:pPr>
    </w:p>
    <w:p w14:paraId="7906D28A" w14:textId="15C7F9C3" w:rsidR="00783727" w:rsidRDefault="00783727" w:rsidP="009970A7">
      <w:pPr>
        <w:spacing w:after="0" w:line="240" w:lineRule="auto"/>
        <w:rPr>
          <w:rFonts w:eastAsia="Times New Roman" w:cs="Calibri"/>
          <w:lang w:val="nb-NO"/>
        </w:rPr>
      </w:pPr>
    </w:p>
    <w:p w14:paraId="33C56A9C" w14:textId="27C94354" w:rsidR="00783727" w:rsidRDefault="00783727" w:rsidP="009970A7">
      <w:pPr>
        <w:spacing w:after="0" w:line="240" w:lineRule="auto"/>
        <w:rPr>
          <w:rFonts w:eastAsia="Times New Roman" w:cs="Calibri"/>
          <w:lang w:val="nb-NO"/>
        </w:rPr>
      </w:pPr>
    </w:p>
    <w:p w14:paraId="6F28AA94" w14:textId="7F46AA41" w:rsidR="00783727" w:rsidRDefault="00783727" w:rsidP="009970A7">
      <w:pPr>
        <w:spacing w:after="0" w:line="240" w:lineRule="auto"/>
        <w:rPr>
          <w:rFonts w:eastAsia="Times New Roman" w:cs="Calibri"/>
          <w:lang w:val="nb-NO"/>
        </w:rPr>
      </w:pPr>
    </w:p>
    <w:p w14:paraId="54FE7314" w14:textId="35DD2A1A" w:rsidR="00783727" w:rsidRDefault="00783727" w:rsidP="009970A7">
      <w:pPr>
        <w:spacing w:after="0" w:line="240" w:lineRule="auto"/>
        <w:rPr>
          <w:rFonts w:eastAsia="Times New Roman" w:cs="Calibri"/>
          <w:lang w:val="nb-NO"/>
        </w:rPr>
      </w:pPr>
    </w:p>
    <w:p w14:paraId="00A50ACE" w14:textId="606E1F3D" w:rsidR="00783727" w:rsidRDefault="00783727" w:rsidP="009970A7">
      <w:pPr>
        <w:spacing w:after="0" w:line="240" w:lineRule="auto"/>
        <w:rPr>
          <w:rFonts w:eastAsia="Times New Roman" w:cs="Calibri"/>
          <w:lang w:val="nb-NO"/>
        </w:rPr>
      </w:pPr>
    </w:p>
    <w:p w14:paraId="7BB15E5E" w14:textId="5B4C0FD3" w:rsidR="00783727" w:rsidRDefault="00783727" w:rsidP="009970A7">
      <w:pPr>
        <w:spacing w:after="0" w:line="240" w:lineRule="auto"/>
        <w:rPr>
          <w:rFonts w:eastAsia="Times New Roman" w:cs="Calibri"/>
          <w:lang w:val="nb-NO"/>
        </w:rPr>
      </w:pPr>
    </w:p>
    <w:p w14:paraId="1007FC21" w14:textId="3356D214" w:rsidR="00783727" w:rsidRDefault="00783727" w:rsidP="009970A7">
      <w:pPr>
        <w:spacing w:after="0" w:line="240" w:lineRule="auto"/>
        <w:rPr>
          <w:rFonts w:eastAsia="Times New Roman" w:cs="Calibri"/>
          <w:lang w:val="nb-NO"/>
        </w:rPr>
      </w:pPr>
    </w:p>
    <w:sectPr w:rsidR="00783727" w:rsidSect="00E4153D">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5C5BB9" w14:textId="77777777" w:rsidR="00425D76" w:rsidRDefault="00425D76" w:rsidP="00B25071">
      <w:pPr>
        <w:spacing w:after="0" w:line="240" w:lineRule="auto"/>
      </w:pPr>
      <w:r>
        <w:separator/>
      </w:r>
    </w:p>
  </w:endnote>
  <w:endnote w:type="continuationSeparator" w:id="0">
    <w:p w14:paraId="429679FD" w14:textId="77777777" w:rsidR="00425D76" w:rsidRDefault="00425D76" w:rsidP="00B250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96C91C" w14:textId="77777777" w:rsidR="00425D76" w:rsidRDefault="00425D76" w:rsidP="00B25071">
      <w:pPr>
        <w:spacing w:after="0" w:line="240" w:lineRule="auto"/>
      </w:pPr>
      <w:r>
        <w:separator/>
      </w:r>
    </w:p>
  </w:footnote>
  <w:footnote w:type="continuationSeparator" w:id="0">
    <w:p w14:paraId="08DDA59C" w14:textId="77777777" w:rsidR="00425D76" w:rsidRDefault="00425D76" w:rsidP="00B2507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92225A"/>
    <w:multiLevelType w:val="hybridMultilevel"/>
    <w:tmpl w:val="81225B1C"/>
    <w:lvl w:ilvl="0" w:tplc="D1A42A0A">
      <w:numFmt w:val="bullet"/>
      <w:pStyle w:val="EndNoteBibliography"/>
      <w:lvlText w:val="-"/>
      <w:lvlJc w:val="left"/>
      <w:pPr>
        <w:ind w:left="720" w:hanging="360"/>
      </w:pPr>
      <w:rPr>
        <w:rFonts w:ascii="Calibri" w:eastAsiaTheme="minorHAnsi" w:hAnsi="Calibri" w:cstheme="minorBid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10004274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1429"/>
    <w:rsid w:val="00022EAE"/>
    <w:rsid w:val="00024D47"/>
    <w:rsid w:val="00037F8C"/>
    <w:rsid w:val="00041373"/>
    <w:rsid w:val="00042671"/>
    <w:rsid w:val="000456C9"/>
    <w:rsid w:val="000550C8"/>
    <w:rsid w:val="000930C0"/>
    <w:rsid w:val="000A2567"/>
    <w:rsid w:val="000D111C"/>
    <w:rsid w:val="00106480"/>
    <w:rsid w:val="00107FB7"/>
    <w:rsid w:val="00110542"/>
    <w:rsid w:val="0011422E"/>
    <w:rsid w:val="00121429"/>
    <w:rsid w:val="001223AF"/>
    <w:rsid w:val="001223DD"/>
    <w:rsid w:val="00151059"/>
    <w:rsid w:val="001575A1"/>
    <w:rsid w:val="001A7E6A"/>
    <w:rsid w:val="001B6456"/>
    <w:rsid w:val="001D4270"/>
    <w:rsid w:val="001D4C45"/>
    <w:rsid w:val="00220CB1"/>
    <w:rsid w:val="00241216"/>
    <w:rsid w:val="00256809"/>
    <w:rsid w:val="0028773D"/>
    <w:rsid w:val="0029231E"/>
    <w:rsid w:val="002A50EC"/>
    <w:rsid w:val="002B5F89"/>
    <w:rsid w:val="002C2809"/>
    <w:rsid w:val="002D46F5"/>
    <w:rsid w:val="003161E4"/>
    <w:rsid w:val="00323570"/>
    <w:rsid w:val="0033708D"/>
    <w:rsid w:val="00367A94"/>
    <w:rsid w:val="00377DED"/>
    <w:rsid w:val="0038526D"/>
    <w:rsid w:val="003905D7"/>
    <w:rsid w:val="003D5C80"/>
    <w:rsid w:val="004177CC"/>
    <w:rsid w:val="00425D76"/>
    <w:rsid w:val="0042609E"/>
    <w:rsid w:val="0043576E"/>
    <w:rsid w:val="004407AC"/>
    <w:rsid w:val="00470E83"/>
    <w:rsid w:val="00474FCE"/>
    <w:rsid w:val="004A2003"/>
    <w:rsid w:val="004D698F"/>
    <w:rsid w:val="004F7973"/>
    <w:rsid w:val="005859A3"/>
    <w:rsid w:val="00585B00"/>
    <w:rsid w:val="005C4BAF"/>
    <w:rsid w:val="005E6345"/>
    <w:rsid w:val="005F5D72"/>
    <w:rsid w:val="00600A93"/>
    <w:rsid w:val="00603A02"/>
    <w:rsid w:val="00624E5B"/>
    <w:rsid w:val="006310C0"/>
    <w:rsid w:val="0063181D"/>
    <w:rsid w:val="00637C3B"/>
    <w:rsid w:val="00641BFB"/>
    <w:rsid w:val="00654ED4"/>
    <w:rsid w:val="006720EE"/>
    <w:rsid w:val="00684059"/>
    <w:rsid w:val="006A5147"/>
    <w:rsid w:val="00706EEC"/>
    <w:rsid w:val="0075426F"/>
    <w:rsid w:val="007657C5"/>
    <w:rsid w:val="00783727"/>
    <w:rsid w:val="00795C75"/>
    <w:rsid w:val="007E0CED"/>
    <w:rsid w:val="00812FA3"/>
    <w:rsid w:val="00813063"/>
    <w:rsid w:val="008333FC"/>
    <w:rsid w:val="0085609C"/>
    <w:rsid w:val="008836B0"/>
    <w:rsid w:val="008A3949"/>
    <w:rsid w:val="008D77E8"/>
    <w:rsid w:val="008F659F"/>
    <w:rsid w:val="009065C2"/>
    <w:rsid w:val="00912B31"/>
    <w:rsid w:val="00915965"/>
    <w:rsid w:val="0094163B"/>
    <w:rsid w:val="00945CBA"/>
    <w:rsid w:val="00956117"/>
    <w:rsid w:val="00963485"/>
    <w:rsid w:val="009668A2"/>
    <w:rsid w:val="009970A7"/>
    <w:rsid w:val="009A3771"/>
    <w:rsid w:val="009B0785"/>
    <w:rsid w:val="009C0F21"/>
    <w:rsid w:val="009D2B26"/>
    <w:rsid w:val="00A020E3"/>
    <w:rsid w:val="00A44CFE"/>
    <w:rsid w:val="00A53364"/>
    <w:rsid w:val="00A57C53"/>
    <w:rsid w:val="00A77456"/>
    <w:rsid w:val="00A809D7"/>
    <w:rsid w:val="00AC6FB1"/>
    <w:rsid w:val="00AF6974"/>
    <w:rsid w:val="00B06927"/>
    <w:rsid w:val="00B11F7D"/>
    <w:rsid w:val="00B15673"/>
    <w:rsid w:val="00B1675C"/>
    <w:rsid w:val="00B25071"/>
    <w:rsid w:val="00B316E1"/>
    <w:rsid w:val="00B37338"/>
    <w:rsid w:val="00B50C79"/>
    <w:rsid w:val="00B709D8"/>
    <w:rsid w:val="00B76348"/>
    <w:rsid w:val="00BA2979"/>
    <w:rsid w:val="00BC1546"/>
    <w:rsid w:val="00BF055C"/>
    <w:rsid w:val="00C30FAD"/>
    <w:rsid w:val="00C337B4"/>
    <w:rsid w:val="00C52599"/>
    <w:rsid w:val="00C7496B"/>
    <w:rsid w:val="00C90B22"/>
    <w:rsid w:val="00C90E6D"/>
    <w:rsid w:val="00C94079"/>
    <w:rsid w:val="00D0365F"/>
    <w:rsid w:val="00D13ADE"/>
    <w:rsid w:val="00D3019C"/>
    <w:rsid w:val="00D84671"/>
    <w:rsid w:val="00D86A42"/>
    <w:rsid w:val="00D943A2"/>
    <w:rsid w:val="00DA3E7E"/>
    <w:rsid w:val="00DC3F63"/>
    <w:rsid w:val="00DF6D78"/>
    <w:rsid w:val="00E154AB"/>
    <w:rsid w:val="00E336C7"/>
    <w:rsid w:val="00E350DB"/>
    <w:rsid w:val="00E362E8"/>
    <w:rsid w:val="00E4153D"/>
    <w:rsid w:val="00E8519A"/>
    <w:rsid w:val="00EA4890"/>
    <w:rsid w:val="00ED7222"/>
    <w:rsid w:val="00EE08CB"/>
    <w:rsid w:val="00F2793D"/>
    <w:rsid w:val="00F47EDB"/>
    <w:rsid w:val="00F73A71"/>
    <w:rsid w:val="00F804F3"/>
    <w:rsid w:val="00F80A6F"/>
    <w:rsid w:val="00FA04CF"/>
    <w:rsid w:val="00FC5005"/>
    <w:rsid w:val="00FE2E6E"/>
    <w:rsid w:val="00FE3020"/>
    <w:rsid w:val="00FE37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096903"/>
  <w15:chartTrackingRefBased/>
  <w15:docId w15:val="{BBE3C5C3-F9B8-4B92-ACCD-E5F02A5065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2142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21429"/>
    <w:rPr>
      <w:rFonts w:cs="Times New Roman"/>
      <w:color w:val="0000FF"/>
      <w:u w:val="single"/>
    </w:rPr>
  </w:style>
  <w:style w:type="character" w:customStyle="1" w:styleId="Heading1Char">
    <w:name w:val="Heading 1 Char"/>
    <w:basedOn w:val="DefaultParagraphFont"/>
    <w:link w:val="Heading1"/>
    <w:uiPriority w:val="9"/>
    <w:rsid w:val="00121429"/>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121429"/>
    <w:pPr>
      <w:outlineLvl w:val="9"/>
    </w:pPr>
    <w:rPr>
      <w:rFonts w:asciiTheme="minorHAnsi" w:hAnsiTheme="minorHAnsi" w:cs="Times New Roman"/>
      <w:b/>
      <w:color w:val="auto"/>
      <w:sz w:val="24"/>
    </w:rPr>
  </w:style>
  <w:style w:type="paragraph" w:styleId="TOC1">
    <w:name w:val="toc 1"/>
    <w:basedOn w:val="Normal"/>
    <w:next w:val="Normal"/>
    <w:autoRedefine/>
    <w:uiPriority w:val="39"/>
    <w:unhideWhenUsed/>
    <w:rsid w:val="00121429"/>
    <w:pPr>
      <w:spacing w:after="100"/>
    </w:pPr>
    <w:rPr>
      <w:rFonts w:ascii="Calibri" w:eastAsia="Times New Roman" w:hAnsi="Calibri" w:cs="Times New Roman"/>
      <w:lang w:val="nb-NO"/>
    </w:rPr>
  </w:style>
  <w:style w:type="paragraph" w:styleId="FootnoteText">
    <w:name w:val="footnote text"/>
    <w:basedOn w:val="Normal"/>
    <w:link w:val="FootnoteTextChar"/>
    <w:uiPriority w:val="99"/>
    <w:semiHidden/>
    <w:unhideWhenUsed/>
    <w:rsid w:val="00B25071"/>
    <w:pPr>
      <w:spacing w:after="0" w:line="240" w:lineRule="auto"/>
    </w:pPr>
    <w:rPr>
      <w:sz w:val="20"/>
      <w:szCs w:val="20"/>
      <w:lang w:val="en-CA"/>
    </w:rPr>
  </w:style>
  <w:style w:type="character" w:customStyle="1" w:styleId="FootnoteTextChar">
    <w:name w:val="Footnote Text Char"/>
    <w:basedOn w:val="DefaultParagraphFont"/>
    <w:link w:val="FootnoteText"/>
    <w:uiPriority w:val="99"/>
    <w:semiHidden/>
    <w:rsid w:val="00B25071"/>
    <w:rPr>
      <w:sz w:val="20"/>
      <w:szCs w:val="20"/>
      <w:lang w:val="en-CA"/>
    </w:rPr>
  </w:style>
  <w:style w:type="character" w:styleId="FootnoteReference">
    <w:name w:val="footnote reference"/>
    <w:basedOn w:val="DefaultParagraphFont"/>
    <w:uiPriority w:val="99"/>
    <w:semiHidden/>
    <w:unhideWhenUsed/>
    <w:rsid w:val="00B25071"/>
    <w:rPr>
      <w:vertAlign w:val="superscript"/>
    </w:rPr>
  </w:style>
  <w:style w:type="character" w:styleId="CommentReference">
    <w:name w:val="annotation reference"/>
    <w:basedOn w:val="DefaultParagraphFont"/>
    <w:uiPriority w:val="99"/>
    <w:semiHidden/>
    <w:unhideWhenUsed/>
    <w:rsid w:val="00B25071"/>
    <w:rPr>
      <w:sz w:val="16"/>
      <w:szCs w:val="16"/>
    </w:rPr>
  </w:style>
  <w:style w:type="paragraph" w:styleId="CommentText">
    <w:name w:val="annotation text"/>
    <w:basedOn w:val="Normal"/>
    <w:link w:val="CommentTextChar"/>
    <w:uiPriority w:val="99"/>
    <w:unhideWhenUsed/>
    <w:rsid w:val="00B25071"/>
    <w:pPr>
      <w:spacing w:line="240" w:lineRule="auto"/>
    </w:pPr>
    <w:rPr>
      <w:sz w:val="20"/>
      <w:szCs w:val="20"/>
    </w:rPr>
  </w:style>
  <w:style w:type="character" w:customStyle="1" w:styleId="CommentTextChar">
    <w:name w:val="Comment Text Char"/>
    <w:basedOn w:val="DefaultParagraphFont"/>
    <w:link w:val="CommentText"/>
    <w:uiPriority w:val="99"/>
    <w:rsid w:val="00B25071"/>
    <w:rPr>
      <w:sz w:val="20"/>
      <w:szCs w:val="20"/>
    </w:rPr>
  </w:style>
  <w:style w:type="paragraph" w:styleId="CommentSubject">
    <w:name w:val="annotation subject"/>
    <w:basedOn w:val="CommentText"/>
    <w:next w:val="CommentText"/>
    <w:link w:val="CommentSubjectChar"/>
    <w:uiPriority w:val="99"/>
    <w:semiHidden/>
    <w:unhideWhenUsed/>
    <w:rsid w:val="00B25071"/>
    <w:rPr>
      <w:b/>
      <w:bCs/>
    </w:rPr>
  </w:style>
  <w:style w:type="character" w:customStyle="1" w:styleId="CommentSubjectChar">
    <w:name w:val="Comment Subject Char"/>
    <w:basedOn w:val="CommentTextChar"/>
    <w:link w:val="CommentSubject"/>
    <w:uiPriority w:val="99"/>
    <w:semiHidden/>
    <w:rsid w:val="00B25071"/>
    <w:rPr>
      <w:b/>
      <w:bCs/>
      <w:sz w:val="20"/>
      <w:szCs w:val="20"/>
    </w:rPr>
  </w:style>
  <w:style w:type="paragraph" w:customStyle="1" w:styleId="TableParagraph">
    <w:name w:val="Table Paragraph"/>
    <w:basedOn w:val="Normal"/>
    <w:uiPriority w:val="1"/>
    <w:qFormat/>
    <w:rsid w:val="003161E4"/>
    <w:pPr>
      <w:widowControl w:val="0"/>
      <w:autoSpaceDE w:val="0"/>
      <w:autoSpaceDN w:val="0"/>
      <w:spacing w:after="0" w:line="210" w:lineRule="exact"/>
    </w:pPr>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706EEC"/>
    <w:pPr>
      <w:spacing w:after="0" w:line="240" w:lineRule="auto"/>
    </w:pPr>
    <w:rPr>
      <w:rFonts w:ascii="Segoe UI" w:hAnsi="Segoe UI" w:cs="Segoe UI"/>
      <w:sz w:val="18"/>
      <w:szCs w:val="18"/>
      <w:lang w:val="en-CA"/>
    </w:rPr>
  </w:style>
  <w:style w:type="character" w:customStyle="1" w:styleId="BalloonTextChar">
    <w:name w:val="Balloon Text Char"/>
    <w:basedOn w:val="DefaultParagraphFont"/>
    <w:link w:val="BalloonText"/>
    <w:uiPriority w:val="99"/>
    <w:semiHidden/>
    <w:rsid w:val="00706EEC"/>
    <w:rPr>
      <w:rFonts w:ascii="Segoe UI" w:hAnsi="Segoe UI" w:cs="Segoe UI"/>
      <w:sz w:val="18"/>
      <w:szCs w:val="18"/>
      <w:lang w:val="en-CA"/>
    </w:rPr>
  </w:style>
  <w:style w:type="paragraph" w:customStyle="1" w:styleId="EndNoteBibliography">
    <w:name w:val="EndNote Bibliography"/>
    <w:basedOn w:val="Normal"/>
    <w:link w:val="EndNoteBibliographyChar"/>
    <w:rsid w:val="00706EEC"/>
    <w:pPr>
      <w:numPr>
        <w:numId w:val="1"/>
      </w:num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706EEC"/>
    <w:rPr>
      <w:rFonts w:ascii="Calibri" w:hAnsi="Calibri" w:cs="Calibri"/>
      <w:noProof/>
    </w:rPr>
  </w:style>
  <w:style w:type="paragraph" w:styleId="Header">
    <w:name w:val="header"/>
    <w:basedOn w:val="Normal"/>
    <w:link w:val="HeaderChar"/>
    <w:uiPriority w:val="99"/>
    <w:unhideWhenUsed/>
    <w:rsid w:val="0011422E"/>
    <w:pPr>
      <w:tabs>
        <w:tab w:val="center" w:pos="4680"/>
        <w:tab w:val="right" w:pos="9360"/>
      </w:tabs>
      <w:spacing w:after="0" w:line="240" w:lineRule="auto"/>
    </w:pPr>
  </w:style>
  <w:style w:type="character" w:customStyle="1" w:styleId="HeaderChar">
    <w:name w:val="Header Char"/>
    <w:basedOn w:val="DefaultParagraphFont"/>
    <w:link w:val="Header"/>
    <w:uiPriority w:val="99"/>
    <w:rsid w:val="0011422E"/>
  </w:style>
  <w:style w:type="paragraph" w:styleId="Footer">
    <w:name w:val="footer"/>
    <w:basedOn w:val="Normal"/>
    <w:link w:val="FooterChar"/>
    <w:uiPriority w:val="99"/>
    <w:unhideWhenUsed/>
    <w:rsid w:val="0011422E"/>
    <w:pPr>
      <w:tabs>
        <w:tab w:val="center" w:pos="4680"/>
        <w:tab w:val="right" w:pos="9360"/>
      </w:tabs>
      <w:spacing w:after="0" w:line="240" w:lineRule="auto"/>
    </w:pPr>
  </w:style>
  <w:style w:type="character" w:customStyle="1" w:styleId="FooterChar">
    <w:name w:val="Footer Char"/>
    <w:basedOn w:val="DefaultParagraphFont"/>
    <w:link w:val="Footer"/>
    <w:uiPriority w:val="99"/>
    <w:rsid w:val="0011422E"/>
  </w:style>
  <w:style w:type="character" w:styleId="PlaceholderText">
    <w:name w:val="Placeholder Text"/>
    <w:basedOn w:val="DefaultParagraphFont"/>
    <w:uiPriority w:val="99"/>
    <w:semiHidden/>
    <w:rsid w:val="00C7496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6855256">
      <w:bodyDiv w:val="1"/>
      <w:marLeft w:val="0"/>
      <w:marRight w:val="0"/>
      <w:marTop w:val="0"/>
      <w:marBottom w:val="0"/>
      <w:divBdr>
        <w:top w:val="none" w:sz="0" w:space="0" w:color="auto"/>
        <w:left w:val="none" w:sz="0" w:space="0" w:color="auto"/>
        <w:bottom w:val="none" w:sz="0" w:space="0" w:color="auto"/>
        <w:right w:val="none" w:sz="0" w:space="0" w:color="auto"/>
      </w:divBdr>
      <w:divsChild>
        <w:div w:id="419300928">
          <w:marLeft w:val="640"/>
          <w:marRight w:val="0"/>
          <w:marTop w:val="0"/>
          <w:marBottom w:val="0"/>
          <w:divBdr>
            <w:top w:val="none" w:sz="0" w:space="0" w:color="auto"/>
            <w:left w:val="none" w:sz="0" w:space="0" w:color="auto"/>
            <w:bottom w:val="none" w:sz="0" w:space="0" w:color="auto"/>
            <w:right w:val="none" w:sz="0" w:space="0" w:color="auto"/>
          </w:divBdr>
        </w:div>
        <w:div w:id="1311714851">
          <w:marLeft w:val="640"/>
          <w:marRight w:val="0"/>
          <w:marTop w:val="0"/>
          <w:marBottom w:val="0"/>
          <w:divBdr>
            <w:top w:val="none" w:sz="0" w:space="0" w:color="auto"/>
            <w:left w:val="none" w:sz="0" w:space="0" w:color="auto"/>
            <w:bottom w:val="none" w:sz="0" w:space="0" w:color="auto"/>
            <w:right w:val="none" w:sz="0" w:space="0" w:color="auto"/>
          </w:divBdr>
        </w:div>
        <w:div w:id="363671491">
          <w:marLeft w:val="640"/>
          <w:marRight w:val="0"/>
          <w:marTop w:val="0"/>
          <w:marBottom w:val="0"/>
          <w:divBdr>
            <w:top w:val="none" w:sz="0" w:space="0" w:color="auto"/>
            <w:left w:val="none" w:sz="0" w:space="0" w:color="auto"/>
            <w:bottom w:val="none" w:sz="0" w:space="0" w:color="auto"/>
            <w:right w:val="none" w:sz="0" w:space="0" w:color="auto"/>
          </w:divBdr>
        </w:div>
        <w:div w:id="1885866867">
          <w:marLeft w:val="640"/>
          <w:marRight w:val="0"/>
          <w:marTop w:val="0"/>
          <w:marBottom w:val="0"/>
          <w:divBdr>
            <w:top w:val="none" w:sz="0" w:space="0" w:color="auto"/>
            <w:left w:val="none" w:sz="0" w:space="0" w:color="auto"/>
            <w:bottom w:val="none" w:sz="0" w:space="0" w:color="auto"/>
            <w:right w:val="none" w:sz="0" w:space="0" w:color="auto"/>
          </w:divBdr>
        </w:div>
      </w:divsChild>
    </w:div>
    <w:div w:id="1588491441">
      <w:bodyDiv w:val="1"/>
      <w:marLeft w:val="0"/>
      <w:marRight w:val="0"/>
      <w:marTop w:val="0"/>
      <w:marBottom w:val="0"/>
      <w:divBdr>
        <w:top w:val="none" w:sz="0" w:space="0" w:color="auto"/>
        <w:left w:val="none" w:sz="0" w:space="0" w:color="auto"/>
        <w:bottom w:val="none" w:sz="0" w:space="0" w:color="auto"/>
        <w:right w:val="none" w:sz="0" w:space="0" w:color="auto"/>
      </w:divBdr>
      <w:divsChild>
        <w:div w:id="1948652617">
          <w:marLeft w:val="640"/>
          <w:marRight w:val="0"/>
          <w:marTop w:val="0"/>
          <w:marBottom w:val="0"/>
          <w:divBdr>
            <w:top w:val="none" w:sz="0" w:space="0" w:color="auto"/>
            <w:left w:val="none" w:sz="0" w:space="0" w:color="auto"/>
            <w:bottom w:val="none" w:sz="0" w:space="0" w:color="auto"/>
            <w:right w:val="none" w:sz="0" w:space="0" w:color="auto"/>
          </w:divBdr>
        </w:div>
        <w:div w:id="1128740847">
          <w:marLeft w:val="640"/>
          <w:marRight w:val="0"/>
          <w:marTop w:val="0"/>
          <w:marBottom w:val="0"/>
          <w:divBdr>
            <w:top w:val="none" w:sz="0" w:space="0" w:color="auto"/>
            <w:left w:val="none" w:sz="0" w:space="0" w:color="auto"/>
            <w:bottom w:val="none" w:sz="0" w:space="0" w:color="auto"/>
            <w:right w:val="none" w:sz="0" w:space="0" w:color="auto"/>
          </w:divBdr>
        </w:div>
      </w:divsChild>
    </w:div>
    <w:div w:id="1611014768">
      <w:bodyDiv w:val="1"/>
      <w:marLeft w:val="0"/>
      <w:marRight w:val="0"/>
      <w:marTop w:val="0"/>
      <w:marBottom w:val="0"/>
      <w:divBdr>
        <w:top w:val="none" w:sz="0" w:space="0" w:color="auto"/>
        <w:left w:val="none" w:sz="0" w:space="0" w:color="auto"/>
        <w:bottom w:val="none" w:sz="0" w:space="0" w:color="auto"/>
        <w:right w:val="none" w:sz="0" w:space="0" w:color="auto"/>
      </w:divBdr>
    </w:div>
    <w:div w:id="1632705669">
      <w:bodyDiv w:val="1"/>
      <w:marLeft w:val="0"/>
      <w:marRight w:val="0"/>
      <w:marTop w:val="0"/>
      <w:marBottom w:val="0"/>
      <w:divBdr>
        <w:top w:val="none" w:sz="0" w:space="0" w:color="auto"/>
        <w:left w:val="none" w:sz="0" w:space="0" w:color="auto"/>
        <w:bottom w:val="none" w:sz="0" w:space="0" w:color="auto"/>
        <w:right w:val="none" w:sz="0" w:space="0" w:color="auto"/>
      </w:divBdr>
      <w:divsChild>
        <w:div w:id="385766240">
          <w:marLeft w:val="640"/>
          <w:marRight w:val="0"/>
          <w:marTop w:val="0"/>
          <w:marBottom w:val="0"/>
          <w:divBdr>
            <w:top w:val="none" w:sz="0" w:space="0" w:color="auto"/>
            <w:left w:val="none" w:sz="0" w:space="0" w:color="auto"/>
            <w:bottom w:val="none" w:sz="0" w:space="0" w:color="auto"/>
            <w:right w:val="none" w:sz="0" w:space="0" w:color="auto"/>
          </w:divBdr>
        </w:div>
        <w:div w:id="730808067">
          <w:marLeft w:val="640"/>
          <w:marRight w:val="0"/>
          <w:marTop w:val="0"/>
          <w:marBottom w:val="0"/>
          <w:divBdr>
            <w:top w:val="none" w:sz="0" w:space="0" w:color="auto"/>
            <w:left w:val="none" w:sz="0" w:space="0" w:color="auto"/>
            <w:bottom w:val="none" w:sz="0" w:space="0" w:color="auto"/>
            <w:right w:val="none" w:sz="0" w:space="0" w:color="auto"/>
          </w:divBdr>
        </w:div>
      </w:divsChild>
    </w:div>
    <w:div w:id="1718582350">
      <w:bodyDiv w:val="1"/>
      <w:marLeft w:val="0"/>
      <w:marRight w:val="0"/>
      <w:marTop w:val="0"/>
      <w:marBottom w:val="0"/>
      <w:divBdr>
        <w:top w:val="none" w:sz="0" w:space="0" w:color="auto"/>
        <w:left w:val="none" w:sz="0" w:space="0" w:color="auto"/>
        <w:bottom w:val="none" w:sz="0" w:space="0" w:color="auto"/>
        <w:right w:val="none" w:sz="0" w:space="0" w:color="auto"/>
      </w:divBdr>
      <w:divsChild>
        <w:div w:id="42606765">
          <w:marLeft w:val="640"/>
          <w:marRight w:val="0"/>
          <w:marTop w:val="0"/>
          <w:marBottom w:val="0"/>
          <w:divBdr>
            <w:top w:val="none" w:sz="0" w:space="0" w:color="auto"/>
            <w:left w:val="none" w:sz="0" w:space="0" w:color="auto"/>
            <w:bottom w:val="none" w:sz="0" w:space="0" w:color="auto"/>
            <w:right w:val="none" w:sz="0" w:space="0" w:color="auto"/>
          </w:divBdr>
        </w:div>
        <w:div w:id="556865323">
          <w:marLeft w:val="640"/>
          <w:marRight w:val="0"/>
          <w:marTop w:val="0"/>
          <w:marBottom w:val="0"/>
          <w:divBdr>
            <w:top w:val="none" w:sz="0" w:space="0" w:color="auto"/>
            <w:left w:val="none" w:sz="0" w:space="0" w:color="auto"/>
            <w:bottom w:val="none" w:sz="0" w:space="0" w:color="auto"/>
            <w:right w:val="none" w:sz="0" w:space="0" w:color="auto"/>
          </w:divBdr>
        </w:div>
      </w:divsChild>
    </w:div>
    <w:div w:id="1857840249">
      <w:bodyDiv w:val="1"/>
      <w:marLeft w:val="0"/>
      <w:marRight w:val="0"/>
      <w:marTop w:val="0"/>
      <w:marBottom w:val="0"/>
      <w:divBdr>
        <w:top w:val="none" w:sz="0" w:space="0" w:color="auto"/>
        <w:left w:val="none" w:sz="0" w:space="0" w:color="auto"/>
        <w:bottom w:val="none" w:sz="0" w:space="0" w:color="auto"/>
        <w:right w:val="none" w:sz="0" w:space="0" w:color="auto"/>
      </w:divBdr>
      <w:divsChild>
        <w:div w:id="1420564186">
          <w:marLeft w:val="640"/>
          <w:marRight w:val="0"/>
          <w:marTop w:val="0"/>
          <w:marBottom w:val="0"/>
          <w:divBdr>
            <w:top w:val="none" w:sz="0" w:space="0" w:color="auto"/>
            <w:left w:val="none" w:sz="0" w:space="0" w:color="auto"/>
            <w:bottom w:val="none" w:sz="0" w:space="0" w:color="auto"/>
            <w:right w:val="none" w:sz="0" w:space="0" w:color="auto"/>
          </w:divBdr>
        </w:div>
        <w:div w:id="1133868103">
          <w:marLeft w:val="640"/>
          <w:marRight w:val="0"/>
          <w:marTop w:val="0"/>
          <w:marBottom w:val="0"/>
          <w:divBdr>
            <w:top w:val="none" w:sz="0" w:space="0" w:color="auto"/>
            <w:left w:val="none" w:sz="0" w:space="0" w:color="auto"/>
            <w:bottom w:val="none" w:sz="0" w:space="0" w:color="auto"/>
            <w:right w:val="none" w:sz="0" w:space="0" w:color="auto"/>
          </w:divBdr>
        </w:div>
        <w:div w:id="46924336">
          <w:marLeft w:val="64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34E80B91-EE71-4527-A13D-7463D6AEF151}">
  <we:reference id="wa104382081" version="1.46.0.0" store="en-US" storeType="OMEX"/>
  <we:alternateReferences>
    <we:reference id="wa104382081" version="1.46.0.0" store="en-US" storeType="OMEX"/>
  </we:alternateReferences>
  <we:properties>
    <we:property name="MENDELEY_CITATIONS" value="[{&quot;citationID&quot;:&quot;MENDELEY_CITATION_80203f06-f485-42c0-89bf-90ec9de17a06&quot;,&quot;properties&quot;:{&quot;noteIndex&quot;:0},&quot;isEdited&quot;:false,&quot;manualOverride&quot;:{&quot;isManuallyOverridden&quot;:false,&quot;citeprocText&quot;:&quot;(1)&quot;,&quot;manualOverrideText&quot;:&quot;&quot;},&quot;citationTag&quot;:&quot;MENDELEY_CITATION_v3_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&quot;,&quot;citationItems&quot;:[{&quot;id&quot;:&quot;19246df9-c6eb-3212-9058-6142ece5eb71&quot;,&quot;itemData&quot;:{&quot;type&quot;:&quot;article-journal&quot;,&quot;id&quot;:&quot;19246df9-c6eb-3212-9058-6142ece5eb71&quot;,&quot;title&quot;:&quot;Severe Neonatal Morbidity Among Births to Refugee Women&quot;,&quot;author&quot;:[{&quot;family&quot;:&quot;Wanigaratne&quot;,&quot;given&quot;:&quot;Susitha&quot;,&quot;parse-names&quot;:false,&quot;dropping-particle&quot;:&quot;&quot;,&quot;non-dropping-particle&quot;:&quot;&quot;},{&quot;family&quot;:&quot;Cole&quot;,&quot;given&quot;:&quot;Donald C.&quot;,&quot;parse-names&quot;:false,&quot;dropping-particle&quot;:&quot;&quot;,&quot;non-dropping-particle&quot;:&quot;&quot;},{&quot;family&quot;:&quot;Bassil&quot;,&quot;given&quot;:&quot;Kate&quot;,&quot;parse-names&quot;:false,&quot;dropping-particle&quot;:&quot;&quot;,&quot;non-dropping-particle&quot;:&quot;&quot;},{&quot;family&quot;:&quot;Hyman&quot;,&quot;given&quot;:&quot;Ilene&quot;,&quot;parse-names&quot;:false,&quot;dropping-particle&quot;:&quot;&quot;,&quot;non-dropping-particle&quot;:&quot;&quot;},{&quot;family&quot;:&quot;Moineddin&quot;,&quot;given&quot;:&quot;Rahim&quot;,&quot;parse-names&quot;:false,&quot;dropping-particle&quot;:&quot;&quot;,&quot;non-dropping-particle&quot;:&quot;&quot;},{&quot;family&quot;:&quot;Shakya&quot;,&quot;given&quot;:&quot;Yogendra&quot;,&quot;parse-names&quot;:false,&quot;dropping-particle&quot;:&quot;&quot;,&quot;non-dropping-particle&quot;:&quot;&quot;},{&quot;family&quot;:&quot;Urquia&quot;,&quot;given&quot;:&quot;Marcelo L.&quot;,&quot;parse-names&quot;:false,&quot;dropping-particle&quot;:&quot;&quot;,&quot;non-dropping-particle&quot;:&quot;&quot;}],&quot;container-title&quot;:&quot;Maternal and Child Health Journal&quot;,&quot;DOI&quot;:&quot;10.1007/s10995-016-2047-4&quot;,&quot;ISSN&quot;:&quot;1092-7875&quot;,&quot;URL&quot;:&quot;http://link.springer.com/10.1007/s10995-016-2047-4&quot;,&quot;issued&quot;:{&quot;date-parts&quot;:[[2016,10,9]]},&quot;page&quot;:&quot;2189-2198&quot;,&quot;issue&quot;:&quot;10&quot;,&quot;volume&quot;:&quot;20&quot;,&quot;container-title-short&quot;:&quot;&quot;},&quot;isTemporary&quot;:false}]},{&quot;citationID&quot;:&quot;MENDELEY_CITATION_fa750db7-a34e-410a-ad7d-bd46826dac84&quot;,&quot;properties&quot;:{&quot;noteIndex&quot;:0},&quot;isEdited&quot;:false,&quot;manualOverride&quot;:{&quot;isManuallyOverridden&quot;:false,&quot;citeprocText&quot;:&quot;(2)&quot;,&quot;manualOverrideText&quot;:&quot;&quot;},&quot;citationTag&quot;:&quot;MENDELEY_CITATION_v3_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&quot;,&quot;citationItems&quot;:[{&quot;id&quot;:&quot;381d7961-68ef-3a98-af83-2d5982304a18&quot;,&quot;itemData&quot;:{&quot;type&quot;:&quot;article-journal&quot;,&quot;id&quot;:&quot;381d7961-68ef-3a98-af83-2d5982304a18&quot;,&quot;title&quot;:&quot;Health outcomes of young children born to mothers who received 2009 pandemic H1N1 influenza vaccination during pregnancy: retrospective cohort study.&quot;,&quot;author&quot;:[{&quot;family&quot;:&quot;Walsh&quot;,&quot;given&quot;:&quot;Laura K&quot;,&quot;parse-names&quot;:false,&quot;dropping-particle&quot;:&quot;&quot;,&quot;non-dropping-particle&quot;:&quot;&quot;},{&quot;family&quot;:&quot;Donelle&quot;,&quot;given&quot;:&quot;Jessy&quot;,&quot;parse-names&quot;:false,&quot;dropping-particle&quot;:&quot;&quot;,&quot;non-dropping-particle&quot;:&quot;&quot;},{&quot;family&quot;:&quot;Dodds&quot;,&quot;given&quot;:&quot;Linda&quot;,&quot;parse-names&quot;:false,&quot;dropping-particle&quot;:&quot;&quot;,&quot;non-dropping-particle&quot;:&quot;&quot;},{&quot;family&quot;:&quot;Hawken&quot;,&quot;given&quot;:&quot;Steven&quot;,&quot;parse-names&quot;:false,&quot;dropping-particle&quot;:&quot;&quot;,&quot;non-dropping-particle&quot;:&quot;&quot;},{&quot;family&quot;:&quot;Wilson&quot;,&quot;given&quot;:&quot;Kumanan&quot;,&quot;parse-names&quot;:false,&quot;dropping-particle&quot;:&quot;&quot;,&quot;non-dropping-particle&quot;:&quot;&quot;},{&quot;family&quot;:&quot;Benchimol&quot;,&quot;given&quot;:&quot;Eric I&quot;,&quot;parse-names&quot;:false,&quot;dropping-particle&quot;:&quot;&quot;,&quot;non-dropping-particle&quot;:&quot;&quot;},{&quot;family&quot;:&quot;Chakraborty&quot;,&quot;given&quot;:&quot;Pranesh&quot;,&quot;parse-names&quot;:false,&quot;dropping-particle&quot;:&quot;&quot;,&quot;non-dropping-particle&quot;:&quot;&quot;},{&quot;family&quot;:&quot;Guttmann&quot;,&quot;given&quot;:&quot;Astrid&quot;,&quot;parse-names&quot;:false,&quot;dropping-particle&quot;:&quot;&quot;,&quot;non-dropping-particle&quot;:&quot;&quot;},{&quot;family&quot;:&quot;Kwong&quot;,&quot;given&quot;:&quot;Jeffrey C&quot;,&quot;parse-names&quot;:false,&quot;dropping-particle&quot;:&quot;&quot;,&quot;non-dropping-particle&quot;:&quot;&quot;},{&quot;family&quot;:&quot;MacDonald&quot;,&quot;given&quot;:&quot;Noni E&quot;,&quot;parse-names&quot;:false,&quot;dropping-particle&quot;:&quot;&quot;,&quot;non-dropping-particle&quot;:&quot;&quot;},{&quot;family&quot;:&quot;Ortiz&quot;,&quot;given&quot;:&quot;Justin R&quot;,&quot;parse-names&quot;:false,&quot;dropping-particle&quot;:&quot;&quot;,&quot;non-dropping-particle&quot;:&quot;&quot;},{&quot;family&quot;:&quot;Sprague&quot;,&quot;given&quot;:&quot;Ann E&quot;,&quot;parse-names&quot;:false,&quot;dropping-particle&quot;:&quot;&quot;,&quot;non-dropping-particle&quot;:&quot;&quot;},{&quot;family&quot;:&quot;Top&quot;,&quot;given&quot;:&quot;Karina A&quot;,&quot;parse-names&quot;:false,&quot;dropping-particle&quot;:&quot;&quot;,&quot;non-dropping-particle&quot;:&quot;&quot;},{&quot;family&quot;:&quot;Walker&quot;,&quot;given&quot;:&quot;Mark C&quot;,&quot;parse-names&quot;:false,&quot;dropping-particle&quot;:&quot;&quot;,&quot;non-dropping-particle&quot;:&quot;&quot;},{&quot;family&quot;:&quot;Wen&quot;,&quot;given&quot;:&quot;Shi Wu&quot;,&quot;parse-names&quot;:false,&quot;dropping-particle&quot;:&quot;&quot;,&quot;non-dropping-particle&quot;:&quot;&quot;},{&quot;family&quot;:&quot;Fell&quot;,&quot;given&quot;:&quot;Deshayne B&quot;,&quot;parse-names&quot;:false,&quot;dropping-particle&quot;:&quot;&quot;,&quot;non-dropping-particle&quot;:&quot;&quot;}],&quot;container-title&quot;:&quot;BMJ (Clinical research ed.)&quot;,&quot;container-title-short&quot;:&quot;BMJ&quot;,&quot;DOI&quot;:&quot;10.1136/bmj.l4151&quot;,&quot;ISSN&quot;:&quot;1756-1833&quot;,&quot;PMID&quot;:&quot;31292120&quot;,&quot;URL&quot;:&quot;http://www.ncbi.nlm.nih.gov/pubmed/31292120&quot;,&quot;issued&quot;:{&quot;date-parts&quot;:[[2019]]},&quot;page&quot;:&quot;l4151&quot;,&quot;abstract&quot;:&quot;OBJECTIVE To determine whether any association exists between exposure to 2009 pandemic H1N1 (pH1N1) influenza vaccination during pregnancy and negative health outcomes in early childhood. DESIGN Retrospective cohort study. SETTING Population based birth registry linked with health administrative databases in the province of Ontario, Canada. PARTICIPANTS All live births from November 2009 through October 2010 (n=104 249) were included, and children were followed until 5 years of age to ascertain study outcomes. MAIN OUTCOME MEASURES Rates of immune related (infectious diseases, asthma), non-immune related (neoplasms, sensory disorders), and non-specific morbidity outcomes (urgent or inpatient health services use, pediatric complex chronic conditions) were evaluated from birth to 5 years of age; under-5 childhood mortality was also assessed. Propensity score weighting was used to adjust hazard ratios, incidence rate ratios, and risk ratios for potential confounding. RESULTS Of 104 249 live births, 31 295 (30%) were exposed to pH1N1 influenza vaccination in utero. No significant associations were found with upper or lower respiratory infections, otitis media, any infectious diseases, neoplasms, sensory disorders, urgent and inpatient health services use, pediatric complex chronic conditions, or mortality. A weak association was observed between prenatal pH1N1 vaccination and increased risk of asthma (adjusted hazard ratio 1.05, 95% confidence interval 1.02 to 1.09) and decreased rates of gastrointestinal infections (adjusted incidence rate ratio 0.94, 0.91 to 0.98). These results were unchanged in sensitivity analyses accounting for any potential differential healthcare seeking behavior or access between exposure groups. CONCLUSIONS No associations were observed between exposure to pH1N1 influenza vaccine during pregnancy and most five year pediatric health outcomes. Residual confounding may explain the small associations observed with increased asthma and reduced gastrointestinal infections. These outcomes should be assessed in future studies.&quot;,&quot;volume&quot;:&quot;366&quot;},&quot;isTemporary&quot;:false}]},{&quot;citationID&quot;:&quot;MENDELEY_CITATION_e891059d-4b6c-455b-aea5-e3b4ee5dfab6&quot;,&quot;properties&quot;:{&quot;noteIndex&quot;:0},&quot;isEdited&quot;:false,&quot;manualOverride&quot;:{&quot;isManuallyOverridden&quot;:false,&quot;citeprocText&quot;:&quot;(3,4)&quot;,&quot;manualOverrideText&quot;:&quot;&quot;},&quot;citationTag&quot;:&quot;MENDELEY_CITATION_v3_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&quot;,&quot;citationItems&quot;:[{&quot;id&quot;:&quot;cd98f64e-3ee5-369a-8fc5-e826f7230ee9&quot;,&quot;itemData&quot;:{&quot;type&quot;:&quot;article-journal&quot;,&quot;id&quot;:&quot;cd98f64e-3ee5-369a-8fc5-e826f7230ee9&quot;,&quot;title&quot;:&quot;Pediatric complex chronic conditions classification system version 2: updated for ICD-10 and complex medical technology dependence and transplantation&quot;,&quot;author&quot;:[{&quot;family&quot;:&quot;Feudtner&quot;,&quot;given&quot;:&quot;Chris&quot;,&quot;parse-names&quot;:false,&quot;dropping-particle&quot;:&quot;&quot;,&quot;non-dropping-particle&quot;:&quot;&quot;},{&quot;family&quot;:&quot;Feinstein&quot;,&quot;given&quot;:&quot;James A&quot;,&quot;parse-names&quot;:false,&quot;dropping-particle&quot;:&quot;&quot;,&quot;non-dropping-particle&quot;:&quot;&quot;},{&quot;family&quot;:&quot;Zhong&quot;,&quot;given&quot;:&quot;Wenjun&quot;,&quot;parse-names&quot;:false,&quot;dropping-particle&quot;:&quot;&quot;,&quot;non-dropping-particle&quot;:&quot;&quot;},{&quot;family&quot;:&quot;Hall&quot;,&quot;given&quot;:&quot;Matt&quot;,&quot;parse-names&quot;:false,&quot;dropping-particle&quot;:&quot;&quot;,&quot;non-dropping-particle&quot;:&quot;&quot;},{&quot;family&quot;:&quot;Dai&quot;,&quot;given&quot;:&quot;Dingwei&quot;,&quot;parse-names&quot;:false,&quot;dropping-particle&quot;:&quot;&quot;,&quot;non-dropping-particle&quot;:&quot;&quot;}],&quot;container-title&quot;:&quot;BMC Pediatrics&quot;,&quot;DOI&quot;:&quot;10.1186/1471-2431-14-199&quot;,&quot;ISSN&quot;:&quot;1471-2431&quot;,&quot;URL&quot;:&quot;http://bmcpediatr.biomedcentral.com/articles/10.1186/1471-2431-14-199&quot;,&quot;issued&quot;:{&quot;date-parts&quot;:[[2014,12,8]]},&quot;page&quot;:&quot;199&quot;,&quot;issue&quot;:&quot;1&quot;,&quot;volume&quot;:&quot;14&quot;,&quot;container-title-short&quot;:&quot;&quot;},&quot;isTemporary&quot;:false},{&quot;id&quot;:&quot;5edac893-97e5-3602-8516-1b6be212cf4a&quot;,&quot;itemData&quot;:{&quot;type&quot;:&quot;article-journal&quot;,&quot;id&quot;:&quot;5edac893-97e5-3602-8516-1b6be212cf4a&quot;,&quot;title&quot;:&quot;Patterns and Costs of Health Care Use of Children With Medical Complexity&quot;,&quot;author&quot;:[{&quot;family&quot;:&quot;Cohen&quot;,&quot;given&quot;:&quot;E.&quot;,&quot;parse-names&quot;:false,&quot;dropping-particle&quot;:&quot;&quot;,&quot;non-dropping-particle&quot;:&quot;&quot;},{&quot;family&quot;:&quot;Berry&quot;,&quot;given&quot;:&quot;J. G.&quot;,&quot;parse-names&quot;:false,&quot;dropping-particle&quot;:&quot;&quot;,&quot;non-dropping-particle&quot;:&quot;&quot;},{&quot;family&quot;:&quot;Camacho&quot;,&quot;given&quot;:&quot;X.&quot;,&quot;parse-names&quot;:false,&quot;dropping-particle&quot;:&quot;&quot;,&quot;non-dropping-particle&quot;:&quot;&quot;},{&quot;family&quot;:&quot;Anderson&quot;,&quot;given&quot;:&quot;G.&quot;,&quot;parse-names&quot;:false,&quot;dropping-particle&quot;:&quot;&quot;,&quot;non-dropping-particle&quot;:&quot;&quot;},{&quot;family&quot;:&quot;Wodchis&quot;,&quot;given&quot;:&quot;W.&quot;,&quot;parse-names&quot;:false,&quot;dropping-particle&quot;:&quot;&quot;,&quot;non-dropping-particle&quot;:&quot;&quot;},{&quot;family&quot;:&quot;Guttmann&quot;,&quot;given&quot;:&quot;A.&quot;,&quot;parse-names&quot;:false,&quot;dropping-particle&quot;:&quot;&quot;,&quot;non-dropping-particle&quot;:&quot;&quot;}],&quot;container-title&quot;:&quot;PEDIATRICS&quot;,&quot;DOI&quot;:&quot;10.1542/peds.2012-0175&quot;,&quot;ISSN&quot;:&quot;0031-4005&quot;,&quot;URL&quot;:&quot;http://pediatrics.aappublications.org/cgi/doi/10.1542/peds.2012-0175&quot;,&quot;issued&quot;:{&quot;date-parts&quot;:[[2012,12,1]]},&quot;page&quot;:&quot;e1463-e1470&quot;,&quot;issue&quot;:&quot;6&quot;,&quot;volume&quot;:&quot;130&quot;,&quot;container-title-short&quot;:&quot;&quot;},&quot;isTemporary&quot;:false}]}]"/>
    <we:property name="MENDELEY_CITATIONS_STYLE" value="{&quot;id&quot;:&quot;https://www.zotero.org/styles/fertility-and-sterility&quot;,&quot;title&quot;:&quot;Fertility and Sterility&quot;,&quot;format&quot;:&quot;numeric&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F325E0-F7A8-4EE9-BCA6-B9DADEB9A9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223</TotalTime>
  <Pages>1</Pages>
  <Words>14</Words>
  <Characters>85</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Sheryll</dc:creator>
  <cp:keywords/>
  <dc:description/>
  <cp:lastModifiedBy>Sheryll Dimanlig-Cruz</cp:lastModifiedBy>
  <cp:revision>148</cp:revision>
  <dcterms:created xsi:type="dcterms:W3CDTF">2022-03-12T22:33:00Z</dcterms:created>
  <dcterms:modified xsi:type="dcterms:W3CDTF">2022-10-19T18:10:00Z</dcterms:modified>
</cp:coreProperties>
</file>