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11/relationships/webextensiontaskpanes" Target="word/webextensions/taskpanes.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72EB9E" w14:textId="744C11D4" w:rsidR="007E0CED" w:rsidRPr="00E336C7" w:rsidRDefault="00E336C7" w:rsidP="007E0CED">
      <w:pPr>
        <w:pStyle w:val="Heading1"/>
        <w:spacing w:before="0" w:after="240"/>
        <w:rPr>
          <w:rFonts w:asciiTheme="minorHAnsi" w:hAnsiTheme="minorHAnsi" w:cstheme="minorHAnsi"/>
          <w:b/>
          <w:bCs/>
          <w:color w:val="auto"/>
          <w:sz w:val="22"/>
          <w:szCs w:val="22"/>
        </w:rPr>
      </w:pPr>
      <w:bookmarkStart w:id="0" w:name="_Toc87268247"/>
      <w:bookmarkStart w:id="1" w:name="_Toc102832387"/>
      <w:bookmarkStart w:id="2" w:name="_Toc86937157"/>
      <w:bookmarkStart w:id="3" w:name="_Toc86937356"/>
      <w:bookmarkStart w:id="4" w:name="_Toc87265101"/>
      <w:bookmarkStart w:id="5" w:name="_Toc87268239"/>
      <w:bookmarkStart w:id="6" w:name="_GoBack"/>
      <w:bookmarkEnd w:id="6"/>
      <w:r w:rsidRPr="00E336C7">
        <w:rPr>
          <w:rFonts w:asciiTheme="minorHAnsi" w:hAnsiTheme="minorHAnsi" w:cstheme="minorHAnsi"/>
          <w:b/>
          <w:bCs/>
          <w:color w:val="auto"/>
          <w:sz w:val="22"/>
          <w:szCs w:val="22"/>
        </w:rPr>
        <w:t xml:space="preserve">Supplementary table </w:t>
      </w:r>
      <w:r w:rsidR="00DF6D78">
        <w:rPr>
          <w:rFonts w:asciiTheme="minorHAnsi" w:hAnsiTheme="minorHAnsi" w:cstheme="minorHAnsi"/>
          <w:b/>
          <w:bCs/>
          <w:color w:val="auto"/>
          <w:sz w:val="22"/>
          <w:szCs w:val="22"/>
        </w:rPr>
        <w:t>3</w:t>
      </w:r>
      <w:r w:rsidR="007E0CED" w:rsidRPr="00E336C7">
        <w:rPr>
          <w:rFonts w:asciiTheme="minorHAnsi" w:hAnsiTheme="minorHAnsi" w:cstheme="minorHAnsi"/>
          <w:b/>
          <w:bCs/>
          <w:color w:val="auto"/>
          <w:sz w:val="22"/>
          <w:szCs w:val="22"/>
        </w:rPr>
        <w:t>. Categories of Pediatric Complex Chronic Conditions (PCCC) and corresponding ICD-10-CA codes</w:t>
      </w:r>
      <w:bookmarkEnd w:id="0"/>
      <w:r w:rsidR="007E0CED" w:rsidRPr="00E336C7">
        <w:rPr>
          <w:rFonts w:asciiTheme="minorHAnsi" w:hAnsiTheme="minorHAnsi" w:cstheme="minorHAnsi"/>
          <w:b/>
          <w:bCs/>
          <w:color w:val="auto"/>
          <w:sz w:val="22"/>
          <w:szCs w:val="22"/>
        </w:rPr>
        <w:t xml:space="preserve"> </w:t>
      </w:r>
      <w:sdt>
        <w:sdtPr>
          <w:rPr>
            <w:rFonts w:asciiTheme="minorHAnsi" w:hAnsiTheme="minorHAnsi" w:cstheme="minorHAnsi"/>
            <w:bCs/>
            <w:color w:val="000000"/>
            <w:sz w:val="22"/>
            <w:szCs w:val="22"/>
          </w:rPr>
          <w:tag w:val="MENDELEY_CITATION_v3_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"/>
          <w:id w:val="-122702257"/>
          <w:placeholder>
            <w:docPart w:val="DefaultPlaceholder_-1854013440"/>
          </w:placeholder>
        </w:sdtPr>
        <w:sdtEndPr/>
        <w:sdtContent>
          <w:r w:rsidR="00F2793D" w:rsidRPr="00F2793D">
            <w:rPr>
              <w:rFonts w:asciiTheme="minorHAnsi" w:hAnsiTheme="minorHAnsi" w:cstheme="minorHAnsi"/>
              <w:bCs/>
              <w:color w:val="000000"/>
              <w:sz w:val="22"/>
              <w:szCs w:val="22"/>
            </w:rPr>
            <w:t>(</w:t>
          </w:r>
          <w:r w:rsidR="001729DA">
            <w:rPr>
              <w:rFonts w:asciiTheme="minorHAnsi" w:hAnsiTheme="minorHAnsi" w:cstheme="minorHAnsi"/>
              <w:bCs/>
              <w:color w:val="000000"/>
              <w:sz w:val="22"/>
              <w:szCs w:val="22"/>
            </w:rPr>
            <w:t>1</w:t>
          </w:r>
          <w:r w:rsidR="00F2793D" w:rsidRPr="00F2793D">
            <w:rPr>
              <w:rFonts w:asciiTheme="minorHAnsi" w:hAnsiTheme="minorHAnsi" w:cstheme="minorHAnsi"/>
              <w:bCs/>
              <w:color w:val="000000"/>
              <w:sz w:val="22"/>
              <w:szCs w:val="22"/>
            </w:rPr>
            <w:t>,</w:t>
          </w:r>
          <w:r w:rsidR="001729DA">
            <w:rPr>
              <w:rFonts w:asciiTheme="minorHAnsi" w:hAnsiTheme="minorHAnsi" w:cstheme="minorHAnsi"/>
              <w:bCs/>
              <w:color w:val="000000"/>
              <w:sz w:val="22"/>
              <w:szCs w:val="22"/>
            </w:rPr>
            <w:t>2</w:t>
          </w:r>
          <w:r w:rsidR="00F2793D" w:rsidRPr="00F2793D">
            <w:rPr>
              <w:rFonts w:asciiTheme="minorHAnsi" w:hAnsiTheme="minorHAnsi" w:cstheme="minorHAnsi"/>
              <w:bCs/>
              <w:color w:val="000000"/>
              <w:sz w:val="22"/>
              <w:szCs w:val="22"/>
            </w:rPr>
            <w:t>)</w:t>
          </w:r>
        </w:sdtContent>
      </w:sdt>
      <w:bookmarkEnd w:id="1"/>
    </w:p>
    <w:tbl>
      <w:tblPr>
        <w:tblW w:w="127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051"/>
        <w:gridCol w:w="9688"/>
      </w:tblGrid>
      <w:tr w:rsidR="007E0CED" w:rsidRPr="00EF1FE0" w14:paraId="6C8AE1C2" w14:textId="77777777" w:rsidTr="0049437A">
        <w:trPr>
          <w:trHeight w:val="549"/>
        </w:trPr>
        <w:tc>
          <w:tcPr>
            <w:tcW w:w="3051" w:type="dxa"/>
            <w:shd w:val="clear" w:color="auto" w:fill="auto"/>
            <w:vAlign w:val="center"/>
          </w:tcPr>
          <w:p w14:paraId="01C5B22B" w14:textId="77777777" w:rsidR="007E0CED" w:rsidRPr="00EF1FE0" w:rsidRDefault="007E0CED" w:rsidP="0049437A">
            <w:pPr>
              <w:pStyle w:val="TableParagraph"/>
              <w:spacing w:line="240" w:lineRule="auto"/>
              <w:ind w:left="108"/>
              <w:rPr>
                <w:rFonts w:asciiTheme="minorHAnsi" w:hAnsiTheme="minorHAnsi" w:cstheme="minorHAnsi"/>
                <w:b/>
                <w:sz w:val="20"/>
                <w:szCs w:val="20"/>
              </w:rPr>
            </w:pPr>
            <w:r w:rsidRPr="00EF1FE0">
              <w:rPr>
                <w:rFonts w:asciiTheme="minorHAnsi" w:hAnsiTheme="minorHAnsi" w:cstheme="minorHAnsi"/>
                <w:b/>
                <w:sz w:val="20"/>
                <w:szCs w:val="20"/>
              </w:rPr>
              <w:t>Complex Chronic Conditions</w:t>
            </w:r>
          </w:p>
        </w:tc>
        <w:tc>
          <w:tcPr>
            <w:tcW w:w="9688" w:type="dxa"/>
            <w:shd w:val="clear" w:color="auto" w:fill="auto"/>
            <w:vAlign w:val="center"/>
          </w:tcPr>
          <w:p w14:paraId="1850BDB7" w14:textId="77777777" w:rsidR="007E0CED" w:rsidRPr="00EF1FE0" w:rsidRDefault="007E0CED" w:rsidP="0049437A">
            <w:pPr>
              <w:pStyle w:val="TableParagraph"/>
              <w:spacing w:line="240" w:lineRule="auto"/>
              <w:ind w:left="214" w:right="126"/>
              <w:rPr>
                <w:rFonts w:asciiTheme="minorHAnsi" w:hAnsiTheme="minorHAnsi" w:cstheme="minorHAnsi"/>
                <w:b/>
                <w:sz w:val="20"/>
                <w:szCs w:val="20"/>
              </w:rPr>
            </w:pPr>
            <w:r w:rsidRPr="00EF1FE0">
              <w:rPr>
                <w:rFonts w:asciiTheme="minorHAnsi" w:hAnsiTheme="minorHAnsi" w:cstheme="minorHAnsi"/>
                <w:b/>
                <w:sz w:val="20"/>
                <w:szCs w:val="20"/>
              </w:rPr>
              <w:t xml:space="preserve">ICD-10-CA diagnostic codes resulting from any hospital admission or emergency department record </w:t>
            </w:r>
            <w:r>
              <w:rPr>
                <w:rFonts w:asciiTheme="minorHAnsi" w:hAnsiTheme="minorHAnsi" w:cstheme="minorHAnsi"/>
                <w:b/>
                <w:sz w:val="20"/>
                <w:szCs w:val="20"/>
              </w:rPr>
              <w:t>from</w:t>
            </w:r>
            <w:r w:rsidRPr="00EF1FE0">
              <w:rPr>
                <w:rFonts w:asciiTheme="minorHAnsi" w:hAnsiTheme="minorHAnsi" w:cstheme="minorHAnsi"/>
                <w:b/>
                <w:sz w:val="20"/>
                <w:szCs w:val="20"/>
              </w:rPr>
              <w:t xml:space="preserve"> birth</w:t>
            </w:r>
            <w:r>
              <w:rPr>
                <w:rFonts w:asciiTheme="minorHAnsi" w:hAnsiTheme="minorHAnsi" w:cstheme="minorHAnsi"/>
                <w:b/>
                <w:sz w:val="20"/>
                <w:szCs w:val="20"/>
              </w:rPr>
              <w:t xml:space="preserve"> to 12 months of age</w:t>
            </w:r>
          </w:p>
        </w:tc>
      </w:tr>
      <w:tr w:rsidR="007E0CED" w:rsidRPr="00EF1FE0" w14:paraId="01EE3FF0" w14:textId="77777777" w:rsidTr="0049437A">
        <w:trPr>
          <w:trHeight w:val="1169"/>
        </w:trPr>
        <w:tc>
          <w:tcPr>
            <w:tcW w:w="3051" w:type="dxa"/>
            <w:shd w:val="clear" w:color="auto" w:fill="auto"/>
          </w:tcPr>
          <w:p w14:paraId="2703BCE0" w14:textId="77777777" w:rsidR="007E0CED" w:rsidRPr="00EF1FE0" w:rsidRDefault="007E0CED" w:rsidP="0049437A">
            <w:pPr>
              <w:pStyle w:val="TableParagraph"/>
              <w:spacing w:line="240" w:lineRule="auto"/>
              <w:ind w:left="108"/>
              <w:rPr>
                <w:rFonts w:asciiTheme="minorHAnsi" w:hAnsiTheme="minorHAnsi" w:cstheme="minorHAnsi"/>
                <w:sz w:val="20"/>
                <w:szCs w:val="20"/>
              </w:rPr>
            </w:pPr>
            <w:r w:rsidRPr="00EF1FE0">
              <w:rPr>
                <w:rFonts w:asciiTheme="minorHAnsi" w:hAnsiTheme="minorHAnsi" w:cstheme="minorHAnsi"/>
                <w:sz w:val="20"/>
                <w:szCs w:val="20"/>
              </w:rPr>
              <w:t>Neurologic / Neuromuscular</w:t>
            </w:r>
          </w:p>
        </w:tc>
        <w:tc>
          <w:tcPr>
            <w:tcW w:w="9688" w:type="dxa"/>
            <w:shd w:val="clear" w:color="auto" w:fill="auto"/>
          </w:tcPr>
          <w:p w14:paraId="55719858" w14:textId="77777777" w:rsidR="007E0CED" w:rsidRPr="00EF1FE0" w:rsidRDefault="007E0CED" w:rsidP="0049437A">
            <w:pPr>
              <w:pStyle w:val="TableParagraph"/>
              <w:spacing w:line="240" w:lineRule="auto"/>
              <w:ind w:left="214" w:right="126"/>
              <w:rPr>
                <w:rFonts w:asciiTheme="minorHAnsi" w:hAnsiTheme="minorHAnsi" w:cstheme="minorHAnsi"/>
                <w:sz w:val="20"/>
                <w:szCs w:val="20"/>
              </w:rPr>
            </w:pPr>
            <w:r w:rsidRPr="00EF1FE0">
              <w:rPr>
                <w:rFonts w:asciiTheme="minorHAnsi" w:hAnsiTheme="minorHAnsi" w:cstheme="minorHAnsi"/>
                <w:sz w:val="20"/>
                <w:szCs w:val="20"/>
              </w:rPr>
              <w:t>E750, E751, E752, E754, F71, F72, F73, F842, G111, G112, G114, G118, G119, G120, G121, G122, G128, G129, G3101, G3109, G318, G3189, G3289, G71, G72, G80, G901, G938, G939, G94, Q00, Q01, Q02, Q03, Q04, Q05, Q06, Q07, G911, G319, G253, G9519, G9589, G909, G40311, G40301, G40211, G40219, G40411, G40419, G40804, G40111, G40119, G40911, G40919, G371, G372, G378, G8190, G8290, G8250, G8251, G8252, G8253, G8254, G835, G839, G931, G935, I6330, I6350, G10, G20, G210, G2111, G2119, G218, G230, G231, G232, G238, G2402, G248, G253, G254, G255, G2581, G2582, G2583, G2589, G259, G803, R403, G9782, Z982, Z4541, Z4542, G310, G328, G951, G958, G4031, G4030, G4021, G4041, G4080, G4011, G4091, G82, I633, I635, G211, G240, G258, R4020, G978, G113, G318, Q851</w:t>
            </w:r>
          </w:p>
        </w:tc>
      </w:tr>
      <w:tr w:rsidR="007E0CED" w:rsidRPr="00EF1FE0" w14:paraId="22677E94" w14:textId="77777777" w:rsidTr="0049437A">
        <w:trPr>
          <w:trHeight w:val="1100"/>
        </w:trPr>
        <w:tc>
          <w:tcPr>
            <w:tcW w:w="3051" w:type="dxa"/>
            <w:shd w:val="clear" w:color="auto" w:fill="auto"/>
          </w:tcPr>
          <w:p w14:paraId="2C17971B" w14:textId="77777777" w:rsidR="007E0CED" w:rsidRPr="00EF1FE0" w:rsidRDefault="007E0CED" w:rsidP="0049437A">
            <w:pPr>
              <w:pStyle w:val="TableParagraph"/>
              <w:spacing w:before="109" w:line="240" w:lineRule="auto"/>
              <w:ind w:left="108"/>
              <w:rPr>
                <w:rFonts w:asciiTheme="minorHAnsi" w:hAnsiTheme="minorHAnsi" w:cstheme="minorHAnsi"/>
                <w:sz w:val="20"/>
                <w:szCs w:val="20"/>
              </w:rPr>
            </w:pPr>
            <w:r w:rsidRPr="00EF1FE0">
              <w:rPr>
                <w:rFonts w:asciiTheme="minorHAnsi" w:hAnsiTheme="minorHAnsi" w:cstheme="minorHAnsi"/>
                <w:sz w:val="20"/>
                <w:szCs w:val="20"/>
              </w:rPr>
              <w:t>Cardiovascular</w:t>
            </w:r>
          </w:p>
        </w:tc>
        <w:tc>
          <w:tcPr>
            <w:tcW w:w="9688" w:type="dxa"/>
            <w:shd w:val="clear" w:color="auto" w:fill="auto"/>
          </w:tcPr>
          <w:p w14:paraId="200CB424" w14:textId="77777777" w:rsidR="007E0CED" w:rsidRPr="00EF1FE0" w:rsidRDefault="007E0CED" w:rsidP="0049437A">
            <w:pPr>
              <w:pStyle w:val="TableParagraph"/>
              <w:spacing w:before="109" w:line="240" w:lineRule="auto"/>
              <w:ind w:left="214" w:right="126"/>
              <w:rPr>
                <w:rFonts w:asciiTheme="minorHAnsi" w:hAnsiTheme="minorHAnsi" w:cstheme="minorHAnsi"/>
                <w:sz w:val="20"/>
                <w:szCs w:val="20"/>
              </w:rPr>
            </w:pPr>
            <w:r w:rsidRPr="00EF1FE0">
              <w:rPr>
                <w:rFonts w:asciiTheme="minorHAnsi" w:hAnsiTheme="minorHAnsi" w:cstheme="minorHAnsi"/>
                <w:sz w:val="20"/>
                <w:szCs w:val="20"/>
              </w:rPr>
              <w:t>I270, I271, I272, I2781, I2789, I279, I340, I348, I360, I368, I370, I378, I42, I43, I44, I45, I47, I48, I490, I491, I493, I494, I495, I498, I499, I509, I515, I517, I5181, I63139, I63239, Q20, Q212, Q213, Q214, Q218, Q22, Q23, Q24, Q251, Q252, Q253, Q254, Q255, Q256, Q257, Q26, R001, Q282, Q283, Q289, Z951, Z941, Z950, Z952, Z95810, Z95811, Z95812, Z95818, Z953, Z45010, Z45018, Z4502, Z4509, Z959, I278, I518, I631, I632, T86200, T86201, T86202, T86300, T86301, T86302, Q219, Q258, Q259, Z943</w:t>
            </w:r>
          </w:p>
        </w:tc>
      </w:tr>
      <w:tr w:rsidR="007E0CED" w:rsidRPr="00EF1FE0" w14:paraId="05980FDA" w14:textId="77777777" w:rsidTr="0049437A">
        <w:trPr>
          <w:trHeight w:val="733"/>
        </w:trPr>
        <w:tc>
          <w:tcPr>
            <w:tcW w:w="3051" w:type="dxa"/>
            <w:shd w:val="clear" w:color="auto" w:fill="auto"/>
          </w:tcPr>
          <w:p w14:paraId="776FC1C3" w14:textId="77777777" w:rsidR="007E0CED" w:rsidRPr="00EF1FE0" w:rsidRDefault="007E0CED" w:rsidP="0049437A">
            <w:pPr>
              <w:pStyle w:val="TableParagraph"/>
              <w:spacing w:before="110" w:line="240" w:lineRule="auto"/>
              <w:ind w:left="108"/>
              <w:rPr>
                <w:rFonts w:asciiTheme="minorHAnsi" w:hAnsiTheme="minorHAnsi" w:cstheme="minorHAnsi"/>
                <w:sz w:val="20"/>
                <w:szCs w:val="20"/>
              </w:rPr>
            </w:pPr>
            <w:r w:rsidRPr="00EF1FE0">
              <w:rPr>
                <w:rFonts w:asciiTheme="minorHAnsi" w:hAnsiTheme="minorHAnsi" w:cstheme="minorHAnsi"/>
                <w:sz w:val="20"/>
                <w:szCs w:val="20"/>
              </w:rPr>
              <w:t>Respiratory</w:t>
            </w:r>
          </w:p>
        </w:tc>
        <w:tc>
          <w:tcPr>
            <w:tcW w:w="9688" w:type="dxa"/>
            <w:shd w:val="clear" w:color="auto" w:fill="auto"/>
          </w:tcPr>
          <w:p w14:paraId="1569596B" w14:textId="77777777" w:rsidR="007E0CED" w:rsidRPr="00EF1FE0" w:rsidRDefault="007E0CED" w:rsidP="0049437A">
            <w:pPr>
              <w:pStyle w:val="TableParagraph"/>
              <w:spacing w:before="110" w:line="240" w:lineRule="auto"/>
              <w:ind w:left="214" w:right="378"/>
              <w:rPr>
                <w:rFonts w:asciiTheme="minorHAnsi" w:hAnsiTheme="minorHAnsi" w:cstheme="minorHAnsi"/>
                <w:sz w:val="20"/>
                <w:szCs w:val="20"/>
              </w:rPr>
            </w:pPr>
            <w:r w:rsidRPr="00EF1FE0">
              <w:rPr>
                <w:rFonts w:asciiTheme="minorHAnsi" w:hAnsiTheme="minorHAnsi" w:cstheme="minorHAnsi"/>
                <w:sz w:val="20"/>
                <w:szCs w:val="20"/>
              </w:rPr>
              <w:t>E84, G4753, I2782, I43, Q30, Q31, Q32, Q33, Q34, P280, Z902, J84112, J9500, J9501, J9502, J9503, J9504, J9509, J9620, Z430, Z930, Z942, Z990, J95850, Z9911, Z9912, T86819, I278, J841, J9503, J96, J95, T86800, T86801, T86802</w:t>
            </w:r>
          </w:p>
        </w:tc>
      </w:tr>
      <w:tr w:rsidR="007E0CED" w:rsidRPr="00EF1FE0" w14:paraId="7617D648" w14:textId="77777777" w:rsidTr="0049437A">
        <w:trPr>
          <w:trHeight w:val="548"/>
        </w:trPr>
        <w:tc>
          <w:tcPr>
            <w:tcW w:w="3051" w:type="dxa"/>
            <w:shd w:val="clear" w:color="auto" w:fill="auto"/>
          </w:tcPr>
          <w:p w14:paraId="35A4D797" w14:textId="77777777" w:rsidR="007E0CED" w:rsidRPr="00EF1FE0" w:rsidRDefault="007E0CED" w:rsidP="0049437A">
            <w:pPr>
              <w:pStyle w:val="TableParagraph"/>
              <w:spacing w:before="111" w:line="240" w:lineRule="auto"/>
              <w:ind w:left="108"/>
              <w:rPr>
                <w:rFonts w:asciiTheme="minorHAnsi" w:hAnsiTheme="minorHAnsi" w:cstheme="minorHAnsi"/>
                <w:sz w:val="20"/>
                <w:szCs w:val="20"/>
              </w:rPr>
            </w:pPr>
            <w:proofErr w:type="spellStart"/>
            <w:r w:rsidRPr="00EF1FE0">
              <w:rPr>
                <w:rFonts w:asciiTheme="minorHAnsi" w:hAnsiTheme="minorHAnsi" w:cstheme="minorHAnsi"/>
                <w:sz w:val="20"/>
                <w:szCs w:val="20"/>
              </w:rPr>
              <w:t>Urorenal</w:t>
            </w:r>
            <w:proofErr w:type="spellEnd"/>
          </w:p>
        </w:tc>
        <w:tc>
          <w:tcPr>
            <w:tcW w:w="9688" w:type="dxa"/>
            <w:shd w:val="clear" w:color="auto" w:fill="auto"/>
          </w:tcPr>
          <w:p w14:paraId="0FEF9AF1" w14:textId="77777777" w:rsidR="007E0CED" w:rsidRPr="00EF1FE0" w:rsidRDefault="007E0CED" w:rsidP="0049437A">
            <w:pPr>
              <w:pStyle w:val="TableParagraph"/>
              <w:spacing w:before="111" w:line="240" w:lineRule="auto"/>
              <w:ind w:left="214" w:right="126"/>
              <w:rPr>
                <w:rFonts w:asciiTheme="minorHAnsi" w:hAnsiTheme="minorHAnsi" w:cstheme="minorHAnsi"/>
                <w:sz w:val="20"/>
                <w:szCs w:val="20"/>
              </w:rPr>
            </w:pPr>
            <w:r w:rsidRPr="00EF1FE0">
              <w:rPr>
                <w:rFonts w:asciiTheme="minorHAnsi" w:hAnsiTheme="minorHAnsi" w:cstheme="minorHAnsi"/>
                <w:sz w:val="20"/>
                <w:szCs w:val="20"/>
              </w:rPr>
              <w:t>N18, Q60, Q61, Q62, Q63, Q64, Z905, Z906, G834, N312, N319, Z940, Z9350, Z9351, Z9352, Z9359, Z936, Z9115, Z992, Z435, Z436, Z446, Z4901, Z4902, Z4931, Z4932, T8610, T8611, T8612, Z49, Z490</w:t>
            </w:r>
          </w:p>
        </w:tc>
      </w:tr>
      <w:tr w:rsidR="007E0CED" w:rsidRPr="00EF1FE0" w14:paraId="1765E6B9" w14:textId="77777777" w:rsidTr="0049437A">
        <w:trPr>
          <w:trHeight w:val="917"/>
        </w:trPr>
        <w:tc>
          <w:tcPr>
            <w:tcW w:w="3051" w:type="dxa"/>
            <w:shd w:val="clear" w:color="auto" w:fill="auto"/>
          </w:tcPr>
          <w:p w14:paraId="0B8473FB" w14:textId="77777777" w:rsidR="007E0CED" w:rsidRPr="00EF1FE0" w:rsidRDefault="007E0CED" w:rsidP="0049437A">
            <w:pPr>
              <w:pStyle w:val="TableParagraph"/>
              <w:spacing w:before="111" w:line="240" w:lineRule="auto"/>
              <w:ind w:left="108"/>
              <w:rPr>
                <w:rFonts w:asciiTheme="minorHAnsi" w:hAnsiTheme="minorHAnsi" w:cstheme="minorHAnsi"/>
                <w:sz w:val="20"/>
                <w:szCs w:val="20"/>
              </w:rPr>
            </w:pPr>
            <w:r w:rsidRPr="00EF1FE0">
              <w:rPr>
                <w:rFonts w:asciiTheme="minorHAnsi" w:hAnsiTheme="minorHAnsi" w:cstheme="minorHAnsi"/>
                <w:sz w:val="20"/>
                <w:szCs w:val="20"/>
              </w:rPr>
              <w:t>Gastrointestinal</w:t>
            </w:r>
          </w:p>
        </w:tc>
        <w:tc>
          <w:tcPr>
            <w:tcW w:w="9688" w:type="dxa"/>
            <w:shd w:val="clear" w:color="auto" w:fill="auto"/>
          </w:tcPr>
          <w:p w14:paraId="73622658" w14:textId="77777777" w:rsidR="007E0CED" w:rsidRPr="00EF1FE0" w:rsidRDefault="007E0CED" w:rsidP="0049437A">
            <w:pPr>
              <w:pStyle w:val="TableParagraph"/>
              <w:spacing w:before="111" w:line="240" w:lineRule="auto"/>
              <w:ind w:left="214" w:right="126"/>
              <w:rPr>
                <w:rFonts w:asciiTheme="minorHAnsi" w:hAnsiTheme="minorHAnsi" w:cstheme="minorHAnsi"/>
                <w:sz w:val="20"/>
                <w:szCs w:val="20"/>
              </w:rPr>
            </w:pPr>
            <w:r w:rsidRPr="00EF1FE0">
              <w:rPr>
                <w:rFonts w:asciiTheme="minorHAnsi" w:hAnsiTheme="minorHAnsi" w:cstheme="minorHAnsi"/>
                <w:sz w:val="20"/>
                <w:szCs w:val="20"/>
              </w:rPr>
              <w:t>K50, K51, K73, K74, K754, K760, K761, K762, K763, K768, Q390, Q391, Q392, Q393, Q394, Q41, Q42, Q43, Q44, Q45, I820, K551, K562, K593, Z980, Z903, Z9049, K9420, K9422, K9423, K9429, Z944, Z9482, Z9483, Z931, Z932, Z933, Z934, Z431, Z432, Z433, Z434, Z4651, Z4659, T8640, T8641, T8642, T86890, T86891, T86899, T86850, T86851, T86859, Z904, K765, T86810, T86811, T86812</w:t>
            </w:r>
          </w:p>
        </w:tc>
      </w:tr>
      <w:tr w:rsidR="007E0CED" w:rsidRPr="00EF1FE0" w14:paraId="5C4056C6" w14:textId="77777777" w:rsidTr="0049437A">
        <w:trPr>
          <w:trHeight w:val="731"/>
        </w:trPr>
        <w:tc>
          <w:tcPr>
            <w:tcW w:w="3051" w:type="dxa"/>
            <w:shd w:val="clear" w:color="auto" w:fill="auto"/>
          </w:tcPr>
          <w:p w14:paraId="3B50F849" w14:textId="77777777" w:rsidR="007E0CED" w:rsidRPr="00EF1FE0" w:rsidRDefault="007E0CED" w:rsidP="0049437A">
            <w:pPr>
              <w:pStyle w:val="TableParagraph"/>
              <w:spacing w:before="109" w:line="240" w:lineRule="auto"/>
              <w:ind w:left="108" w:right="131"/>
              <w:rPr>
                <w:rFonts w:asciiTheme="minorHAnsi" w:hAnsiTheme="minorHAnsi" w:cstheme="minorHAnsi"/>
                <w:sz w:val="20"/>
                <w:szCs w:val="20"/>
              </w:rPr>
            </w:pPr>
            <w:r w:rsidRPr="00EF1FE0">
              <w:rPr>
                <w:rFonts w:asciiTheme="minorHAnsi" w:hAnsiTheme="minorHAnsi" w:cstheme="minorHAnsi"/>
                <w:sz w:val="20"/>
                <w:szCs w:val="20"/>
              </w:rPr>
              <w:t xml:space="preserve">Hematology and </w:t>
            </w:r>
            <w:r w:rsidRPr="00EF1FE0">
              <w:rPr>
                <w:rFonts w:asciiTheme="minorHAnsi" w:hAnsiTheme="minorHAnsi" w:cstheme="minorHAnsi"/>
                <w:w w:val="95"/>
                <w:sz w:val="20"/>
                <w:szCs w:val="20"/>
              </w:rPr>
              <w:t>immunodeficiency</w:t>
            </w:r>
          </w:p>
        </w:tc>
        <w:tc>
          <w:tcPr>
            <w:tcW w:w="9688" w:type="dxa"/>
            <w:shd w:val="clear" w:color="auto" w:fill="auto"/>
          </w:tcPr>
          <w:p w14:paraId="2C51E163" w14:textId="77777777" w:rsidR="007E0CED" w:rsidRPr="00EF1FE0" w:rsidRDefault="007E0CED" w:rsidP="0049437A">
            <w:pPr>
              <w:pStyle w:val="TableParagraph"/>
              <w:spacing w:before="109" w:line="240" w:lineRule="auto"/>
              <w:ind w:left="214" w:right="126"/>
              <w:rPr>
                <w:rFonts w:asciiTheme="minorHAnsi" w:hAnsiTheme="minorHAnsi" w:cstheme="minorHAnsi"/>
                <w:sz w:val="20"/>
                <w:szCs w:val="20"/>
              </w:rPr>
            </w:pPr>
            <w:r w:rsidRPr="00EF1FE0">
              <w:rPr>
                <w:rFonts w:asciiTheme="minorHAnsi" w:hAnsiTheme="minorHAnsi" w:cstheme="minorHAnsi"/>
                <w:sz w:val="20"/>
                <w:szCs w:val="20"/>
              </w:rPr>
              <w:t>B20, D55, D56, D57, D58, D60, D61, D71, D720, D80, D81, D82, D83, D84, D85, D87, D88, D86, M303, M359, B21, B22, B23, B24, D700, D704, D66, D682, D6941, D6942, D761, D762, D763, D869, M300, M310, M311, M3130, M314, M316, M3210, M3390, M340, M341, M349, D694, M321, M339, D89, D694</w:t>
            </w:r>
          </w:p>
        </w:tc>
      </w:tr>
      <w:tr w:rsidR="007E0CED" w:rsidRPr="00EF1FE0" w14:paraId="04963004" w14:textId="77777777" w:rsidTr="0049437A">
        <w:trPr>
          <w:trHeight w:val="132"/>
        </w:trPr>
        <w:tc>
          <w:tcPr>
            <w:tcW w:w="3051" w:type="dxa"/>
            <w:shd w:val="clear" w:color="auto" w:fill="auto"/>
          </w:tcPr>
          <w:p w14:paraId="2B4DD288" w14:textId="77777777" w:rsidR="007E0CED" w:rsidRPr="00EF1FE0" w:rsidRDefault="007E0CED" w:rsidP="0049437A">
            <w:pPr>
              <w:pStyle w:val="TableParagraph"/>
              <w:spacing w:before="109" w:line="240" w:lineRule="auto"/>
              <w:ind w:left="108"/>
              <w:rPr>
                <w:rFonts w:asciiTheme="minorHAnsi" w:hAnsiTheme="minorHAnsi" w:cstheme="minorHAnsi"/>
                <w:sz w:val="20"/>
                <w:szCs w:val="20"/>
              </w:rPr>
            </w:pPr>
            <w:r w:rsidRPr="00EF1FE0">
              <w:rPr>
                <w:rFonts w:asciiTheme="minorHAnsi" w:hAnsiTheme="minorHAnsi" w:cstheme="minorHAnsi"/>
                <w:sz w:val="20"/>
                <w:szCs w:val="20"/>
              </w:rPr>
              <w:t>Metabolic</w:t>
            </w:r>
          </w:p>
        </w:tc>
        <w:tc>
          <w:tcPr>
            <w:tcW w:w="9688" w:type="dxa"/>
            <w:shd w:val="clear" w:color="auto" w:fill="auto"/>
          </w:tcPr>
          <w:p w14:paraId="639274C2" w14:textId="77777777" w:rsidR="007E0CED" w:rsidRPr="00EF1FE0" w:rsidRDefault="007E0CED" w:rsidP="0049437A">
            <w:pPr>
              <w:pStyle w:val="TableParagraph"/>
              <w:spacing w:before="109" w:line="240" w:lineRule="auto"/>
              <w:ind w:left="214" w:right="367"/>
              <w:rPr>
                <w:rFonts w:asciiTheme="minorHAnsi" w:hAnsiTheme="minorHAnsi" w:cstheme="minorHAnsi"/>
                <w:sz w:val="20"/>
                <w:szCs w:val="20"/>
              </w:rPr>
            </w:pPr>
            <w:r w:rsidRPr="00EF1FE0">
              <w:rPr>
                <w:rFonts w:asciiTheme="minorHAnsi" w:hAnsiTheme="minorHAnsi" w:cstheme="minorHAnsi"/>
                <w:sz w:val="20"/>
                <w:szCs w:val="20"/>
              </w:rPr>
              <w:t>D841, E700, E702, E703, E704, E705, E708, E710, E711, E712, E713, E714, E715, E720, E721, E722, E723, E724, E728, E729, E740, E741, E742, E743, E744, E748, E749, E75, E760, E761, E762, E763, E770, E771, E780, E781, E782, E783, E784, E785, E786, E787, E788, E789, E791, E798, E804, E805, E806, E807, E830,E831, E833, E834, E88, H498, E85, E009, E230, E232, E222, E233, E237, E240, E242, E243, E248,</w:t>
            </w:r>
            <w:r w:rsidRPr="00EF1FE0">
              <w:rPr>
                <w:rFonts w:asciiTheme="minorHAnsi" w:hAnsiTheme="minorHAnsi" w:cstheme="minorHAnsi"/>
                <w:spacing w:val="-32"/>
                <w:sz w:val="20"/>
                <w:szCs w:val="20"/>
              </w:rPr>
              <w:t xml:space="preserve"> </w:t>
            </w:r>
            <w:r w:rsidRPr="00EF1FE0">
              <w:rPr>
                <w:rFonts w:asciiTheme="minorHAnsi" w:hAnsiTheme="minorHAnsi" w:cstheme="minorHAnsi"/>
                <w:sz w:val="20"/>
                <w:szCs w:val="20"/>
              </w:rPr>
              <w:t>E249, E2681, E250, E258, E259, Z4681, Z794, Z9641, E70, E71, E78, E268</w:t>
            </w:r>
          </w:p>
        </w:tc>
      </w:tr>
      <w:tr w:rsidR="00B709D8" w:rsidRPr="00EF1FE0" w14:paraId="22B93A9A" w14:textId="77777777" w:rsidTr="00C713AD">
        <w:trPr>
          <w:trHeight w:val="132"/>
        </w:trPr>
        <w:tc>
          <w:tcPr>
            <w:tcW w:w="3051" w:type="dxa"/>
            <w:shd w:val="clear" w:color="auto" w:fill="auto"/>
            <w:vAlign w:val="center"/>
          </w:tcPr>
          <w:p w14:paraId="5D688D9F" w14:textId="7F2D24F1" w:rsidR="00B709D8" w:rsidRPr="00EF1FE0" w:rsidRDefault="00B709D8" w:rsidP="00B709D8">
            <w:pPr>
              <w:pStyle w:val="TableParagraph"/>
              <w:spacing w:before="109" w:line="240" w:lineRule="auto"/>
              <w:ind w:left="108"/>
              <w:rPr>
                <w:rFonts w:asciiTheme="minorHAnsi" w:hAnsiTheme="minorHAnsi" w:cstheme="minorHAnsi"/>
                <w:sz w:val="20"/>
                <w:szCs w:val="20"/>
              </w:rPr>
            </w:pPr>
            <w:r w:rsidRPr="00EF1FE0">
              <w:rPr>
                <w:rFonts w:asciiTheme="minorHAnsi" w:hAnsiTheme="minorHAnsi" w:cstheme="minorHAnsi"/>
                <w:b/>
                <w:sz w:val="20"/>
                <w:szCs w:val="20"/>
              </w:rPr>
              <w:lastRenderedPageBreak/>
              <w:t>Complex Chronic Conditions</w:t>
            </w:r>
          </w:p>
        </w:tc>
        <w:tc>
          <w:tcPr>
            <w:tcW w:w="9688" w:type="dxa"/>
            <w:shd w:val="clear" w:color="auto" w:fill="auto"/>
            <w:vAlign w:val="center"/>
          </w:tcPr>
          <w:p w14:paraId="0F0DE28F" w14:textId="01EF2432" w:rsidR="00B709D8" w:rsidRPr="00EF1FE0" w:rsidRDefault="00B709D8" w:rsidP="00B709D8">
            <w:pPr>
              <w:pStyle w:val="TableParagraph"/>
              <w:spacing w:before="109" w:line="240" w:lineRule="auto"/>
              <w:ind w:left="214" w:right="367"/>
              <w:rPr>
                <w:rFonts w:asciiTheme="minorHAnsi" w:hAnsiTheme="minorHAnsi" w:cstheme="minorHAnsi"/>
                <w:sz w:val="20"/>
                <w:szCs w:val="20"/>
              </w:rPr>
            </w:pPr>
            <w:r w:rsidRPr="00EF1FE0">
              <w:rPr>
                <w:rFonts w:asciiTheme="minorHAnsi" w:hAnsiTheme="minorHAnsi" w:cstheme="minorHAnsi"/>
                <w:b/>
                <w:sz w:val="20"/>
                <w:szCs w:val="20"/>
              </w:rPr>
              <w:t xml:space="preserve">ICD-10-CA diagnostic codes resulting from any hospital admission or emergency department record </w:t>
            </w:r>
            <w:r>
              <w:rPr>
                <w:rFonts w:asciiTheme="minorHAnsi" w:hAnsiTheme="minorHAnsi" w:cstheme="minorHAnsi"/>
                <w:b/>
                <w:sz w:val="20"/>
                <w:szCs w:val="20"/>
              </w:rPr>
              <w:t>from</w:t>
            </w:r>
            <w:r w:rsidRPr="00EF1FE0">
              <w:rPr>
                <w:rFonts w:asciiTheme="minorHAnsi" w:hAnsiTheme="minorHAnsi" w:cstheme="minorHAnsi"/>
                <w:b/>
                <w:sz w:val="20"/>
                <w:szCs w:val="20"/>
              </w:rPr>
              <w:t xml:space="preserve"> birth</w:t>
            </w:r>
            <w:r>
              <w:rPr>
                <w:rFonts w:asciiTheme="minorHAnsi" w:hAnsiTheme="minorHAnsi" w:cstheme="minorHAnsi"/>
                <w:b/>
                <w:sz w:val="20"/>
                <w:szCs w:val="20"/>
              </w:rPr>
              <w:t xml:space="preserve"> to 12 months of age</w:t>
            </w:r>
          </w:p>
        </w:tc>
      </w:tr>
      <w:tr w:rsidR="00B709D8" w:rsidRPr="00EF1FE0" w14:paraId="5BB65AF3" w14:textId="77777777" w:rsidTr="0049437A">
        <w:trPr>
          <w:trHeight w:val="821"/>
        </w:trPr>
        <w:tc>
          <w:tcPr>
            <w:tcW w:w="3051" w:type="dxa"/>
            <w:shd w:val="clear" w:color="auto" w:fill="auto"/>
          </w:tcPr>
          <w:p w14:paraId="10BCAE65" w14:textId="77777777" w:rsidR="00B709D8" w:rsidRPr="00EF1FE0" w:rsidRDefault="00B709D8" w:rsidP="00B709D8">
            <w:pPr>
              <w:pStyle w:val="TableParagraph"/>
              <w:spacing w:before="109" w:line="240" w:lineRule="auto"/>
              <w:ind w:left="108"/>
              <w:rPr>
                <w:rFonts w:asciiTheme="minorHAnsi" w:hAnsiTheme="minorHAnsi" w:cstheme="minorHAnsi"/>
                <w:sz w:val="20"/>
                <w:szCs w:val="20"/>
              </w:rPr>
            </w:pPr>
            <w:r w:rsidRPr="00EF1FE0">
              <w:rPr>
                <w:rFonts w:asciiTheme="minorHAnsi" w:hAnsiTheme="minorHAnsi" w:cstheme="minorHAnsi"/>
                <w:sz w:val="20"/>
                <w:szCs w:val="20"/>
              </w:rPr>
              <w:t>Other Congenital or Genetic Defect</w:t>
            </w:r>
          </w:p>
        </w:tc>
        <w:tc>
          <w:tcPr>
            <w:tcW w:w="9688" w:type="dxa"/>
            <w:shd w:val="clear" w:color="auto" w:fill="auto"/>
          </w:tcPr>
          <w:p w14:paraId="317B2139" w14:textId="77777777" w:rsidR="00B709D8" w:rsidRPr="00EF1FE0" w:rsidRDefault="00B709D8" w:rsidP="00B709D8">
            <w:pPr>
              <w:pStyle w:val="TableParagraph"/>
              <w:spacing w:before="109" w:line="240" w:lineRule="auto"/>
              <w:ind w:left="214" w:right="367"/>
              <w:rPr>
                <w:rFonts w:asciiTheme="minorHAnsi" w:hAnsiTheme="minorHAnsi" w:cstheme="minorHAnsi"/>
                <w:sz w:val="20"/>
                <w:szCs w:val="20"/>
              </w:rPr>
            </w:pPr>
            <w:r w:rsidRPr="00EF1FE0">
              <w:rPr>
                <w:rFonts w:asciiTheme="minorHAnsi" w:hAnsiTheme="minorHAnsi" w:cstheme="minorHAnsi"/>
                <w:sz w:val="20"/>
                <w:szCs w:val="20"/>
              </w:rPr>
              <w:t>E343, K449, M410, M412, M4130, M418, M419, M4330, M965, Q722, Q750, Q752, Q759, Q760, Q761, Q762, Q764, Q765, Q766, Q767, Q77, Q780, Q781, Q782, Q783, Q784, Q788, Q789, Q790, Q791, Q792, Q793, Q794, Q799, Q795, Q8740, Q8781, Q8789, Q897, Q899, Q909, Q913, Q914, Q917, Q928, Q93, Q950, Q969, Q97, Q98, Q992, Q998, Q999, Q898, Q81</w:t>
            </w:r>
          </w:p>
        </w:tc>
      </w:tr>
      <w:tr w:rsidR="00B709D8" w:rsidRPr="00EF1FE0" w14:paraId="711AF190" w14:textId="77777777" w:rsidTr="0049437A">
        <w:trPr>
          <w:trHeight w:val="426"/>
        </w:trPr>
        <w:tc>
          <w:tcPr>
            <w:tcW w:w="3051" w:type="dxa"/>
            <w:shd w:val="clear" w:color="auto" w:fill="auto"/>
          </w:tcPr>
          <w:p w14:paraId="7DCC14E9" w14:textId="77777777" w:rsidR="00B709D8" w:rsidRPr="00EF1FE0" w:rsidRDefault="00B709D8" w:rsidP="00B709D8">
            <w:pPr>
              <w:pStyle w:val="TableParagraph"/>
              <w:spacing w:before="109" w:line="240" w:lineRule="auto"/>
              <w:ind w:left="108"/>
              <w:rPr>
                <w:rFonts w:asciiTheme="minorHAnsi" w:hAnsiTheme="minorHAnsi" w:cstheme="minorHAnsi"/>
                <w:sz w:val="20"/>
                <w:szCs w:val="20"/>
              </w:rPr>
            </w:pPr>
            <w:r w:rsidRPr="00EF1FE0">
              <w:rPr>
                <w:rFonts w:asciiTheme="minorHAnsi" w:hAnsiTheme="minorHAnsi" w:cstheme="minorHAnsi"/>
                <w:sz w:val="20"/>
                <w:szCs w:val="20"/>
              </w:rPr>
              <w:t>Malignancy</w:t>
            </w:r>
          </w:p>
        </w:tc>
        <w:tc>
          <w:tcPr>
            <w:tcW w:w="9688" w:type="dxa"/>
            <w:shd w:val="clear" w:color="auto" w:fill="auto"/>
          </w:tcPr>
          <w:p w14:paraId="194B196C" w14:textId="77777777" w:rsidR="00B709D8" w:rsidRPr="00EF1FE0" w:rsidRDefault="00B709D8" w:rsidP="00B709D8">
            <w:pPr>
              <w:pStyle w:val="TableParagraph"/>
              <w:spacing w:before="109" w:line="240" w:lineRule="auto"/>
              <w:ind w:left="214" w:right="367"/>
              <w:rPr>
                <w:rFonts w:asciiTheme="minorHAnsi" w:eastAsia="MS Mincho" w:hAnsiTheme="minorHAnsi" w:cstheme="minorHAnsi"/>
                <w:sz w:val="20"/>
                <w:szCs w:val="20"/>
              </w:rPr>
            </w:pPr>
            <w:r w:rsidRPr="00EF1FE0">
              <w:rPr>
                <w:rFonts w:asciiTheme="minorHAnsi" w:eastAsia="MS Mincho" w:hAnsiTheme="minorHAnsi" w:cstheme="minorHAnsi"/>
                <w:sz w:val="20"/>
                <w:szCs w:val="20"/>
              </w:rPr>
              <w:t>C00, C01, C02, C03, C04, C05, C06, C07, C08, C09, C10, C11, C12, C13, C14, C15, C16, C17, C18, C19, C20, C21, C22, C23, C24, C25, C26, C30, C31, C32, C33, C34, C35, C36, C37, C38, C39, C40, C41, C43, C44, C45, C46, C47, C48, C49, C50, C51, C52, C53, C54, C55, C56, C57, C58, C60, C61, C62, C63, C64, C65, C66, C67, C68, C69, C70, C71, C72, C73, C74, C75, C76, C77, C78, C79, C80, C81, C82, C83, C84, C85, C86, C87, C88, C89, C90, C91, C92, C93, C94, C95, C96, C97, D00, D01, D02, D03, D04, D05, D06, D07, D08, D09, D10, D11, D12, D13, D14, D15,</w:t>
            </w:r>
            <w:r>
              <w:rPr>
                <w:rFonts w:asciiTheme="minorHAnsi" w:eastAsia="MS Mincho" w:hAnsiTheme="minorHAnsi" w:cstheme="minorHAnsi"/>
                <w:sz w:val="20"/>
                <w:szCs w:val="20"/>
              </w:rPr>
              <w:t xml:space="preserve"> </w:t>
            </w:r>
            <w:r w:rsidRPr="00EF1FE0">
              <w:rPr>
                <w:rFonts w:asciiTheme="minorHAnsi" w:eastAsia="MS Mincho" w:hAnsiTheme="minorHAnsi" w:cstheme="minorHAnsi"/>
                <w:sz w:val="20"/>
                <w:szCs w:val="20"/>
              </w:rPr>
              <w:t>D16, D17, D18, D19, D20, D21, D22, D23, D24, D25, D26,D27, D28, D29, D30, D31, D32, D33, D34, D35, D36, D37, D38, D39, D40, D41, D42, D43, D44, D45, D46, D47, D48</w:t>
            </w:r>
          </w:p>
        </w:tc>
      </w:tr>
      <w:tr w:rsidR="00B709D8" w:rsidRPr="00EF1FE0" w14:paraId="41CA9187" w14:textId="77777777" w:rsidTr="0049437A">
        <w:trPr>
          <w:trHeight w:val="426"/>
        </w:trPr>
        <w:tc>
          <w:tcPr>
            <w:tcW w:w="3051" w:type="dxa"/>
            <w:shd w:val="clear" w:color="auto" w:fill="auto"/>
          </w:tcPr>
          <w:p w14:paraId="31B21D65" w14:textId="77777777" w:rsidR="00B709D8" w:rsidRPr="00EF1FE0" w:rsidRDefault="00B709D8" w:rsidP="00B709D8">
            <w:pPr>
              <w:pStyle w:val="TableParagraph"/>
              <w:spacing w:before="109" w:line="240" w:lineRule="auto"/>
              <w:ind w:left="108"/>
              <w:rPr>
                <w:rFonts w:asciiTheme="minorHAnsi" w:hAnsiTheme="minorHAnsi" w:cstheme="minorHAnsi"/>
                <w:sz w:val="20"/>
                <w:szCs w:val="20"/>
              </w:rPr>
            </w:pPr>
            <w:r w:rsidRPr="00EF1FE0">
              <w:rPr>
                <w:rFonts w:asciiTheme="minorHAnsi" w:hAnsiTheme="minorHAnsi" w:cstheme="minorHAnsi"/>
                <w:sz w:val="20"/>
                <w:szCs w:val="20"/>
              </w:rPr>
              <w:t>Technology Assistance</w:t>
            </w:r>
          </w:p>
        </w:tc>
        <w:tc>
          <w:tcPr>
            <w:tcW w:w="9688" w:type="dxa"/>
            <w:shd w:val="clear" w:color="auto" w:fill="auto"/>
          </w:tcPr>
          <w:p w14:paraId="191E7DBE" w14:textId="77777777" w:rsidR="00B709D8" w:rsidRPr="00EF1FE0" w:rsidRDefault="00B709D8" w:rsidP="00B709D8">
            <w:pPr>
              <w:pStyle w:val="TableParagraph"/>
              <w:spacing w:before="109" w:line="240" w:lineRule="auto"/>
              <w:ind w:left="214" w:right="367"/>
              <w:rPr>
                <w:rFonts w:asciiTheme="minorHAnsi" w:eastAsia="MS Mincho" w:hAnsiTheme="minorHAnsi" w:cstheme="minorHAnsi"/>
                <w:sz w:val="20"/>
                <w:szCs w:val="20"/>
              </w:rPr>
            </w:pPr>
            <w:r w:rsidRPr="00EF1FE0">
              <w:rPr>
                <w:rFonts w:asciiTheme="minorHAnsi" w:eastAsia="MS Mincho" w:hAnsiTheme="minorHAnsi" w:cstheme="minorHAnsi"/>
                <w:sz w:val="20"/>
                <w:szCs w:val="20"/>
              </w:rPr>
              <w:t>K9140, K9141, K9142, K9149, J9500, J9501, J9502, J9503, J9508, J9509, Z459, Z930, Z931, Z932, Z933, Z935, Z936, Z430, Z431, Z432, Z433, Z435, Z436, Z491, Z492, Z992, Z465, Z950, Z96, T823, T824</w:t>
            </w:r>
          </w:p>
        </w:tc>
      </w:tr>
    </w:tbl>
    <w:p w14:paraId="62935E08" w14:textId="77777777" w:rsidR="004A2003" w:rsidRDefault="004A2003" w:rsidP="00FE2E6E">
      <w:pPr>
        <w:pStyle w:val="Heading1"/>
        <w:ind w:left="-450"/>
        <w:rPr>
          <w:rFonts w:asciiTheme="minorHAnsi" w:hAnsiTheme="minorHAnsi" w:cstheme="minorHAnsi"/>
          <w:b/>
          <w:bCs/>
          <w:color w:val="auto"/>
          <w:sz w:val="22"/>
          <w:szCs w:val="22"/>
        </w:rPr>
      </w:pPr>
    </w:p>
    <w:p w14:paraId="5D0C0E2E" w14:textId="77777777" w:rsidR="004A2003" w:rsidRDefault="004A2003" w:rsidP="00FE2E6E">
      <w:pPr>
        <w:pStyle w:val="Heading1"/>
        <w:ind w:left="-450"/>
        <w:rPr>
          <w:rFonts w:asciiTheme="minorHAnsi" w:hAnsiTheme="minorHAnsi" w:cstheme="minorHAnsi"/>
          <w:b/>
          <w:bCs/>
          <w:color w:val="auto"/>
          <w:sz w:val="22"/>
          <w:szCs w:val="22"/>
        </w:rPr>
      </w:pPr>
    </w:p>
    <w:p w14:paraId="4A6827B1" w14:textId="77777777" w:rsidR="004A2003" w:rsidRDefault="004A2003" w:rsidP="00FE2E6E">
      <w:pPr>
        <w:pStyle w:val="Heading1"/>
        <w:ind w:left="-450"/>
        <w:rPr>
          <w:rFonts w:asciiTheme="minorHAnsi" w:hAnsiTheme="minorHAnsi" w:cstheme="minorHAnsi"/>
          <w:b/>
          <w:bCs/>
          <w:color w:val="auto"/>
          <w:sz w:val="22"/>
          <w:szCs w:val="22"/>
        </w:rPr>
      </w:pPr>
    </w:p>
    <w:p w14:paraId="38ECE45D" w14:textId="77777777" w:rsidR="004A2003" w:rsidRDefault="004A2003" w:rsidP="00FE2E6E">
      <w:pPr>
        <w:pStyle w:val="Heading1"/>
        <w:ind w:left="-450"/>
        <w:rPr>
          <w:rFonts w:asciiTheme="minorHAnsi" w:hAnsiTheme="minorHAnsi" w:cstheme="minorHAnsi"/>
          <w:b/>
          <w:bCs/>
          <w:color w:val="auto"/>
          <w:sz w:val="22"/>
          <w:szCs w:val="22"/>
        </w:rPr>
      </w:pPr>
    </w:p>
    <w:p w14:paraId="20C3AC65" w14:textId="2BC918F1" w:rsidR="004A2003" w:rsidRDefault="004A2003" w:rsidP="00FE2E6E">
      <w:pPr>
        <w:pStyle w:val="Heading1"/>
        <w:ind w:left="-450"/>
        <w:rPr>
          <w:rFonts w:asciiTheme="minorHAnsi" w:hAnsiTheme="minorHAnsi" w:cstheme="minorHAnsi"/>
          <w:b/>
          <w:bCs/>
          <w:color w:val="auto"/>
          <w:sz w:val="22"/>
          <w:szCs w:val="22"/>
        </w:rPr>
      </w:pPr>
    </w:p>
    <w:p w14:paraId="5CCEA19A" w14:textId="7D050FA6" w:rsidR="00B709D8" w:rsidRDefault="00B709D8" w:rsidP="00B709D8"/>
    <w:p w14:paraId="2F61A667" w14:textId="77777777" w:rsidR="00DD63D0" w:rsidRDefault="00DD63D0" w:rsidP="00B709D8"/>
    <w:p w14:paraId="5898FA82" w14:textId="1FFC280D" w:rsidR="00B709D8" w:rsidRPr="00DD63D0" w:rsidRDefault="001729DA" w:rsidP="00B709D8">
      <w:pPr>
        <w:rPr>
          <w:b/>
          <w:bCs/>
        </w:rPr>
      </w:pPr>
      <w:r w:rsidRPr="00DD63D0">
        <w:rPr>
          <w:b/>
          <w:bCs/>
        </w:rPr>
        <w:t>References:</w:t>
      </w:r>
    </w:p>
    <w:p w14:paraId="1CA78B6D" w14:textId="77777777" w:rsidR="001729DA" w:rsidRDefault="001729DA" w:rsidP="001729DA">
      <w:pPr>
        <w:pStyle w:val="ListParagraph"/>
        <w:numPr>
          <w:ilvl w:val="0"/>
          <w:numId w:val="2"/>
        </w:numPr>
        <w:autoSpaceDE w:val="0"/>
        <w:autoSpaceDN w:val="0"/>
        <w:rPr>
          <w:rFonts w:eastAsia="Times New Roman"/>
        </w:rPr>
      </w:pPr>
      <w:proofErr w:type="spellStart"/>
      <w:r w:rsidRPr="001729DA">
        <w:rPr>
          <w:rFonts w:eastAsia="Times New Roman"/>
        </w:rPr>
        <w:t>Feudtner</w:t>
      </w:r>
      <w:proofErr w:type="spellEnd"/>
      <w:r w:rsidRPr="001729DA">
        <w:rPr>
          <w:rFonts w:eastAsia="Times New Roman"/>
        </w:rPr>
        <w:t xml:space="preserve"> C, Feinstein JA, Zhong W, Hall M, Dai D. Pediatric complex chronic conditions classification system version 2: updated for ICD-10 and complex medical technology dependence and transplantation. BMC </w:t>
      </w:r>
      <w:proofErr w:type="spellStart"/>
      <w:r w:rsidRPr="001729DA">
        <w:rPr>
          <w:rFonts w:eastAsia="Times New Roman"/>
        </w:rPr>
        <w:t>Pediatr</w:t>
      </w:r>
      <w:proofErr w:type="spellEnd"/>
      <w:r w:rsidRPr="001729DA">
        <w:rPr>
          <w:rFonts w:eastAsia="Times New Roman"/>
        </w:rPr>
        <w:t>. 2014</w:t>
      </w:r>
      <w:proofErr w:type="gramStart"/>
      <w:r w:rsidRPr="001729DA">
        <w:rPr>
          <w:rFonts w:eastAsia="Times New Roman"/>
        </w:rPr>
        <w:t>;14:199</w:t>
      </w:r>
      <w:proofErr w:type="gramEnd"/>
      <w:r w:rsidRPr="001729DA">
        <w:rPr>
          <w:rFonts w:eastAsia="Times New Roman"/>
        </w:rPr>
        <w:t>.</w:t>
      </w:r>
    </w:p>
    <w:p w14:paraId="2799449B" w14:textId="243B555A" w:rsidR="001729DA" w:rsidRPr="00867FA8" w:rsidRDefault="001729DA" w:rsidP="00B709D8">
      <w:pPr>
        <w:pStyle w:val="ListParagraph"/>
        <w:numPr>
          <w:ilvl w:val="0"/>
          <w:numId w:val="2"/>
        </w:numPr>
        <w:autoSpaceDE w:val="0"/>
        <w:autoSpaceDN w:val="0"/>
        <w:rPr>
          <w:rFonts w:eastAsia="Times New Roman"/>
        </w:rPr>
      </w:pPr>
      <w:r w:rsidRPr="001729DA">
        <w:rPr>
          <w:rFonts w:eastAsia="Times New Roman"/>
        </w:rPr>
        <w:t xml:space="preserve">Cohen E, Berry JG, Camacho X, Anderson G, </w:t>
      </w:r>
      <w:proofErr w:type="spellStart"/>
      <w:r w:rsidRPr="001729DA">
        <w:rPr>
          <w:rFonts w:eastAsia="Times New Roman"/>
        </w:rPr>
        <w:t>Wodchis</w:t>
      </w:r>
      <w:proofErr w:type="spellEnd"/>
      <w:r w:rsidRPr="001729DA">
        <w:rPr>
          <w:rFonts w:eastAsia="Times New Roman"/>
        </w:rPr>
        <w:t xml:space="preserve"> W, Guttmann A. Patterns and costs of health care use of children with medical complexity. Pediatrics. 2012</w:t>
      </w:r>
      <w:proofErr w:type="gramStart"/>
      <w:r w:rsidRPr="001729DA">
        <w:rPr>
          <w:rFonts w:eastAsia="Times New Roman"/>
        </w:rPr>
        <w:t>;130</w:t>
      </w:r>
      <w:proofErr w:type="gramEnd"/>
      <w:r w:rsidRPr="001729DA">
        <w:rPr>
          <w:rFonts w:eastAsia="Times New Roman"/>
        </w:rPr>
        <w:t>(6):e1463-70.</w:t>
      </w:r>
      <w:bookmarkEnd w:id="2"/>
      <w:bookmarkEnd w:id="3"/>
      <w:bookmarkEnd w:id="4"/>
      <w:bookmarkEnd w:id="5"/>
    </w:p>
    <w:sectPr w:rsidR="001729DA" w:rsidRPr="00867FA8" w:rsidSect="001729DA">
      <w:footerReference w:type="default" r:id="rId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4D8E72" w14:textId="77777777" w:rsidR="00C669DE" w:rsidRDefault="00C669DE" w:rsidP="00B25071">
      <w:pPr>
        <w:spacing w:after="0" w:line="240" w:lineRule="auto"/>
      </w:pPr>
      <w:r>
        <w:separator/>
      </w:r>
    </w:p>
  </w:endnote>
  <w:endnote w:type="continuationSeparator" w:id="0">
    <w:p w14:paraId="5ECDB3DA" w14:textId="77777777" w:rsidR="00C669DE" w:rsidRDefault="00C669DE" w:rsidP="00B250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1284963"/>
      <w:docPartObj>
        <w:docPartGallery w:val="Page Numbers (Bottom of Page)"/>
        <w:docPartUnique/>
      </w:docPartObj>
    </w:sdtPr>
    <w:sdtEndPr>
      <w:rPr>
        <w:noProof/>
      </w:rPr>
    </w:sdtEndPr>
    <w:sdtContent>
      <w:p w14:paraId="7417565F" w14:textId="3CBF030C" w:rsidR="008C7A82" w:rsidRDefault="008C7A82">
        <w:pPr>
          <w:pStyle w:val="Footer"/>
          <w:jc w:val="right"/>
        </w:pPr>
        <w:r>
          <w:fldChar w:fldCharType="begin"/>
        </w:r>
        <w:r>
          <w:instrText xml:space="preserve"> PAGE   \* MERGEFORMAT </w:instrText>
        </w:r>
        <w:r>
          <w:fldChar w:fldCharType="separate"/>
        </w:r>
        <w:r w:rsidR="007374EA">
          <w:rPr>
            <w:noProof/>
          </w:rPr>
          <w:t>2</w:t>
        </w:r>
        <w:r>
          <w:rPr>
            <w:noProof/>
          </w:rPr>
          <w:fldChar w:fldCharType="end"/>
        </w:r>
      </w:p>
    </w:sdtContent>
  </w:sdt>
  <w:p w14:paraId="79AF0827" w14:textId="77777777" w:rsidR="008C7A82" w:rsidRDefault="008C7A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A6A99D" w14:textId="77777777" w:rsidR="00C669DE" w:rsidRDefault="00C669DE" w:rsidP="00B25071">
      <w:pPr>
        <w:spacing w:after="0" w:line="240" w:lineRule="auto"/>
      </w:pPr>
      <w:r>
        <w:separator/>
      </w:r>
    </w:p>
  </w:footnote>
  <w:footnote w:type="continuationSeparator" w:id="0">
    <w:p w14:paraId="0A92908F" w14:textId="77777777" w:rsidR="00C669DE" w:rsidRDefault="00C669DE" w:rsidP="00B250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92225A"/>
    <w:multiLevelType w:val="hybridMultilevel"/>
    <w:tmpl w:val="81225B1C"/>
    <w:lvl w:ilvl="0" w:tplc="D1A42A0A">
      <w:numFmt w:val="bullet"/>
      <w:pStyle w:val="EndNoteBibliography"/>
      <w:lvlText w:val="-"/>
      <w:lvlJc w:val="left"/>
      <w:pPr>
        <w:ind w:left="720" w:hanging="360"/>
      </w:pPr>
      <w:rPr>
        <w:rFonts w:ascii="Calibri" w:eastAsiaTheme="minorHAnsi" w:hAnsi="Calibri"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36691021"/>
    <w:multiLevelType w:val="hybridMultilevel"/>
    <w:tmpl w:val="02605C74"/>
    <w:lvl w:ilvl="0" w:tplc="9752B0E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1429"/>
    <w:rsid w:val="00022EAE"/>
    <w:rsid w:val="00024D47"/>
    <w:rsid w:val="00037F8C"/>
    <w:rsid w:val="00041373"/>
    <w:rsid w:val="00042671"/>
    <w:rsid w:val="000456C9"/>
    <w:rsid w:val="000550C8"/>
    <w:rsid w:val="000930C0"/>
    <w:rsid w:val="000A2567"/>
    <w:rsid w:val="000D111C"/>
    <w:rsid w:val="00106480"/>
    <w:rsid w:val="00107FB7"/>
    <w:rsid w:val="00110542"/>
    <w:rsid w:val="0011422E"/>
    <w:rsid w:val="00121429"/>
    <w:rsid w:val="001223AF"/>
    <w:rsid w:val="001223DD"/>
    <w:rsid w:val="00151059"/>
    <w:rsid w:val="001575A1"/>
    <w:rsid w:val="001729DA"/>
    <w:rsid w:val="001A7E6A"/>
    <w:rsid w:val="001B6456"/>
    <w:rsid w:val="001D4270"/>
    <w:rsid w:val="001D4C45"/>
    <w:rsid w:val="00220CB1"/>
    <w:rsid w:val="00241216"/>
    <w:rsid w:val="00256809"/>
    <w:rsid w:val="0028773D"/>
    <w:rsid w:val="0029231E"/>
    <w:rsid w:val="002A50EC"/>
    <w:rsid w:val="002B5F89"/>
    <w:rsid w:val="002C2809"/>
    <w:rsid w:val="002D46F5"/>
    <w:rsid w:val="003161E4"/>
    <w:rsid w:val="00323570"/>
    <w:rsid w:val="0033708D"/>
    <w:rsid w:val="00367A94"/>
    <w:rsid w:val="00377DED"/>
    <w:rsid w:val="0038526D"/>
    <w:rsid w:val="003905D7"/>
    <w:rsid w:val="003D5C80"/>
    <w:rsid w:val="004177CC"/>
    <w:rsid w:val="00425D76"/>
    <w:rsid w:val="0042609E"/>
    <w:rsid w:val="0043576E"/>
    <w:rsid w:val="004407AC"/>
    <w:rsid w:val="00470E83"/>
    <w:rsid w:val="00474FCE"/>
    <w:rsid w:val="004A2003"/>
    <w:rsid w:val="004D698F"/>
    <w:rsid w:val="004F7973"/>
    <w:rsid w:val="005859A3"/>
    <w:rsid w:val="00585B00"/>
    <w:rsid w:val="005C4BAF"/>
    <w:rsid w:val="005E6345"/>
    <w:rsid w:val="005F5D72"/>
    <w:rsid w:val="00600A93"/>
    <w:rsid w:val="00603A02"/>
    <w:rsid w:val="00624E5B"/>
    <w:rsid w:val="006310C0"/>
    <w:rsid w:val="0063181D"/>
    <w:rsid w:val="00637C3B"/>
    <w:rsid w:val="00641BFB"/>
    <w:rsid w:val="00654ED4"/>
    <w:rsid w:val="006720EE"/>
    <w:rsid w:val="00684059"/>
    <w:rsid w:val="006A5147"/>
    <w:rsid w:val="00706EEC"/>
    <w:rsid w:val="007374EA"/>
    <w:rsid w:val="0075426F"/>
    <w:rsid w:val="007657C5"/>
    <w:rsid w:val="00783727"/>
    <w:rsid w:val="00795C75"/>
    <w:rsid w:val="007E0CED"/>
    <w:rsid w:val="00812FA3"/>
    <w:rsid w:val="00813063"/>
    <w:rsid w:val="008333FC"/>
    <w:rsid w:val="0085609C"/>
    <w:rsid w:val="00867FA8"/>
    <w:rsid w:val="008836B0"/>
    <w:rsid w:val="008A3949"/>
    <w:rsid w:val="008C7A82"/>
    <w:rsid w:val="008D77E8"/>
    <w:rsid w:val="008F659F"/>
    <w:rsid w:val="009065C2"/>
    <w:rsid w:val="00912B31"/>
    <w:rsid w:val="00915965"/>
    <w:rsid w:val="0094163B"/>
    <w:rsid w:val="00945CBA"/>
    <w:rsid w:val="00956117"/>
    <w:rsid w:val="00963485"/>
    <w:rsid w:val="009668A2"/>
    <w:rsid w:val="009970A7"/>
    <w:rsid w:val="009A3771"/>
    <w:rsid w:val="009B0785"/>
    <w:rsid w:val="009C0F21"/>
    <w:rsid w:val="009D2B26"/>
    <w:rsid w:val="00A020E3"/>
    <w:rsid w:val="00A44CFE"/>
    <w:rsid w:val="00A53364"/>
    <w:rsid w:val="00A57C53"/>
    <w:rsid w:val="00A77456"/>
    <w:rsid w:val="00A809D7"/>
    <w:rsid w:val="00AC6FB1"/>
    <w:rsid w:val="00AF6974"/>
    <w:rsid w:val="00B06927"/>
    <w:rsid w:val="00B11F7D"/>
    <w:rsid w:val="00B15673"/>
    <w:rsid w:val="00B1675C"/>
    <w:rsid w:val="00B25071"/>
    <w:rsid w:val="00B316E1"/>
    <w:rsid w:val="00B37338"/>
    <w:rsid w:val="00B50C79"/>
    <w:rsid w:val="00B709D8"/>
    <w:rsid w:val="00B76348"/>
    <w:rsid w:val="00BA2979"/>
    <w:rsid w:val="00BC1546"/>
    <w:rsid w:val="00BF055C"/>
    <w:rsid w:val="00C30FAD"/>
    <w:rsid w:val="00C337B4"/>
    <w:rsid w:val="00C52599"/>
    <w:rsid w:val="00C669DE"/>
    <w:rsid w:val="00C7496B"/>
    <w:rsid w:val="00C90B22"/>
    <w:rsid w:val="00C90E6D"/>
    <w:rsid w:val="00C94079"/>
    <w:rsid w:val="00D0365F"/>
    <w:rsid w:val="00D13ADE"/>
    <w:rsid w:val="00D3019C"/>
    <w:rsid w:val="00D84671"/>
    <w:rsid w:val="00D86A42"/>
    <w:rsid w:val="00D943A2"/>
    <w:rsid w:val="00DA3E7E"/>
    <w:rsid w:val="00DC3F63"/>
    <w:rsid w:val="00DD63D0"/>
    <w:rsid w:val="00DF6D78"/>
    <w:rsid w:val="00E154AB"/>
    <w:rsid w:val="00E336C7"/>
    <w:rsid w:val="00E350DB"/>
    <w:rsid w:val="00E362E8"/>
    <w:rsid w:val="00E8519A"/>
    <w:rsid w:val="00EA4890"/>
    <w:rsid w:val="00ED7222"/>
    <w:rsid w:val="00EE08CB"/>
    <w:rsid w:val="00F2793D"/>
    <w:rsid w:val="00F47EDB"/>
    <w:rsid w:val="00F73A71"/>
    <w:rsid w:val="00F804F3"/>
    <w:rsid w:val="00F80A6F"/>
    <w:rsid w:val="00FA04CF"/>
    <w:rsid w:val="00FC5005"/>
    <w:rsid w:val="00FE2E6E"/>
    <w:rsid w:val="00FE3020"/>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96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214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21429"/>
    <w:rPr>
      <w:rFonts w:cs="Times New Roman"/>
      <w:color w:val="0000FF"/>
      <w:u w:val="single"/>
    </w:rPr>
  </w:style>
  <w:style w:type="character" w:customStyle="1" w:styleId="Heading1Char">
    <w:name w:val="Heading 1 Char"/>
    <w:basedOn w:val="DefaultParagraphFont"/>
    <w:link w:val="Heading1"/>
    <w:uiPriority w:val="9"/>
    <w:rsid w:val="00121429"/>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21429"/>
    <w:pPr>
      <w:outlineLvl w:val="9"/>
    </w:pPr>
    <w:rPr>
      <w:rFonts w:asciiTheme="minorHAnsi" w:hAnsiTheme="minorHAnsi" w:cs="Times New Roman"/>
      <w:b/>
      <w:color w:val="auto"/>
      <w:sz w:val="24"/>
    </w:rPr>
  </w:style>
  <w:style w:type="paragraph" w:styleId="TOC1">
    <w:name w:val="toc 1"/>
    <w:basedOn w:val="Normal"/>
    <w:next w:val="Normal"/>
    <w:autoRedefine/>
    <w:uiPriority w:val="39"/>
    <w:unhideWhenUsed/>
    <w:rsid w:val="00121429"/>
    <w:pPr>
      <w:spacing w:after="100"/>
    </w:pPr>
    <w:rPr>
      <w:rFonts w:ascii="Calibri" w:eastAsia="Times New Roman" w:hAnsi="Calibri" w:cs="Times New Roman"/>
      <w:lang w:val="nb-NO"/>
    </w:rPr>
  </w:style>
  <w:style w:type="paragraph" w:styleId="FootnoteText">
    <w:name w:val="footnote text"/>
    <w:basedOn w:val="Normal"/>
    <w:link w:val="FootnoteTextChar"/>
    <w:uiPriority w:val="99"/>
    <w:semiHidden/>
    <w:unhideWhenUsed/>
    <w:rsid w:val="00B25071"/>
    <w:pPr>
      <w:spacing w:after="0" w:line="240" w:lineRule="auto"/>
    </w:pPr>
    <w:rPr>
      <w:sz w:val="20"/>
      <w:szCs w:val="20"/>
      <w:lang w:val="en-CA"/>
    </w:rPr>
  </w:style>
  <w:style w:type="character" w:customStyle="1" w:styleId="FootnoteTextChar">
    <w:name w:val="Footnote Text Char"/>
    <w:basedOn w:val="DefaultParagraphFont"/>
    <w:link w:val="FootnoteText"/>
    <w:uiPriority w:val="99"/>
    <w:semiHidden/>
    <w:rsid w:val="00B25071"/>
    <w:rPr>
      <w:sz w:val="20"/>
      <w:szCs w:val="20"/>
      <w:lang w:val="en-CA"/>
    </w:rPr>
  </w:style>
  <w:style w:type="character" w:styleId="FootnoteReference">
    <w:name w:val="footnote reference"/>
    <w:basedOn w:val="DefaultParagraphFont"/>
    <w:uiPriority w:val="99"/>
    <w:semiHidden/>
    <w:unhideWhenUsed/>
    <w:rsid w:val="00B25071"/>
    <w:rPr>
      <w:vertAlign w:val="superscript"/>
    </w:rPr>
  </w:style>
  <w:style w:type="character" w:styleId="CommentReference">
    <w:name w:val="annotation reference"/>
    <w:basedOn w:val="DefaultParagraphFont"/>
    <w:uiPriority w:val="99"/>
    <w:semiHidden/>
    <w:unhideWhenUsed/>
    <w:rsid w:val="00B25071"/>
    <w:rPr>
      <w:sz w:val="16"/>
      <w:szCs w:val="16"/>
    </w:rPr>
  </w:style>
  <w:style w:type="paragraph" w:styleId="CommentText">
    <w:name w:val="annotation text"/>
    <w:basedOn w:val="Normal"/>
    <w:link w:val="CommentTextChar"/>
    <w:uiPriority w:val="99"/>
    <w:unhideWhenUsed/>
    <w:rsid w:val="00B25071"/>
    <w:pPr>
      <w:spacing w:line="240" w:lineRule="auto"/>
    </w:pPr>
    <w:rPr>
      <w:sz w:val="20"/>
      <w:szCs w:val="20"/>
    </w:rPr>
  </w:style>
  <w:style w:type="character" w:customStyle="1" w:styleId="CommentTextChar">
    <w:name w:val="Comment Text Char"/>
    <w:basedOn w:val="DefaultParagraphFont"/>
    <w:link w:val="CommentText"/>
    <w:uiPriority w:val="99"/>
    <w:rsid w:val="00B25071"/>
    <w:rPr>
      <w:sz w:val="20"/>
      <w:szCs w:val="20"/>
    </w:rPr>
  </w:style>
  <w:style w:type="paragraph" w:styleId="CommentSubject">
    <w:name w:val="annotation subject"/>
    <w:basedOn w:val="CommentText"/>
    <w:next w:val="CommentText"/>
    <w:link w:val="CommentSubjectChar"/>
    <w:uiPriority w:val="99"/>
    <w:semiHidden/>
    <w:unhideWhenUsed/>
    <w:rsid w:val="00B25071"/>
    <w:rPr>
      <w:b/>
      <w:bCs/>
    </w:rPr>
  </w:style>
  <w:style w:type="character" w:customStyle="1" w:styleId="CommentSubjectChar">
    <w:name w:val="Comment Subject Char"/>
    <w:basedOn w:val="CommentTextChar"/>
    <w:link w:val="CommentSubject"/>
    <w:uiPriority w:val="99"/>
    <w:semiHidden/>
    <w:rsid w:val="00B25071"/>
    <w:rPr>
      <w:b/>
      <w:bCs/>
      <w:sz w:val="20"/>
      <w:szCs w:val="20"/>
    </w:rPr>
  </w:style>
  <w:style w:type="paragraph" w:customStyle="1" w:styleId="TableParagraph">
    <w:name w:val="Table Paragraph"/>
    <w:basedOn w:val="Normal"/>
    <w:uiPriority w:val="1"/>
    <w:qFormat/>
    <w:rsid w:val="003161E4"/>
    <w:pPr>
      <w:widowControl w:val="0"/>
      <w:autoSpaceDE w:val="0"/>
      <w:autoSpaceDN w:val="0"/>
      <w:spacing w:after="0" w:line="210" w:lineRule="exact"/>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706EEC"/>
    <w:pPr>
      <w:spacing w:after="0" w:line="240" w:lineRule="auto"/>
    </w:pPr>
    <w:rPr>
      <w:rFonts w:ascii="Segoe UI" w:hAnsi="Segoe UI" w:cs="Segoe UI"/>
      <w:sz w:val="18"/>
      <w:szCs w:val="18"/>
      <w:lang w:val="en-CA"/>
    </w:rPr>
  </w:style>
  <w:style w:type="character" w:customStyle="1" w:styleId="BalloonTextChar">
    <w:name w:val="Balloon Text Char"/>
    <w:basedOn w:val="DefaultParagraphFont"/>
    <w:link w:val="BalloonText"/>
    <w:uiPriority w:val="99"/>
    <w:semiHidden/>
    <w:rsid w:val="00706EEC"/>
    <w:rPr>
      <w:rFonts w:ascii="Segoe UI" w:hAnsi="Segoe UI" w:cs="Segoe UI"/>
      <w:sz w:val="18"/>
      <w:szCs w:val="18"/>
      <w:lang w:val="en-CA"/>
    </w:rPr>
  </w:style>
  <w:style w:type="paragraph" w:customStyle="1" w:styleId="EndNoteBibliography">
    <w:name w:val="EndNote Bibliography"/>
    <w:basedOn w:val="Normal"/>
    <w:link w:val="EndNoteBibliographyChar"/>
    <w:rsid w:val="00706EEC"/>
    <w:pPr>
      <w:numPr>
        <w:numId w:val="1"/>
      </w:num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706EEC"/>
    <w:rPr>
      <w:rFonts w:ascii="Calibri" w:hAnsi="Calibri" w:cs="Calibri"/>
      <w:noProof/>
    </w:rPr>
  </w:style>
  <w:style w:type="paragraph" w:styleId="Header">
    <w:name w:val="header"/>
    <w:basedOn w:val="Normal"/>
    <w:link w:val="HeaderChar"/>
    <w:uiPriority w:val="99"/>
    <w:unhideWhenUsed/>
    <w:rsid w:val="001142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422E"/>
  </w:style>
  <w:style w:type="paragraph" w:styleId="Footer">
    <w:name w:val="footer"/>
    <w:basedOn w:val="Normal"/>
    <w:link w:val="FooterChar"/>
    <w:uiPriority w:val="99"/>
    <w:unhideWhenUsed/>
    <w:rsid w:val="001142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422E"/>
  </w:style>
  <w:style w:type="character" w:styleId="PlaceholderText">
    <w:name w:val="Placeholder Text"/>
    <w:basedOn w:val="DefaultParagraphFont"/>
    <w:uiPriority w:val="99"/>
    <w:semiHidden/>
    <w:rsid w:val="00C7496B"/>
    <w:rPr>
      <w:color w:val="808080"/>
    </w:rPr>
  </w:style>
  <w:style w:type="paragraph" w:styleId="ListParagraph">
    <w:name w:val="List Paragraph"/>
    <w:basedOn w:val="Normal"/>
    <w:uiPriority w:val="34"/>
    <w:qFormat/>
    <w:rsid w:val="001729D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214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21429"/>
    <w:rPr>
      <w:rFonts w:cs="Times New Roman"/>
      <w:color w:val="0000FF"/>
      <w:u w:val="single"/>
    </w:rPr>
  </w:style>
  <w:style w:type="character" w:customStyle="1" w:styleId="Heading1Char">
    <w:name w:val="Heading 1 Char"/>
    <w:basedOn w:val="DefaultParagraphFont"/>
    <w:link w:val="Heading1"/>
    <w:uiPriority w:val="9"/>
    <w:rsid w:val="00121429"/>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21429"/>
    <w:pPr>
      <w:outlineLvl w:val="9"/>
    </w:pPr>
    <w:rPr>
      <w:rFonts w:asciiTheme="minorHAnsi" w:hAnsiTheme="minorHAnsi" w:cs="Times New Roman"/>
      <w:b/>
      <w:color w:val="auto"/>
      <w:sz w:val="24"/>
    </w:rPr>
  </w:style>
  <w:style w:type="paragraph" w:styleId="TOC1">
    <w:name w:val="toc 1"/>
    <w:basedOn w:val="Normal"/>
    <w:next w:val="Normal"/>
    <w:autoRedefine/>
    <w:uiPriority w:val="39"/>
    <w:unhideWhenUsed/>
    <w:rsid w:val="00121429"/>
    <w:pPr>
      <w:spacing w:after="100"/>
    </w:pPr>
    <w:rPr>
      <w:rFonts w:ascii="Calibri" w:eastAsia="Times New Roman" w:hAnsi="Calibri" w:cs="Times New Roman"/>
      <w:lang w:val="nb-NO"/>
    </w:rPr>
  </w:style>
  <w:style w:type="paragraph" w:styleId="FootnoteText">
    <w:name w:val="footnote text"/>
    <w:basedOn w:val="Normal"/>
    <w:link w:val="FootnoteTextChar"/>
    <w:uiPriority w:val="99"/>
    <w:semiHidden/>
    <w:unhideWhenUsed/>
    <w:rsid w:val="00B25071"/>
    <w:pPr>
      <w:spacing w:after="0" w:line="240" w:lineRule="auto"/>
    </w:pPr>
    <w:rPr>
      <w:sz w:val="20"/>
      <w:szCs w:val="20"/>
      <w:lang w:val="en-CA"/>
    </w:rPr>
  </w:style>
  <w:style w:type="character" w:customStyle="1" w:styleId="FootnoteTextChar">
    <w:name w:val="Footnote Text Char"/>
    <w:basedOn w:val="DefaultParagraphFont"/>
    <w:link w:val="FootnoteText"/>
    <w:uiPriority w:val="99"/>
    <w:semiHidden/>
    <w:rsid w:val="00B25071"/>
    <w:rPr>
      <w:sz w:val="20"/>
      <w:szCs w:val="20"/>
      <w:lang w:val="en-CA"/>
    </w:rPr>
  </w:style>
  <w:style w:type="character" w:styleId="FootnoteReference">
    <w:name w:val="footnote reference"/>
    <w:basedOn w:val="DefaultParagraphFont"/>
    <w:uiPriority w:val="99"/>
    <w:semiHidden/>
    <w:unhideWhenUsed/>
    <w:rsid w:val="00B25071"/>
    <w:rPr>
      <w:vertAlign w:val="superscript"/>
    </w:rPr>
  </w:style>
  <w:style w:type="character" w:styleId="CommentReference">
    <w:name w:val="annotation reference"/>
    <w:basedOn w:val="DefaultParagraphFont"/>
    <w:uiPriority w:val="99"/>
    <w:semiHidden/>
    <w:unhideWhenUsed/>
    <w:rsid w:val="00B25071"/>
    <w:rPr>
      <w:sz w:val="16"/>
      <w:szCs w:val="16"/>
    </w:rPr>
  </w:style>
  <w:style w:type="paragraph" w:styleId="CommentText">
    <w:name w:val="annotation text"/>
    <w:basedOn w:val="Normal"/>
    <w:link w:val="CommentTextChar"/>
    <w:uiPriority w:val="99"/>
    <w:unhideWhenUsed/>
    <w:rsid w:val="00B25071"/>
    <w:pPr>
      <w:spacing w:line="240" w:lineRule="auto"/>
    </w:pPr>
    <w:rPr>
      <w:sz w:val="20"/>
      <w:szCs w:val="20"/>
    </w:rPr>
  </w:style>
  <w:style w:type="character" w:customStyle="1" w:styleId="CommentTextChar">
    <w:name w:val="Comment Text Char"/>
    <w:basedOn w:val="DefaultParagraphFont"/>
    <w:link w:val="CommentText"/>
    <w:uiPriority w:val="99"/>
    <w:rsid w:val="00B25071"/>
    <w:rPr>
      <w:sz w:val="20"/>
      <w:szCs w:val="20"/>
    </w:rPr>
  </w:style>
  <w:style w:type="paragraph" w:styleId="CommentSubject">
    <w:name w:val="annotation subject"/>
    <w:basedOn w:val="CommentText"/>
    <w:next w:val="CommentText"/>
    <w:link w:val="CommentSubjectChar"/>
    <w:uiPriority w:val="99"/>
    <w:semiHidden/>
    <w:unhideWhenUsed/>
    <w:rsid w:val="00B25071"/>
    <w:rPr>
      <w:b/>
      <w:bCs/>
    </w:rPr>
  </w:style>
  <w:style w:type="character" w:customStyle="1" w:styleId="CommentSubjectChar">
    <w:name w:val="Comment Subject Char"/>
    <w:basedOn w:val="CommentTextChar"/>
    <w:link w:val="CommentSubject"/>
    <w:uiPriority w:val="99"/>
    <w:semiHidden/>
    <w:rsid w:val="00B25071"/>
    <w:rPr>
      <w:b/>
      <w:bCs/>
      <w:sz w:val="20"/>
      <w:szCs w:val="20"/>
    </w:rPr>
  </w:style>
  <w:style w:type="paragraph" w:customStyle="1" w:styleId="TableParagraph">
    <w:name w:val="Table Paragraph"/>
    <w:basedOn w:val="Normal"/>
    <w:uiPriority w:val="1"/>
    <w:qFormat/>
    <w:rsid w:val="003161E4"/>
    <w:pPr>
      <w:widowControl w:val="0"/>
      <w:autoSpaceDE w:val="0"/>
      <w:autoSpaceDN w:val="0"/>
      <w:spacing w:after="0" w:line="210" w:lineRule="exact"/>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706EEC"/>
    <w:pPr>
      <w:spacing w:after="0" w:line="240" w:lineRule="auto"/>
    </w:pPr>
    <w:rPr>
      <w:rFonts w:ascii="Segoe UI" w:hAnsi="Segoe UI" w:cs="Segoe UI"/>
      <w:sz w:val="18"/>
      <w:szCs w:val="18"/>
      <w:lang w:val="en-CA"/>
    </w:rPr>
  </w:style>
  <w:style w:type="character" w:customStyle="1" w:styleId="BalloonTextChar">
    <w:name w:val="Balloon Text Char"/>
    <w:basedOn w:val="DefaultParagraphFont"/>
    <w:link w:val="BalloonText"/>
    <w:uiPriority w:val="99"/>
    <w:semiHidden/>
    <w:rsid w:val="00706EEC"/>
    <w:rPr>
      <w:rFonts w:ascii="Segoe UI" w:hAnsi="Segoe UI" w:cs="Segoe UI"/>
      <w:sz w:val="18"/>
      <w:szCs w:val="18"/>
      <w:lang w:val="en-CA"/>
    </w:rPr>
  </w:style>
  <w:style w:type="paragraph" w:customStyle="1" w:styleId="EndNoteBibliography">
    <w:name w:val="EndNote Bibliography"/>
    <w:basedOn w:val="Normal"/>
    <w:link w:val="EndNoteBibliographyChar"/>
    <w:rsid w:val="00706EEC"/>
    <w:pPr>
      <w:numPr>
        <w:numId w:val="1"/>
      </w:num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706EEC"/>
    <w:rPr>
      <w:rFonts w:ascii="Calibri" w:hAnsi="Calibri" w:cs="Calibri"/>
      <w:noProof/>
    </w:rPr>
  </w:style>
  <w:style w:type="paragraph" w:styleId="Header">
    <w:name w:val="header"/>
    <w:basedOn w:val="Normal"/>
    <w:link w:val="HeaderChar"/>
    <w:uiPriority w:val="99"/>
    <w:unhideWhenUsed/>
    <w:rsid w:val="001142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422E"/>
  </w:style>
  <w:style w:type="paragraph" w:styleId="Footer">
    <w:name w:val="footer"/>
    <w:basedOn w:val="Normal"/>
    <w:link w:val="FooterChar"/>
    <w:uiPriority w:val="99"/>
    <w:unhideWhenUsed/>
    <w:rsid w:val="001142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422E"/>
  </w:style>
  <w:style w:type="character" w:styleId="PlaceholderText">
    <w:name w:val="Placeholder Text"/>
    <w:basedOn w:val="DefaultParagraphFont"/>
    <w:uiPriority w:val="99"/>
    <w:semiHidden/>
    <w:rsid w:val="00C7496B"/>
    <w:rPr>
      <w:color w:val="808080"/>
    </w:rPr>
  </w:style>
  <w:style w:type="paragraph" w:styleId="ListParagraph">
    <w:name w:val="List Paragraph"/>
    <w:basedOn w:val="Normal"/>
    <w:uiPriority w:val="34"/>
    <w:qFormat/>
    <w:rsid w:val="001729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6855256">
      <w:bodyDiv w:val="1"/>
      <w:marLeft w:val="0"/>
      <w:marRight w:val="0"/>
      <w:marTop w:val="0"/>
      <w:marBottom w:val="0"/>
      <w:divBdr>
        <w:top w:val="none" w:sz="0" w:space="0" w:color="auto"/>
        <w:left w:val="none" w:sz="0" w:space="0" w:color="auto"/>
        <w:bottom w:val="none" w:sz="0" w:space="0" w:color="auto"/>
        <w:right w:val="none" w:sz="0" w:space="0" w:color="auto"/>
      </w:divBdr>
      <w:divsChild>
        <w:div w:id="419300928">
          <w:marLeft w:val="640"/>
          <w:marRight w:val="0"/>
          <w:marTop w:val="0"/>
          <w:marBottom w:val="0"/>
          <w:divBdr>
            <w:top w:val="none" w:sz="0" w:space="0" w:color="auto"/>
            <w:left w:val="none" w:sz="0" w:space="0" w:color="auto"/>
            <w:bottom w:val="none" w:sz="0" w:space="0" w:color="auto"/>
            <w:right w:val="none" w:sz="0" w:space="0" w:color="auto"/>
          </w:divBdr>
        </w:div>
        <w:div w:id="1311714851">
          <w:marLeft w:val="640"/>
          <w:marRight w:val="0"/>
          <w:marTop w:val="0"/>
          <w:marBottom w:val="0"/>
          <w:divBdr>
            <w:top w:val="none" w:sz="0" w:space="0" w:color="auto"/>
            <w:left w:val="none" w:sz="0" w:space="0" w:color="auto"/>
            <w:bottom w:val="none" w:sz="0" w:space="0" w:color="auto"/>
            <w:right w:val="none" w:sz="0" w:space="0" w:color="auto"/>
          </w:divBdr>
        </w:div>
        <w:div w:id="363671491">
          <w:marLeft w:val="640"/>
          <w:marRight w:val="0"/>
          <w:marTop w:val="0"/>
          <w:marBottom w:val="0"/>
          <w:divBdr>
            <w:top w:val="none" w:sz="0" w:space="0" w:color="auto"/>
            <w:left w:val="none" w:sz="0" w:space="0" w:color="auto"/>
            <w:bottom w:val="none" w:sz="0" w:space="0" w:color="auto"/>
            <w:right w:val="none" w:sz="0" w:space="0" w:color="auto"/>
          </w:divBdr>
        </w:div>
        <w:div w:id="1885866867">
          <w:marLeft w:val="640"/>
          <w:marRight w:val="0"/>
          <w:marTop w:val="0"/>
          <w:marBottom w:val="0"/>
          <w:divBdr>
            <w:top w:val="none" w:sz="0" w:space="0" w:color="auto"/>
            <w:left w:val="none" w:sz="0" w:space="0" w:color="auto"/>
            <w:bottom w:val="none" w:sz="0" w:space="0" w:color="auto"/>
            <w:right w:val="none" w:sz="0" w:space="0" w:color="auto"/>
          </w:divBdr>
        </w:div>
      </w:divsChild>
    </w:div>
    <w:div w:id="1588491441">
      <w:bodyDiv w:val="1"/>
      <w:marLeft w:val="0"/>
      <w:marRight w:val="0"/>
      <w:marTop w:val="0"/>
      <w:marBottom w:val="0"/>
      <w:divBdr>
        <w:top w:val="none" w:sz="0" w:space="0" w:color="auto"/>
        <w:left w:val="none" w:sz="0" w:space="0" w:color="auto"/>
        <w:bottom w:val="none" w:sz="0" w:space="0" w:color="auto"/>
        <w:right w:val="none" w:sz="0" w:space="0" w:color="auto"/>
      </w:divBdr>
      <w:divsChild>
        <w:div w:id="1948652617">
          <w:marLeft w:val="640"/>
          <w:marRight w:val="0"/>
          <w:marTop w:val="0"/>
          <w:marBottom w:val="0"/>
          <w:divBdr>
            <w:top w:val="none" w:sz="0" w:space="0" w:color="auto"/>
            <w:left w:val="none" w:sz="0" w:space="0" w:color="auto"/>
            <w:bottom w:val="none" w:sz="0" w:space="0" w:color="auto"/>
            <w:right w:val="none" w:sz="0" w:space="0" w:color="auto"/>
          </w:divBdr>
        </w:div>
        <w:div w:id="1128740847">
          <w:marLeft w:val="640"/>
          <w:marRight w:val="0"/>
          <w:marTop w:val="0"/>
          <w:marBottom w:val="0"/>
          <w:divBdr>
            <w:top w:val="none" w:sz="0" w:space="0" w:color="auto"/>
            <w:left w:val="none" w:sz="0" w:space="0" w:color="auto"/>
            <w:bottom w:val="none" w:sz="0" w:space="0" w:color="auto"/>
            <w:right w:val="none" w:sz="0" w:space="0" w:color="auto"/>
          </w:divBdr>
        </w:div>
      </w:divsChild>
    </w:div>
    <w:div w:id="1611014768">
      <w:bodyDiv w:val="1"/>
      <w:marLeft w:val="0"/>
      <w:marRight w:val="0"/>
      <w:marTop w:val="0"/>
      <w:marBottom w:val="0"/>
      <w:divBdr>
        <w:top w:val="none" w:sz="0" w:space="0" w:color="auto"/>
        <w:left w:val="none" w:sz="0" w:space="0" w:color="auto"/>
        <w:bottom w:val="none" w:sz="0" w:space="0" w:color="auto"/>
        <w:right w:val="none" w:sz="0" w:space="0" w:color="auto"/>
      </w:divBdr>
    </w:div>
    <w:div w:id="1632705669">
      <w:bodyDiv w:val="1"/>
      <w:marLeft w:val="0"/>
      <w:marRight w:val="0"/>
      <w:marTop w:val="0"/>
      <w:marBottom w:val="0"/>
      <w:divBdr>
        <w:top w:val="none" w:sz="0" w:space="0" w:color="auto"/>
        <w:left w:val="none" w:sz="0" w:space="0" w:color="auto"/>
        <w:bottom w:val="none" w:sz="0" w:space="0" w:color="auto"/>
        <w:right w:val="none" w:sz="0" w:space="0" w:color="auto"/>
      </w:divBdr>
      <w:divsChild>
        <w:div w:id="385766240">
          <w:marLeft w:val="640"/>
          <w:marRight w:val="0"/>
          <w:marTop w:val="0"/>
          <w:marBottom w:val="0"/>
          <w:divBdr>
            <w:top w:val="none" w:sz="0" w:space="0" w:color="auto"/>
            <w:left w:val="none" w:sz="0" w:space="0" w:color="auto"/>
            <w:bottom w:val="none" w:sz="0" w:space="0" w:color="auto"/>
            <w:right w:val="none" w:sz="0" w:space="0" w:color="auto"/>
          </w:divBdr>
        </w:div>
        <w:div w:id="730808067">
          <w:marLeft w:val="640"/>
          <w:marRight w:val="0"/>
          <w:marTop w:val="0"/>
          <w:marBottom w:val="0"/>
          <w:divBdr>
            <w:top w:val="none" w:sz="0" w:space="0" w:color="auto"/>
            <w:left w:val="none" w:sz="0" w:space="0" w:color="auto"/>
            <w:bottom w:val="none" w:sz="0" w:space="0" w:color="auto"/>
            <w:right w:val="none" w:sz="0" w:space="0" w:color="auto"/>
          </w:divBdr>
        </w:div>
      </w:divsChild>
    </w:div>
    <w:div w:id="1718582350">
      <w:bodyDiv w:val="1"/>
      <w:marLeft w:val="0"/>
      <w:marRight w:val="0"/>
      <w:marTop w:val="0"/>
      <w:marBottom w:val="0"/>
      <w:divBdr>
        <w:top w:val="none" w:sz="0" w:space="0" w:color="auto"/>
        <w:left w:val="none" w:sz="0" w:space="0" w:color="auto"/>
        <w:bottom w:val="none" w:sz="0" w:space="0" w:color="auto"/>
        <w:right w:val="none" w:sz="0" w:space="0" w:color="auto"/>
      </w:divBdr>
      <w:divsChild>
        <w:div w:id="42606765">
          <w:marLeft w:val="640"/>
          <w:marRight w:val="0"/>
          <w:marTop w:val="0"/>
          <w:marBottom w:val="0"/>
          <w:divBdr>
            <w:top w:val="none" w:sz="0" w:space="0" w:color="auto"/>
            <w:left w:val="none" w:sz="0" w:space="0" w:color="auto"/>
            <w:bottom w:val="none" w:sz="0" w:space="0" w:color="auto"/>
            <w:right w:val="none" w:sz="0" w:space="0" w:color="auto"/>
          </w:divBdr>
        </w:div>
        <w:div w:id="556865323">
          <w:marLeft w:val="640"/>
          <w:marRight w:val="0"/>
          <w:marTop w:val="0"/>
          <w:marBottom w:val="0"/>
          <w:divBdr>
            <w:top w:val="none" w:sz="0" w:space="0" w:color="auto"/>
            <w:left w:val="none" w:sz="0" w:space="0" w:color="auto"/>
            <w:bottom w:val="none" w:sz="0" w:space="0" w:color="auto"/>
            <w:right w:val="none" w:sz="0" w:space="0" w:color="auto"/>
          </w:divBdr>
        </w:div>
      </w:divsChild>
    </w:div>
    <w:div w:id="1857840249">
      <w:bodyDiv w:val="1"/>
      <w:marLeft w:val="0"/>
      <w:marRight w:val="0"/>
      <w:marTop w:val="0"/>
      <w:marBottom w:val="0"/>
      <w:divBdr>
        <w:top w:val="none" w:sz="0" w:space="0" w:color="auto"/>
        <w:left w:val="none" w:sz="0" w:space="0" w:color="auto"/>
        <w:bottom w:val="none" w:sz="0" w:space="0" w:color="auto"/>
        <w:right w:val="none" w:sz="0" w:space="0" w:color="auto"/>
      </w:divBdr>
      <w:divsChild>
        <w:div w:id="1420564186">
          <w:marLeft w:val="640"/>
          <w:marRight w:val="0"/>
          <w:marTop w:val="0"/>
          <w:marBottom w:val="0"/>
          <w:divBdr>
            <w:top w:val="none" w:sz="0" w:space="0" w:color="auto"/>
            <w:left w:val="none" w:sz="0" w:space="0" w:color="auto"/>
            <w:bottom w:val="none" w:sz="0" w:space="0" w:color="auto"/>
            <w:right w:val="none" w:sz="0" w:space="0" w:color="auto"/>
          </w:divBdr>
        </w:div>
        <w:div w:id="1133868103">
          <w:marLeft w:val="640"/>
          <w:marRight w:val="0"/>
          <w:marTop w:val="0"/>
          <w:marBottom w:val="0"/>
          <w:divBdr>
            <w:top w:val="none" w:sz="0" w:space="0" w:color="auto"/>
            <w:left w:val="none" w:sz="0" w:space="0" w:color="auto"/>
            <w:bottom w:val="none" w:sz="0" w:space="0" w:color="auto"/>
            <w:right w:val="none" w:sz="0" w:space="0" w:color="auto"/>
          </w:divBdr>
        </w:div>
        <w:div w:id="46924336">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40"/>
        <w:category>
          <w:name w:val="General"/>
          <w:gallery w:val="placeholder"/>
        </w:category>
        <w:types>
          <w:type w:val="bbPlcHdr"/>
        </w:types>
        <w:behaviors>
          <w:behavior w:val="content"/>
        </w:behaviors>
        <w:guid w:val="{D2F2645E-43E4-4EA5-A446-C8F095B3D990}"/>
      </w:docPartPr>
      <w:docPartBody>
        <w:p w:rsidR="00CC3B63" w:rsidRDefault="00972240">
          <w:r w:rsidRPr="00CE56A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2240"/>
    <w:rsid w:val="007918E0"/>
    <w:rsid w:val="00972240"/>
    <w:rsid w:val="00BE66F2"/>
    <w:rsid w:val="00CC3B63"/>
    <w:rsid w:val="00D22A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2240"/>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224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4E80B91-EE71-4527-A13D-7463D6AEF151}">
  <we:reference id="wa104382081" version="1.46.0.0" store="en-US" storeType="OMEX"/>
  <we:alternateReferences>
    <we:reference id="wa104382081" version="1.46.0.0" store="en-US" storeType="OMEX"/>
  </we:alternateReferences>
  <we:properties>
    <we:property name="MENDELEY_CITATIONS" value="[{&quot;citationID&quot;:&quot;MENDELEY_CITATION_80203f06-f485-42c0-89bf-90ec9de17a06&quot;,&quot;properties&quot;:{&quot;noteIndex&quot;:0},&quot;isEdited&quot;:false,&quot;manualOverride&quot;:{&quot;isManuallyOverridden&quot;:false,&quot;citeprocText&quot;:&quot;(1)&quot;,&quot;manualOverrideText&quot;:&quot;&quot;},&quot;citationTag&quot;:&quot;MENDELEY_CITATION_v3_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&quot;,&quot;citationItems&quot;:[{&quot;id&quot;:&quot;19246df9-c6eb-3212-9058-6142ece5eb71&quot;,&quot;itemData&quot;:{&quot;type&quot;:&quot;article-journal&quot;,&quot;id&quot;:&quot;19246df9-c6eb-3212-9058-6142ece5eb71&quot;,&quot;title&quot;:&quot;Severe Neonatal Morbidity Among Births to Refugee Women&quot;,&quot;author&quot;:[{&quot;family&quot;:&quot;Wanigaratne&quot;,&quot;given&quot;:&quot;Susitha&quot;,&quot;parse-names&quot;:false,&quot;dropping-particle&quot;:&quot;&quot;,&quot;non-dropping-particle&quot;:&quot;&quot;},{&quot;family&quot;:&quot;Cole&quot;,&quot;given&quot;:&quot;Donald C.&quot;,&quot;parse-names&quot;:false,&quot;dropping-particle&quot;:&quot;&quot;,&quot;non-dropping-particle&quot;:&quot;&quot;},{&quot;family&quot;:&quot;Bassil&quot;,&quot;given&quot;:&quot;Kate&quot;,&quot;parse-names&quot;:false,&quot;dropping-particle&quot;:&quot;&quot;,&quot;non-dropping-particle&quot;:&quot;&quot;},{&quot;family&quot;:&quot;Hyman&quot;,&quot;given&quot;:&quot;Ilene&quot;,&quot;parse-names&quot;:false,&quot;dropping-particle&quot;:&quot;&quot;,&quot;non-dropping-particle&quot;:&quot;&quot;},{&quot;family&quot;:&quot;Moineddin&quot;,&quot;given&quot;:&quot;Rahim&quot;,&quot;parse-names&quot;:false,&quot;dropping-particle&quot;:&quot;&quot;,&quot;non-dropping-particle&quot;:&quot;&quot;},{&quot;family&quot;:&quot;Shakya&quot;,&quot;given&quot;:&quot;Yogendra&quot;,&quot;parse-names&quot;:false,&quot;dropping-particle&quot;:&quot;&quot;,&quot;non-dropping-particle&quot;:&quot;&quot;},{&quot;family&quot;:&quot;Urquia&quot;,&quot;given&quot;:&quot;Marcelo L.&quot;,&quot;parse-names&quot;:false,&quot;dropping-particle&quot;:&quot;&quot;,&quot;non-dropping-particle&quot;:&quot;&quot;}],&quot;container-title&quot;:&quot;Maternal and Child Health Journal&quot;,&quot;DOI&quot;:&quot;10.1007/s10995-016-2047-4&quot;,&quot;ISSN&quot;:&quot;1092-7875&quot;,&quot;URL&quot;:&quot;http://link.springer.com/10.1007/s10995-016-2047-4&quot;,&quot;issued&quot;:{&quot;date-parts&quot;:[[2016,10,9]]},&quot;page&quot;:&quot;2189-2198&quot;,&quot;issue&quot;:&quot;10&quot;,&quot;volume&quot;:&quot;20&quot;,&quot;container-title-short&quot;:&quot;&quot;},&quot;isTemporary&quot;:false}]},{&quot;citationID&quot;:&quot;MENDELEY_CITATION_fa750db7-a34e-410a-ad7d-bd46826dac84&quot;,&quot;properties&quot;:{&quot;noteIndex&quot;:0},&quot;isEdited&quot;:false,&quot;manualOverride&quot;:{&quot;isManuallyOverridden&quot;:false,&quot;citeprocText&quot;:&quot;(2)&quot;,&quot;manualOverrideText&quot;:&quot;&quot;},&quot;citationTag&quot;:&quot;MENDELEY_CITATION_v3_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&quot;,&quot;citationItems&quot;:[{&quot;id&quot;:&quot;381d7961-68ef-3a98-af83-2d5982304a18&quot;,&quot;itemData&quot;:{&quot;type&quot;:&quot;article-journal&quot;,&quot;id&quot;:&quot;381d7961-68ef-3a98-af83-2d5982304a18&quot;,&quot;title&quot;:&quot;Health outcomes of young children born to mothers who received 2009 pandemic H1N1 influenza vaccination during pregnancy: retrospective cohort study.&quot;,&quot;author&quot;:[{&quot;family&quot;:&quot;Walsh&quot;,&quot;given&quot;:&quot;Laura K&quot;,&quot;parse-names&quot;:false,&quot;dropping-particle&quot;:&quot;&quot;,&quot;non-dropping-particle&quot;:&quot;&quot;},{&quot;family&quot;:&quot;Donelle&quot;,&quot;given&quot;:&quot;Jessy&quot;,&quot;parse-names&quot;:false,&quot;dropping-particle&quot;:&quot;&quot;,&quot;non-dropping-particle&quot;:&quot;&quot;},{&quot;family&quot;:&quot;Dodds&quot;,&quot;given&quot;:&quot;Linda&quot;,&quot;parse-names&quot;:false,&quot;dropping-particle&quot;:&quot;&quot;,&quot;non-dropping-particle&quot;:&quot;&quot;},{&quot;family&quot;:&quot;Hawken&quot;,&quot;given&quot;:&quot;Steven&quot;,&quot;parse-names&quot;:false,&quot;dropping-particle&quot;:&quot;&quot;,&quot;non-dropping-particle&quot;:&quot;&quot;},{&quot;family&quot;:&quot;Wilson&quot;,&quot;given&quot;:&quot;Kumanan&quot;,&quot;parse-names&quot;:false,&quot;dropping-particle&quot;:&quot;&quot;,&quot;non-dropping-particle&quot;:&quot;&quot;},{&quot;family&quot;:&quot;Benchimol&quot;,&quot;given&quot;:&quot;Eric I&quot;,&quot;parse-names&quot;:false,&quot;dropping-particle&quot;:&quot;&quot;,&quot;non-dropping-particle&quot;:&quot;&quot;},{&quot;family&quot;:&quot;Chakraborty&quot;,&quot;given&quot;:&quot;Pranesh&quot;,&quot;parse-names&quot;:false,&quot;dropping-particle&quot;:&quot;&quot;,&quot;non-dropping-particle&quot;:&quot;&quot;},{&quot;family&quot;:&quot;Guttmann&quot;,&quot;given&quot;:&quot;Astrid&quot;,&quot;parse-names&quot;:false,&quot;dropping-particle&quot;:&quot;&quot;,&quot;non-dropping-particle&quot;:&quot;&quot;},{&quot;family&quot;:&quot;Kwong&quot;,&quot;given&quot;:&quot;Jeffrey C&quot;,&quot;parse-names&quot;:false,&quot;dropping-particle&quot;:&quot;&quot;,&quot;non-dropping-particle&quot;:&quot;&quot;},{&quot;family&quot;:&quot;MacDonald&quot;,&quot;given&quot;:&quot;Noni E&quot;,&quot;parse-names&quot;:false,&quot;dropping-particle&quot;:&quot;&quot;,&quot;non-dropping-particle&quot;:&quot;&quot;},{&quot;family&quot;:&quot;Ortiz&quot;,&quot;given&quot;:&quot;Justin R&quot;,&quot;parse-names&quot;:false,&quot;dropping-particle&quot;:&quot;&quot;,&quot;non-dropping-particle&quot;:&quot;&quot;},{&quot;family&quot;:&quot;Sprague&quot;,&quot;given&quot;:&quot;Ann E&quot;,&quot;parse-names&quot;:false,&quot;dropping-particle&quot;:&quot;&quot;,&quot;non-dropping-particle&quot;:&quot;&quot;},{&quot;family&quot;:&quot;Top&quot;,&quot;given&quot;:&quot;Karina A&quot;,&quot;parse-names&quot;:false,&quot;dropping-particle&quot;:&quot;&quot;,&quot;non-dropping-particle&quot;:&quot;&quot;},{&quot;family&quot;:&quot;Walker&quot;,&quot;given&quot;:&quot;Mark C&quot;,&quot;parse-names&quot;:false,&quot;dropping-particle&quot;:&quot;&quot;,&quot;non-dropping-particle&quot;:&quot;&quot;},{&quot;family&quot;:&quot;Wen&quot;,&quot;given&quot;:&quot;Shi Wu&quot;,&quot;parse-names&quot;:false,&quot;dropping-particle&quot;:&quot;&quot;,&quot;non-dropping-particle&quot;:&quot;&quot;},{&quot;family&quot;:&quot;Fell&quot;,&quot;given&quot;:&quot;Deshayne B&quot;,&quot;parse-names&quot;:false,&quot;dropping-particle&quot;:&quot;&quot;,&quot;non-dropping-particle&quot;:&quot;&quot;}],&quot;container-title&quot;:&quot;BMJ (Clinical research ed.)&quot;,&quot;container-title-short&quot;:&quot;BMJ&quot;,&quot;DOI&quot;:&quot;10.1136/bmj.l4151&quot;,&quot;ISSN&quot;:&quot;1756-1833&quot;,&quot;PMID&quot;:&quot;31292120&quot;,&quot;URL&quot;:&quot;http://www.ncbi.nlm.nih.gov/pubmed/31292120&quot;,&quot;issued&quot;:{&quot;date-parts&quot;:[[2019]]},&quot;page&quot;:&quot;l4151&quot;,&quot;abstract&quot;:&quot;OBJECTIVE To determine whether any association exists between exposure to 2009 pandemic H1N1 (pH1N1) influenza vaccination during pregnancy and negative health outcomes in early childhood. DESIGN Retrospective cohort study. SETTING Population based birth registry linked with health administrative databases in the province of Ontario, Canada. PARTICIPANTS All live births from November 2009 through October 2010 (n=104 249) were included, and children were followed until 5 years of age to ascertain study outcomes. MAIN OUTCOME MEASURES Rates of immune related (infectious diseases, asthma), non-immune related (neoplasms, sensory disorders), and non-specific morbidity outcomes (urgent or inpatient health services use, pediatric complex chronic conditions) were evaluated from birth to 5 years of age; under-5 childhood mortality was also assessed. Propensity score weighting was used to adjust hazard ratios, incidence rate ratios, and risk ratios for potential confounding. RESULTS Of 104 249 live births, 31 295 (30%) were exposed to pH1N1 influenza vaccination in utero. No significant associations were found with upper or lower respiratory infections, otitis media, any infectious diseases, neoplasms, sensory disorders, urgent and inpatient health services use, pediatric complex chronic conditions, or mortality. A weak association was observed between prenatal pH1N1 vaccination and increased risk of asthma (adjusted hazard ratio 1.05, 95% confidence interval 1.02 to 1.09) and decreased rates of gastrointestinal infections (adjusted incidence rate ratio 0.94, 0.91 to 0.98). These results were unchanged in sensitivity analyses accounting for any potential differential healthcare seeking behavior or access between exposure groups. CONCLUSIONS No associations were observed between exposure to pH1N1 influenza vaccine during pregnancy and most five year pediatric health outcomes. Residual confounding may explain the small associations observed with increased asthma and reduced gastrointestinal infections. These outcomes should be assessed in future studies.&quot;,&quot;volume&quot;:&quot;366&quot;},&quot;isTemporary&quot;:false}]},{&quot;citationID&quot;:&quot;MENDELEY_CITATION_e891059d-4b6c-455b-aea5-e3b4ee5dfab6&quot;,&quot;properties&quot;:{&quot;noteIndex&quot;:0},&quot;isEdited&quot;:false,&quot;manualOverride&quot;:{&quot;isManuallyOverridden&quot;:false,&quot;citeprocText&quot;:&quot;(3,4)&quot;,&quot;manualOverrideText&quot;:&quot;&quot;},&quot;citationTag&quot;:&quot;MENDELEY_CITATION_v3_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&quot;,&quot;citationItems&quot;:[{&quot;id&quot;:&quot;cd98f64e-3ee5-369a-8fc5-e826f7230ee9&quot;,&quot;itemData&quot;:{&quot;type&quot;:&quot;article-journal&quot;,&quot;id&quot;:&quot;cd98f64e-3ee5-369a-8fc5-e826f7230ee9&quot;,&quot;title&quot;:&quot;Pediatric complex chronic conditions classification system version 2: updated for ICD-10 and complex medical technology dependence and transplantation&quot;,&quot;author&quot;:[{&quot;family&quot;:&quot;Feudtner&quot;,&quot;given&quot;:&quot;Chris&quot;,&quot;parse-names&quot;:false,&quot;dropping-particle&quot;:&quot;&quot;,&quot;non-dropping-particle&quot;:&quot;&quot;},{&quot;family&quot;:&quot;Feinstein&quot;,&quot;given&quot;:&quot;James A&quot;,&quot;parse-names&quot;:false,&quot;dropping-particle&quot;:&quot;&quot;,&quot;non-dropping-particle&quot;:&quot;&quot;},{&quot;family&quot;:&quot;Zhong&quot;,&quot;given&quot;:&quot;Wenjun&quot;,&quot;parse-names&quot;:false,&quot;dropping-particle&quot;:&quot;&quot;,&quot;non-dropping-particle&quot;:&quot;&quot;},{&quot;family&quot;:&quot;Hall&quot;,&quot;given&quot;:&quot;Matt&quot;,&quot;parse-names&quot;:false,&quot;dropping-particle&quot;:&quot;&quot;,&quot;non-dropping-particle&quot;:&quot;&quot;},{&quot;family&quot;:&quot;Dai&quot;,&quot;given&quot;:&quot;Dingwei&quot;,&quot;parse-names&quot;:false,&quot;dropping-particle&quot;:&quot;&quot;,&quot;non-dropping-particle&quot;:&quot;&quot;}],&quot;container-title&quot;:&quot;BMC Pediatrics&quot;,&quot;DOI&quot;:&quot;10.1186/1471-2431-14-199&quot;,&quot;ISSN&quot;:&quot;1471-2431&quot;,&quot;URL&quot;:&quot;http://bmcpediatr.biomedcentral.com/articles/10.1186/1471-2431-14-199&quot;,&quot;issued&quot;:{&quot;date-parts&quot;:[[2014,12,8]]},&quot;page&quot;:&quot;199&quot;,&quot;issue&quot;:&quot;1&quot;,&quot;volume&quot;:&quot;14&quot;,&quot;container-title-short&quot;:&quot;&quot;},&quot;isTemporary&quot;:false},{&quot;id&quot;:&quot;5edac893-97e5-3602-8516-1b6be212cf4a&quot;,&quot;itemData&quot;:{&quot;type&quot;:&quot;article-journal&quot;,&quot;id&quot;:&quot;5edac893-97e5-3602-8516-1b6be212cf4a&quot;,&quot;title&quot;:&quot;Patterns and Costs of Health Care Use of Children With Medical Complexity&quot;,&quot;author&quot;:[{&quot;family&quot;:&quot;Cohen&quot;,&quot;given&quot;:&quot;E.&quot;,&quot;parse-names&quot;:false,&quot;dropping-particle&quot;:&quot;&quot;,&quot;non-dropping-particle&quot;:&quot;&quot;},{&quot;family&quot;:&quot;Berry&quot;,&quot;given&quot;:&quot;J. G.&quot;,&quot;parse-names&quot;:false,&quot;dropping-particle&quot;:&quot;&quot;,&quot;non-dropping-particle&quot;:&quot;&quot;},{&quot;family&quot;:&quot;Camacho&quot;,&quot;given&quot;:&quot;X.&quot;,&quot;parse-names&quot;:false,&quot;dropping-particle&quot;:&quot;&quot;,&quot;non-dropping-particle&quot;:&quot;&quot;},{&quot;family&quot;:&quot;Anderson&quot;,&quot;given&quot;:&quot;G.&quot;,&quot;parse-names&quot;:false,&quot;dropping-particle&quot;:&quot;&quot;,&quot;non-dropping-particle&quot;:&quot;&quot;},{&quot;family&quot;:&quot;Wodchis&quot;,&quot;given&quot;:&quot;W.&quot;,&quot;parse-names&quot;:false,&quot;dropping-particle&quot;:&quot;&quot;,&quot;non-dropping-particle&quot;:&quot;&quot;},{&quot;family&quot;:&quot;Guttmann&quot;,&quot;given&quot;:&quot;A.&quot;,&quot;parse-names&quot;:false,&quot;dropping-particle&quot;:&quot;&quot;,&quot;non-dropping-particle&quot;:&quot;&quot;}],&quot;container-title&quot;:&quot;PEDIATRICS&quot;,&quot;DOI&quot;:&quot;10.1542/peds.2012-0175&quot;,&quot;ISSN&quot;:&quot;0031-4005&quot;,&quot;URL&quot;:&quot;http://pediatrics.aappublications.org/cgi/doi/10.1542/peds.2012-0175&quot;,&quot;issued&quot;:{&quot;date-parts&quot;:[[2012,12,1]]},&quot;page&quot;:&quot;e1463-e1470&quot;,&quot;issue&quot;:&quot;6&quot;,&quot;volume&quot;:&quot;130&quot;,&quot;container-title-short&quot;:&quot;&quot;},&quot;isTemporary&quot;:false}]}]"/>
    <we:property name="MENDELEY_CITATIONS_STYLE" value="{&quot;id&quot;:&quot;https://www.zotero.org/styles/fertility-and-sterility&quot;,&quot;title&quot;:&quot;Fertility and Sterility&quot;,&quot;format&quot;:&quot;numeric&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577AA5-2C01-417B-BC01-18C361762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2</Pages>
  <Words>755</Words>
  <Characters>4307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Sheryll</dc:creator>
  <cp:keywords/>
  <dc:description/>
  <cp:lastModifiedBy>E754049</cp:lastModifiedBy>
  <cp:revision>152</cp:revision>
  <dcterms:created xsi:type="dcterms:W3CDTF">2022-03-12T22:33:00Z</dcterms:created>
  <dcterms:modified xsi:type="dcterms:W3CDTF">2023-02-14T11:47:00Z</dcterms:modified>
</cp:coreProperties>
</file>