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eastAsia" w:ascii="Arial" w:hAnsi="Arial" w:cs="Arial" w:eastAsiaTheme="minorEastAsia"/>
          <w:sz w:val="24"/>
          <w:szCs w:val="24"/>
          <w:lang w:val="en-US" w:eastAsia="zh-CN"/>
        </w:rPr>
        <w:t>Supplementary table 1. Definitions of abortion, preterm birth, stillbirth, and low birthweight for</w:t>
      </w: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t> each study</w:t>
      </w:r>
    </w:p>
    <w:tbl>
      <w:tblPr>
        <w:tblStyle w:val="5"/>
        <w:tblpPr w:leftFromText="180" w:rightFromText="180" w:vertAnchor="page" w:horzAnchor="page" w:tblpX="1592" w:tblpY="2493"/>
        <w:tblOverlap w:val="never"/>
        <w:tblW w:w="898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832"/>
        <w:gridCol w:w="1931"/>
        <w:gridCol w:w="1931"/>
        <w:gridCol w:w="193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1362" w:type="dxa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Author</w:t>
            </w:r>
          </w:p>
        </w:tc>
        <w:tc>
          <w:tcPr>
            <w:tcW w:w="1832" w:type="dxa"/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definitions of </w:t>
            </w:r>
            <w:bookmarkStart w:id="0" w:name="OLE_LINK3"/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abortion</w:t>
            </w:r>
            <w:bookmarkEnd w:id="0"/>
          </w:p>
        </w:tc>
        <w:tc>
          <w:tcPr>
            <w:tcW w:w="1931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definitions of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 </w:t>
            </w:r>
            <w:bookmarkStart w:id="1" w:name="OLE_LINK7"/>
            <w:bookmarkStart w:id="2" w:name="OLE_LINK9"/>
            <w:bookmarkStart w:id="3" w:name="OLE_LINK4"/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preterm</w:t>
            </w:r>
            <w:bookmarkEnd w:id="1"/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 </w:t>
            </w:r>
            <w:bookmarkEnd w:id="2"/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birth</w:t>
            </w:r>
            <w:bookmarkEnd w:id="3"/>
          </w:p>
        </w:tc>
        <w:tc>
          <w:tcPr>
            <w:tcW w:w="1931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definitions of 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stillbirth</w:t>
            </w:r>
          </w:p>
        </w:tc>
        <w:tc>
          <w:tcPr>
            <w:tcW w:w="1931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definitions of 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4" w:name="OLE_LINK1"/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 low birth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weight</w:t>
            </w:r>
            <w:bookmarkEnd w:id="4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362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5" w:name="OLE_LINK14" w:colFirst="5" w:colLast="6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Johnson 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al.29</w:t>
            </w:r>
          </w:p>
        </w:tc>
        <w:tc>
          <w:tcPr>
            <w:tcW w:w="1832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spontaneous or elective abortion</w:t>
            </w:r>
          </w:p>
        </w:tc>
        <w:tc>
          <w:tcPr>
            <w:tcW w:w="1931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gestational age &lt;37 weeks</w:t>
            </w:r>
          </w:p>
        </w:tc>
        <w:tc>
          <w:tcPr>
            <w:tcW w:w="1931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6" w:name="OLE_LINK13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/</w:t>
            </w:r>
            <w:bookmarkEnd w:id="6"/>
          </w:p>
        </w:tc>
        <w:tc>
          <w:tcPr>
            <w:tcW w:w="1931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/</w:t>
            </w:r>
          </w:p>
        </w:tc>
      </w:tr>
      <w:bookmarkEnd w:id="5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Schnitzler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al.24</w:t>
            </w:r>
          </w:p>
        </w:tc>
        <w:tc>
          <w:tcPr>
            <w:tcW w:w="1832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7" w:name="OLE_LINK65"/>
            <w:bookmarkStart w:id="8" w:name="OLE_LINK17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spontaneous or elective</w:t>
            </w:r>
            <w:bookmarkEnd w:id="7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 abortion</w:t>
            </w:r>
            <w:bookmarkEnd w:id="8"/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9" w:name="OLE_LINK20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gestational age &lt;37 weeks</w:t>
            </w:r>
            <w:bookmarkEnd w:id="9"/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10" w:name="OLE_LINK5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Not specified</w:t>
            </w:r>
            <w:bookmarkEnd w:id="10"/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birth weight&lt;2500g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11" w:name="OLE_LINK12" w:colFirst="8" w:colLast="9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Mahadevan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al.28</w:t>
            </w:r>
          </w:p>
        </w:tc>
        <w:tc>
          <w:tcPr>
            <w:tcW w:w="1832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Spontaneous abortion prior to 20 weeks</w:t>
            </w:r>
            <w:r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  <w:t>’</w:t>
            </w: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 gestation.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gestational age &lt;37 weeks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/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birth weight&lt;2500g</w:t>
            </w:r>
          </w:p>
        </w:tc>
      </w:tr>
      <w:bookmarkEnd w:id="11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Casanova 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al.25</w:t>
            </w:r>
          </w:p>
        </w:tc>
        <w:tc>
          <w:tcPr>
            <w:tcW w:w="1832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12" w:name="OLE_LINK18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Spontaneous or elective abortions</w:t>
            </w:r>
            <w:bookmarkEnd w:id="12"/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gestational age of &lt; 37 weeks at the moment of delivery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13" w:name="OLE_LINK2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Not specified</w:t>
            </w:r>
            <w:bookmarkEnd w:id="13"/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neonatal weight under 2500g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Seirafi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al.15</w:t>
            </w:r>
          </w:p>
        </w:tc>
        <w:tc>
          <w:tcPr>
            <w:tcW w:w="1832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Foetal loss </w:t>
            </w:r>
            <w:bookmarkStart w:id="14" w:name="OLE_LINK15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prior to 20 weeks</w:t>
            </w:r>
            <w:bookmarkEnd w:id="14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 post-conception excluded elective abortion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delivery before 37 GW (gestational weeks)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Foetal loss after 20 weeks post-conception.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birth weight less than 2500 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 xml:space="preserve">Komoto 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al.26</w:t>
            </w:r>
          </w:p>
        </w:tc>
        <w:tc>
          <w:tcPr>
            <w:tcW w:w="1832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15" w:name="OLE_LINK11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Spontaneous abortion</w:t>
            </w:r>
            <w:bookmarkEnd w:id="15"/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birth at less than 35 weeks gestational age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/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16" w:name="OLE_LINK16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Not specified</w:t>
            </w:r>
            <w:bookmarkEnd w:id="16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Lichtenstein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al.20</w:t>
            </w:r>
          </w:p>
        </w:tc>
        <w:tc>
          <w:tcPr>
            <w:tcW w:w="1832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Spontaneous or elective abortions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Not specified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/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17" w:name="OLE_LINK6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Not specified</w:t>
            </w:r>
            <w:bookmarkEnd w:id="17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Luu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al.19</w:t>
            </w:r>
          </w:p>
        </w:tc>
        <w:tc>
          <w:tcPr>
            <w:tcW w:w="1832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Pregnancy loss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before the 37th week of amenorrhea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/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  <w:jc w:val="center"/>
        </w:trPr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Moens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al.27</w:t>
            </w:r>
          </w:p>
        </w:tc>
        <w:tc>
          <w:tcPr>
            <w:tcW w:w="1832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18" w:name="OLE_LINK19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Early miscarriages</w:t>
            </w:r>
            <w:bookmarkEnd w:id="18"/>
          </w:p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and elective terminations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delivery before 37 weeks of gestation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Foetal loss after 20 weeks post-conception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A birthweight less than 2500 g in a child born at term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Meyer</w:t>
            </w:r>
          </w:p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Et al.23</w:t>
            </w:r>
          </w:p>
        </w:tc>
        <w:tc>
          <w:tcPr>
            <w:tcW w:w="1832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/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before the 37</w:t>
            </w:r>
            <w:bookmarkStart w:id="19" w:name="OLE_LINK8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week of amenorrhea</w:t>
            </w:r>
            <w:bookmarkEnd w:id="19"/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delivery of a dead fetus after 22week of amenorrhea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Arial" w:hAnsi="Arial" w:cs="Arial" w:eastAsiaTheme="minorEastAsia"/>
                <w:sz w:val="18"/>
                <w:szCs w:val="18"/>
                <w:lang w:val="en-US" w:eastAsia="zh-CN"/>
              </w:rPr>
            </w:pPr>
            <w:bookmarkStart w:id="20" w:name="OLE_LINK10"/>
            <w:r>
              <w:rPr>
                <w:rFonts w:hint="eastAsia" w:ascii="Arial" w:hAnsi="Arial" w:cs="Arial" w:eastAsiaTheme="minorEastAsia"/>
                <w:sz w:val="18"/>
                <w:szCs w:val="18"/>
                <w:lang w:val="en-US" w:eastAsia="zh-CN"/>
              </w:rPr>
              <w:t>/</w:t>
            </w:r>
            <w:bookmarkEnd w:id="20"/>
          </w:p>
        </w:tc>
      </w:tr>
    </w:tbl>
    <w:p>
      <w:pPr>
        <w:spacing w:line="240" w:lineRule="auto"/>
        <w:jc w:val="left"/>
        <w:rPr>
          <w:rFonts w:hint="eastAsia" w:ascii="Arial" w:hAnsi="Arial" w:cs="Arial" w:eastAsiaTheme="minorEastAsia"/>
          <w:sz w:val="16"/>
          <w:szCs w:val="16"/>
          <w:lang w:val="en-US" w:eastAsia="zh-CN"/>
        </w:rPr>
      </w:pPr>
      <w:bookmarkStart w:id="21" w:name="_GoBack"/>
      <w:bookmarkEnd w:id="21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color w:val="212121"/>
        <w:sz w:val="20"/>
        <w:szCs w:val="20"/>
        <w:lang w:val="nl-N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75565</wp:posOffset>
              </wp:positionH>
              <wp:positionV relativeFrom="paragraph">
                <wp:posOffset>32385</wp:posOffset>
              </wp:positionV>
              <wp:extent cx="5186045" cy="1404620"/>
              <wp:effectExtent l="0" t="0" r="0" b="0"/>
              <wp:wrapNone/>
              <wp:docPr id="21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604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2" o:spid="_x0000_s1026" o:spt="202" type="#_x0000_t202" style="position:absolute;left:0pt;margin-left:5.95pt;margin-top:2.55pt;height:110.6pt;width:408.35pt;z-index:251659264;mso-width-relative:page;mso-height-relative:margin;mso-height-percent:200;" filled="f" stroked="f" coordsize="21600,21600" o:gfxdata="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vHDZ8dYAAAAIAQAADwAA&#10;AAAAAAABACAAAAAiAAAAZHJzL2Rvd25yZXYueG1sUEsBAhQAFAAAAAgAh07iQK/4PnEYAgAAKwQA&#10;AA4AAAAAAAAAAQAgAAAAJQEAAGRycy9lMm9Eb2MueG1sUEsFBgAAAAAGAAYAWQEAAK8FAAAAAA==&#10;">
              <v:fill on="f" focussize="0,0"/>
              <v:stroke on="f" miterlimit="8" joinstyle="miter"/>
              <v:imagedata o:title=""/>
              <o:lock v:ext="edit" aspectratio="f"/>
              <v:textbox style="mso-fit-shape-to-text:t;">
                <w:txbxContent>
                  <w:p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000000"/>
    <w:rsid w:val="049E6760"/>
    <w:rsid w:val="07135B05"/>
    <w:rsid w:val="0DA52B32"/>
    <w:rsid w:val="149955F1"/>
    <w:rsid w:val="1A420ADE"/>
    <w:rsid w:val="1DAF40D7"/>
    <w:rsid w:val="1EC51145"/>
    <w:rsid w:val="20557AF8"/>
    <w:rsid w:val="27F31225"/>
    <w:rsid w:val="2FC427B8"/>
    <w:rsid w:val="318F1FBE"/>
    <w:rsid w:val="34834546"/>
    <w:rsid w:val="3C480B3F"/>
    <w:rsid w:val="3F5605BF"/>
    <w:rsid w:val="41D36615"/>
    <w:rsid w:val="471641E4"/>
    <w:rsid w:val="4AB56AE2"/>
    <w:rsid w:val="5E2E0D9C"/>
    <w:rsid w:val="5F0B4ACB"/>
    <w:rsid w:val="619F19B9"/>
    <w:rsid w:val="63C96C48"/>
    <w:rsid w:val="645032BF"/>
    <w:rsid w:val="65D53D3B"/>
    <w:rsid w:val="68272A1B"/>
    <w:rsid w:val="68B24209"/>
    <w:rsid w:val="6C4C1DCA"/>
    <w:rsid w:val="6D5E04BB"/>
    <w:rsid w:val="73216213"/>
    <w:rsid w:val="7F31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apple-style-span"/>
    <w:basedOn w:val="6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2024-01-11T13:59:00Z</dcterms:created>
  <dc:creator>apple</dc:creator>
  <cp:lastModifiedBy>文档存本地丢失不负责</cp:lastModifiedBy>
  <dcterms:modified xsi:type="dcterms:W3CDTF">2024-01-25T15:26:00Z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B61280D0AA994983920D7CC4D6A6F545_12</vt:lpwstr>
  </property>
</Properties>
</file>