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F82D7" w14:textId="77777777" w:rsidR="00DA5F7E" w:rsidRPr="00EC7A17" w:rsidRDefault="00DA5F7E" w:rsidP="00DA5F7E">
      <w:pPr>
        <w:spacing w:line="480" w:lineRule="auto"/>
        <w:rPr>
          <w:rFonts w:ascii="Times New Roman" w:hAnsi="Times New Roman" w:cs="Times New Roman"/>
          <w:b/>
          <w:bCs/>
          <w:sz w:val="24"/>
          <w:szCs w:val="24"/>
          <w:u w:val="single"/>
        </w:rPr>
      </w:pPr>
      <w:r w:rsidRPr="00EC7A17">
        <w:rPr>
          <w:rFonts w:ascii="Times New Roman" w:hAnsi="Times New Roman" w:cs="Times New Roman"/>
          <w:b/>
          <w:bCs/>
          <w:sz w:val="24"/>
          <w:szCs w:val="24"/>
          <w:u w:val="single"/>
        </w:rPr>
        <w:t>SUPPORTING INFORMATION</w:t>
      </w:r>
    </w:p>
    <w:p w14:paraId="5BBB1638" w14:textId="77777777" w:rsidR="00DA5F7E" w:rsidRPr="00EC7A17" w:rsidRDefault="00DA5F7E" w:rsidP="00DA5F7E">
      <w:pPr>
        <w:spacing w:line="480" w:lineRule="auto"/>
        <w:rPr>
          <w:rFonts w:ascii="Times New Roman" w:hAnsi="Times New Roman" w:cs="Times New Roman"/>
          <w:sz w:val="24"/>
          <w:szCs w:val="24"/>
        </w:rPr>
      </w:pPr>
      <w:r w:rsidRPr="00EC7A17">
        <w:rPr>
          <w:rFonts w:ascii="Times New Roman" w:hAnsi="Times New Roman" w:cs="Times New Roman"/>
          <w:sz w:val="24"/>
          <w:szCs w:val="24"/>
        </w:rPr>
        <w:t>Table S1: PRISMA checklist</w:t>
      </w:r>
    </w:p>
    <w:tbl>
      <w:tblPr>
        <w:tblW w:w="14660" w:type="dxa"/>
        <w:tblBorders>
          <w:top w:val="nil"/>
          <w:left w:val="nil"/>
          <w:bottom w:val="nil"/>
          <w:right w:val="nil"/>
        </w:tblBorders>
        <w:tblLook w:val="0000" w:firstRow="0" w:lastRow="0" w:firstColumn="0" w:lastColumn="0" w:noHBand="0" w:noVBand="0"/>
      </w:tblPr>
      <w:tblGrid>
        <w:gridCol w:w="1607"/>
        <w:gridCol w:w="656"/>
        <w:gridCol w:w="10205"/>
        <w:gridCol w:w="2192"/>
      </w:tblGrid>
      <w:tr w:rsidR="00DA5F7E" w:rsidRPr="00EC7A17" w14:paraId="79EC3F76" w14:textId="77777777" w:rsidTr="00DA5F7E">
        <w:trPr>
          <w:trHeight w:val="64"/>
          <w:tblHeader/>
        </w:trPr>
        <w:tc>
          <w:tcPr>
            <w:tcW w:w="160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891BA88" w14:textId="77777777" w:rsidR="00DA5F7E" w:rsidRPr="00EC7A17" w:rsidRDefault="00DA5F7E" w:rsidP="00DA5F7E">
            <w:pPr>
              <w:pStyle w:val="Default"/>
              <w:rPr>
                <w:rFonts w:ascii="Times New Roman" w:hAnsi="Times New Roman" w:cs="Times New Roman"/>
                <w:color w:val="FFFFFF"/>
                <w:sz w:val="22"/>
                <w:szCs w:val="22"/>
                <w:lang w:val="en-NZ"/>
              </w:rPr>
            </w:pPr>
            <w:r w:rsidRPr="00EC7A17">
              <w:rPr>
                <w:rFonts w:ascii="Times New Roman" w:hAnsi="Times New Roman" w:cs="Times New Roman"/>
                <w:b/>
                <w:bCs/>
                <w:color w:val="FFFFFF"/>
                <w:sz w:val="22"/>
                <w:szCs w:val="22"/>
                <w:lang w:val="en-NZ"/>
              </w:rPr>
              <w:t xml:space="preserve">Section and Topic </w:t>
            </w:r>
          </w:p>
        </w:tc>
        <w:tc>
          <w:tcPr>
            <w:tcW w:w="65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9ADFC74" w14:textId="77777777" w:rsidR="00DA5F7E" w:rsidRPr="00EC7A17" w:rsidRDefault="00DA5F7E" w:rsidP="00DA5F7E">
            <w:pPr>
              <w:pStyle w:val="Default"/>
              <w:rPr>
                <w:rFonts w:ascii="Times New Roman" w:hAnsi="Times New Roman" w:cs="Times New Roman"/>
                <w:b/>
                <w:bCs/>
                <w:color w:val="FFFFFF"/>
                <w:sz w:val="22"/>
                <w:szCs w:val="22"/>
                <w:lang w:val="en-NZ"/>
              </w:rPr>
            </w:pPr>
            <w:r w:rsidRPr="00EC7A17">
              <w:rPr>
                <w:rFonts w:ascii="Times New Roman" w:hAnsi="Times New Roman" w:cs="Times New Roman"/>
                <w:b/>
                <w:bCs/>
                <w:color w:val="FFFFFF"/>
                <w:sz w:val="22"/>
                <w:szCs w:val="22"/>
                <w:lang w:val="en-NZ"/>
              </w:rPr>
              <w:t>Item #</w:t>
            </w:r>
          </w:p>
        </w:tc>
        <w:tc>
          <w:tcPr>
            <w:tcW w:w="1020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2BAAA28" w14:textId="77777777" w:rsidR="00DA5F7E" w:rsidRPr="00EC7A17" w:rsidRDefault="00DA5F7E" w:rsidP="00DA5F7E">
            <w:pPr>
              <w:pStyle w:val="Default"/>
              <w:rPr>
                <w:rFonts w:ascii="Times New Roman" w:hAnsi="Times New Roman" w:cs="Times New Roman"/>
                <w:color w:val="FFFFFF"/>
                <w:sz w:val="22"/>
                <w:szCs w:val="22"/>
                <w:lang w:val="en-NZ"/>
              </w:rPr>
            </w:pPr>
            <w:r w:rsidRPr="00EC7A17">
              <w:rPr>
                <w:rFonts w:ascii="Times New Roman" w:hAnsi="Times New Roman" w:cs="Times New Roman"/>
                <w:b/>
                <w:bCs/>
                <w:color w:val="FFFFFF"/>
                <w:sz w:val="22"/>
                <w:szCs w:val="22"/>
                <w:lang w:val="en-NZ"/>
              </w:rPr>
              <w:t xml:space="preserve">Checklist item </w:t>
            </w:r>
          </w:p>
        </w:tc>
        <w:tc>
          <w:tcPr>
            <w:tcW w:w="219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E1EAD53" w14:textId="77777777" w:rsidR="00DA5F7E" w:rsidRPr="00EC7A17" w:rsidRDefault="00DA5F7E" w:rsidP="00DA5F7E">
            <w:pPr>
              <w:pStyle w:val="Default"/>
              <w:rPr>
                <w:rFonts w:ascii="Times New Roman" w:hAnsi="Times New Roman" w:cs="Times New Roman"/>
                <w:color w:val="FFFFFF"/>
                <w:sz w:val="22"/>
                <w:szCs w:val="22"/>
                <w:lang w:val="en-NZ"/>
              </w:rPr>
            </w:pPr>
            <w:r w:rsidRPr="00EC7A17">
              <w:rPr>
                <w:rFonts w:ascii="Times New Roman" w:hAnsi="Times New Roman" w:cs="Times New Roman"/>
                <w:b/>
                <w:bCs/>
                <w:color w:val="FFFFFF"/>
                <w:sz w:val="22"/>
                <w:szCs w:val="22"/>
                <w:lang w:val="en-NZ"/>
              </w:rPr>
              <w:t xml:space="preserve">Location where item is reported </w:t>
            </w:r>
          </w:p>
        </w:tc>
      </w:tr>
      <w:tr w:rsidR="00DA5F7E" w:rsidRPr="00EC7A17" w14:paraId="460AB173" w14:textId="77777777" w:rsidTr="00DA5F7E">
        <w:trPr>
          <w:trHeight w:val="23"/>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4B8AE0" w14:textId="77777777" w:rsidR="00DA5F7E" w:rsidRPr="00EC7A17" w:rsidRDefault="00DA5F7E" w:rsidP="00DA5F7E">
            <w:pPr>
              <w:pStyle w:val="Default"/>
              <w:rPr>
                <w:rFonts w:ascii="Times New Roman" w:hAnsi="Times New Roman" w:cs="Times New Roman"/>
                <w:sz w:val="22"/>
                <w:szCs w:val="22"/>
                <w:lang w:val="en-NZ"/>
              </w:rPr>
            </w:pPr>
            <w:r w:rsidRPr="00EC7A17">
              <w:rPr>
                <w:rFonts w:ascii="Times New Roman" w:hAnsi="Times New Roman" w:cs="Times New Roman"/>
                <w:b/>
                <w:bCs/>
                <w:sz w:val="22"/>
                <w:szCs w:val="22"/>
                <w:lang w:val="en-NZ"/>
              </w:rPr>
              <w:t xml:space="preserve">TITLE </w:t>
            </w:r>
          </w:p>
        </w:tc>
        <w:tc>
          <w:tcPr>
            <w:tcW w:w="2192" w:type="dxa"/>
            <w:tcBorders>
              <w:top w:val="double" w:sz="5" w:space="0" w:color="000000"/>
              <w:left w:val="single" w:sz="5" w:space="0" w:color="000000"/>
              <w:bottom w:val="single" w:sz="5" w:space="0" w:color="000000"/>
              <w:right w:val="single" w:sz="5" w:space="0" w:color="000000"/>
            </w:tcBorders>
            <w:shd w:val="clear" w:color="auto" w:fill="FFFFCC"/>
          </w:tcPr>
          <w:p w14:paraId="281B9AB4" w14:textId="77777777" w:rsidR="00DA5F7E" w:rsidRPr="00EC7A17" w:rsidRDefault="00DA5F7E" w:rsidP="00DA5F7E">
            <w:pPr>
              <w:pStyle w:val="Default"/>
              <w:jc w:val="right"/>
              <w:rPr>
                <w:rFonts w:ascii="Times New Roman" w:hAnsi="Times New Roman" w:cs="Times New Roman"/>
                <w:color w:val="auto"/>
                <w:sz w:val="22"/>
                <w:szCs w:val="22"/>
                <w:lang w:val="en-NZ"/>
              </w:rPr>
            </w:pPr>
          </w:p>
        </w:tc>
      </w:tr>
      <w:tr w:rsidR="00DA5F7E" w:rsidRPr="00EC7A17" w14:paraId="7DD0E152" w14:textId="77777777" w:rsidTr="00DA5F7E">
        <w:trPr>
          <w:trHeight w:val="47"/>
        </w:trPr>
        <w:tc>
          <w:tcPr>
            <w:tcW w:w="1607" w:type="dxa"/>
            <w:tcBorders>
              <w:top w:val="single" w:sz="5" w:space="0" w:color="000000"/>
              <w:left w:val="single" w:sz="5" w:space="0" w:color="000000"/>
              <w:bottom w:val="double" w:sz="2" w:space="0" w:color="FFFFCC"/>
              <w:right w:val="single" w:sz="5" w:space="0" w:color="000000"/>
            </w:tcBorders>
          </w:tcPr>
          <w:p w14:paraId="23465C4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Title </w:t>
            </w:r>
          </w:p>
        </w:tc>
        <w:tc>
          <w:tcPr>
            <w:tcW w:w="656" w:type="dxa"/>
            <w:tcBorders>
              <w:top w:val="single" w:sz="5" w:space="0" w:color="000000"/>
              <w:left w:val="single" w:sz="5" w:space="0" w:color="000000"/>
              <w:bottom w:val="double" w:sz="2" w:space="0" w:color="FFFFCC"/>
              <w:right w:val="single" w:sz="5" w:space="0" w:color="000000"/>
            </w:tcBorders>
          </w:tcPr>
          <w:p w14:paraId="5D4DC410"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w:t>
            </w:r>
          </w:p>
        </w:tc>
        <w:tc>
          <w:tcPr>
            <w:tcW w:w="10205" w:type="dxa"/>
            <w:tcBorders>
              <w:top w:val="single" w:sz="5" w:space="0" w:color="000000"/>
              <w:left w:val="single" w:sz="5" w:space="0" w:color="000000"/>
              <w:bottom w:val="double" w:sz="5" w:space="0" w:color="000000"/>
              <w:right w:val="single" w:sz="5" w:space="0" w:color="000000"/>
            </w:tcBorders>
          </w:tcPr>
          <w:p w14:paraId="0B67783A"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Identify the report as a systematic review.</w:t>
            </w:r>
          </w:p>
        </w:tc>
        <w:tc>
          <w:tcPr>
            <w:tcW w:w="2192" w:type="dxa"/>
            <w:tcBorders>
              <w:top w:val="single" w:sz="5" w:space="0" w:color="000000"/>
              <w:left w:val="single" w:sz="5" w:space="0" w:color="000000"/>
              <w:bottom w:val="double" w:sz="5" w:space="0" w:color="000000"/>
              <w:right w:val="single" w:sz="5" w:space="0" w:color="000000"/>
            </w:tcBorders>
          </w:tcPr>
          <w:p w14:paraId="1B7BF774"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Title page</w:t>
            </w:r>
          </w:p>
        </w:tc>
      </w:tr>
      <w:tr w:rsidR="00DA5F7E" w:rsidRPr="00EC7A17" w14:paraId="27F37BC7" w14:textId="77777777" w:rsidTr="00DA5F7E">
        <w:trPr>
          <w:trHeight w:val="23"/>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161123B" w14:textId="77777777" w:rsidR="00DA5F7E" w:rsidRPr="00EC7A17" w:rsidRDefault="00DA5F7E" w:rsidP="00DA5F7E">
            <w:pPr>
              <w:pStyle w:val="Default"/>
              <w:rPr>
                <w:rFonts w:ascii="Times New Roman" w:hAnsi="Times New Roman" w:cs="Times New Roman"/>
                <w:sz w:val="22"/>
                <w:szCs w:val="22"/>
                <w:lang w:val="en-NZ"/>
              </w:rPr>
            </w:pPr>
            <w:r w:rsidRPr="00EC7A17">
              <w:rPr>
                <w:rFonts w:ascii="Times New Roman" w:hAnsi="Times New Roman" w:cs="Times New Roman"/>
                <w:b/>
                <w:bCs/>
                <w:sz w:val="22"/>
                <w:szCs w:val="22"/>
                <w:lang w:val="en-NZ"/>
              </w:rPr>
              <w:t xml:space="preserve">ABSTRACT </w:t>
            </w:r>
          </w:p>
        </w:tc>
        <w:tc>
          <w:tcPr>
            <w:tcW w:w="2192" w:type="dxa"/>
            <w:tcBorders>
              <w:top w:val="double" w:sz="5" w:space="0" w:color="000000"/>
              <w:left w:val="single" w:sz="5" w:space="0" w:color="000000"/>
              <w:bottom w:val="single" w:sz="5" w:space="0" w:color="000000"/>
              <w:right w:val="single" w:sz="5" w:space="0" w:color="000000"/>
            </w:tcBorders>
            <w:shd w:val="clear" w:color="auto" w:fill="FFFFCC"/>
          </w:tcPr>
          <w:p w14:paraId="14053CA0" w14:textId="77777777" w:rsidR="00DA5F7E" w:rsidRPr="00EC7A17" w:rsidRDefault="00DA5F7E" w:rsidP="00DA5F7E">
            <w:pPr>
              <w:pStyle w:val="Default"/>
              <w:jc w:val="right"/>
              <w:rPr>
                <w:rFonts w:ascii="Times New Roman" w:hAnsi="Times New Roman" w:cs="Times New Roman"/>
                <w:color w:val="auto"/>
                <w:sz w:val="22"/>
                <w:szCs w:val="22"/>
                <w:lang w:val="en-NZ"/>
              </w:rPr>
            </w:pPr>
          </w:p>
        </w:tc>
      </w:tr>
      <w:tr w:rsidR="00DA5F7E" w:rsidRPr="00EC7A17" w14:paraId="07384EA9" w14:textId="77777777" w:rsidTr="00DA5F7E">
        <w:trPr>
          <w:trHeight w:val="47"/>
        </w:trPr>
        <w:tc>
          <w:tcPr>
            <w:tcW w:w="1607" w:type="dxa"/>
            <w:tcBorders>
              <w:top w:val="single" w:sz="5" w:space="0" w:color="000000"/>
              <w:left w:val="single" w:sz="5" w:space="0" w:color="000000"/>
              <w:bottom w:val="double" w:sz="2" w:space="0" w:color="FFFFCC"/>
              <w:right w:val="single" w:sz="5" w:space="0" w:color="000000"/>
            </w:tcBorders>
          </w:tcPr>
          <w:p w14:paraId="42E036DE"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Abstract </w:t>
            </w:r>
          </w:p>
        </w:tc>
        <w:tc>
          <w:tcPr>
            <w:tcW w:w="656" w:type="dxa"/>
            <w:tcBorders>
              <w:top w:val="single" w:sz="5" w:space="0" w:color="000000"/>
              <w:left w:val="single" w:sz="5" w:space="0" w:color="000000"/>
              <w:bottom w:val="double" w:sz="2" w:space="0" w:color="FFFFCC"/>
              <w:right w:val="single" w:sz="5" w:space="0" w:color="000000"/>
            </w:tcBorders>
          </w:tcPr>
          <w:p w14:paraId="2EA5B79E"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w:t>
            </w:r>
          </w:p>
        </w:tc>
        <w:tc>
          <w:tcPr>
            <w:tcW w:w="10205" w:type="dxa"/>
            <w:tcBorders>
              <w:top w:val="single" w:sz="5" w:space="0" w:color="000000"/>
              <w:left w:val="single" w:sz="5" w:space="0" w:color="000000"/>
              <w:bottom w:val="double" w:sz="5" w:space="0" w:color="000000"/>
              <w:right w:val="single" w:sz="5" w:space="0" w:color="000000"/>
            </w:tcBorders>
          </w:tcPr>
          <w:p w14:paraId="2682017D"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See the PRISMA 2020 for Abstracts checklist.</w:t>
            </w:r>
          </w:p>
          <w:p w14:paraId="647FF12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b/>
                <w:bCs/>
                <w:sz w:val="22"/>
                <w:szCs w:val="22"/>
                <w:lang w:val="en-NZ"/>
              </w:rPr>
              <w:t>Background:</w:t>
            </w:r>
            <w:r w:rsidRPr="00EC7A17">
              <w:rPr>
                <w:rFonts w:ascii="Times New Roman" w:hAnsi="Times New Roman" w:cs="Times New Roman"/>
                <w:sz w:val="22"/>
                <w:szCs w:val="22"/>
                <w:lang w:val="en-NZ"/>
              </w:rPr>
              <w:t xml:space="preserve"> Provide an explicit statement of the main objective the review addresses</w:t>
            </w:r>
          </w:p>
          <w:p w14:paraId="1B5234DD"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b/>
                <w:bCs/>
                <w:sz w:val="22"/>
                <w:szCs w:val="22"/>
                <w:lang w:val="en-NZ"/>
              </w:rPr>
              <w:t>Methods</w:t>
            </w:r>
            <w:r w:rsidRPr="00EC7A17">
              <w:rPr>
                <w:rFonts w:ascii="Times New Roman" w:hAnsi="Times New Roman" w:cs="Times New Roman"/>
                <w:sz w:val="22"/>
                <w:szCs w:val="22"/>
                <w:lang w:val="en-NZ"/>
              </w:rPr>
              <w:t>: Report eligibility criteria; information sources; methods of assessing risk of bias; methods of synthesising results</w:t>
            </w:r>
          </w:p>
          <w:p w14:paraId="3BC2CCC4"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b/>
                <w:bCs/>
                <w:sz w:val="22"/>
                <w:szCs w:val="22"/>
                <w:lang w:val="en-NZ"/>
              </w:rPr>
              <w:t>Results:</w:t>
            </w:r>
            <w:r w:rsidRPr="00EC7A17">
              <w:rPr>
                <w:rFonts w:ascii="Times New Roman" w:hAnsi="Times New Roman" w:cs="Times New Roman"/>
                <w:sz w:val="22"/>
                <w:szCs w:val="22"/>
                <w:lang w:val="en-NZ"/>
              </w:rPr>
              <w:t xml:space="preserve"> Provide the total number of included studies and participants and summarise relevant characteristics of studies; present results for main outcomes</w:t>
            </w:r>
          </w:p>
          <w:p w14:paraId="3B3643CF"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b/>
                <w:bCs/>
                <w:sz w:val="22"/>
                <w:szCs w:val="22"/>
                <w:lang w:val="en-NZ"/>
              </w:rPr>
              <w:t>Discussion</w:t>
            </w:r>
            <w:r w:rsidRPr="00EC7A17">
              <w:rPr>
                <w:rFonts w:ascii="Times New Roman" w:hAnsi="Times New Roman" w:cs="Times New Roman"/>
                <w:sz w:val="22"/>
                <w:szCs w:val="22"/>
                <w:lang w:val="en-NZ"/>
              </w:rPr>
              <w:t>: Provide a brief summary of the limitation of the evidence included in the review; provide a general interpretation of the results and important implications</w:t>
            </w:r>
          </w:p>
        </w:tc>
        <w:tc>
          <w:tcPr>
            <w:tcW w:w="2192" w:type="dxa"/>
            <w:tcBorders>
              <w:top w:val="single" w:sz="5" w:space="0" w:color="000000"/>
              <w:left w:val="single" w:sz="5" w:space="0" w:color="000000"/>
              <w:bottom w:val="double" w:sz="5" w:space="0" w:color="000000"/>
              <w:right w:val="single" w:sz="5" w:space="0" w:color="000000"/>
            </w:tcBorders>
          </w:tcPr>
          <w:p w14:paraId="2BD4366A"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Abstract pp1-2</w:t>
            </w:r>
          </w:p>
        </w:tc>
      </w:tr>
      <w:tr w:rsidR="00DA5F7E" w:rsidRPr="00EC7A17" w14:paraId="21B6A7B6" w14:textId="77777777" w:rsidTr="00DA5F7E">
        <w:trPr>
          <w:trHeight w:val="23"/>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2E6E2E" w14:textId="77777777" w:rsidR="00DA5F7E" w:rsidRPr="00EC7A17" w:rsidRDefault="00DA5F7E" w:rsidP="00DA5F7E">
            <w:pPr>
              <w:pStyle w:val="Default"/>
              <w:rPr>
                <w:rFonts w:ascii="Times New Roman" w:hAnsi="Times New Roman" w:cs="Times New Roman"/>
                <w:sz w:val="22"/>
                <w:szCs w:val="22"/>
                <w:lang w:val="en-NZ"/>
              </w:rPr>
            </w:pPr>
            <w:r w:rsidRPr="00EC7A17">
              <w:rPr>
                <w:rFonts w:ascii="Times New Roman" w:hAnsi="Times New Roman" w:cs="Times New Roman"/>
                <w:b/>
                <w:bCs/>
                <w:sz w:val="22"/>
                <w:szCs w:val="22"/>
                <w:lang w:val="en-NZ"/>
              </w:rPr>
              <w:t xml:space="preserve">INTRODUCTION </w:t>
            </w:r>
          </w:p>
        </w:tc>
        <w:tc>
          <w:tcPr>
            <w:tcW w:w="2192" w:type="dxa"/>
            <w:tcBorders>
              <w:top w:val="double" w:sz="5" w:space="0" w:color="000000"/>
              <w:left w:val="single" w:sz="5" w:space="0" w:color="000000"/>
              <w:bottom w:val="single" w:sz="5" w:space="0" w:color="000000"/>
              <w:right w:val="single" w:sz="5" w:space="0" w:color="000000"/>
            </w:tcBorders>
            <w:shd w:val="clear" w:color="auto" w:fill="FFFFCC"/>
          </w:tcPr>
          <w:p w14:paraId="0E45AAD0" w14:textId="77777777" w:rsidR="00DA5F7E" w:rsidRPr="00EC7A17" w:rsidRDefault="00DA5F7E" w:rsidP="00DA5F7E">
            <w:pPr>
              <w:pStyle w:val="Default"/>
              <w:jc w:val="right"/>
              <w:rPr>
                <w:rFonts w:ascii="Times New Roman" w:hAnsi="Times New Roman" w:cs="Times New Roman"/>
                <w:color w:val="auto"/>
                <w:sz w:val="22"/>
                <w:szCs w:val="22"/>
                <w:lang w:val="en-NZ"/>
              </w:rPr>
            </w:pPr>
          </w:p>
        </w:tc>
      </w:tr>
      <w:tr w:rsidR="00DA5F7E" w:rsidRPr="00EC7A17" w14:paraId="389879B8"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774CA2CB"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Rationale </w:t>
            </w:r>
          </w:p>
        </w:tc>
        <w:tc>
          <w:tcPr>
            <w:tcW w:w="656" w:type="dxa"/>
            <w:tcBorders>
              <w:top w:val="single" w:sz="5" w:space="0" w:color="000000"/>
              <w:left w:val="single" w:sz="5" w:space="0" w:color="000000"/>
              <w:bottom w:val="single" w:sz="5" w:space="0" w:color="000000"/>
              <w:right w:val="single" w:sz="5" w:space="0" w:color="000000"/>
            </w:tcBorders>
          </w:tcPr>
          <w:p w14:paraId="520E2FFE"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3</w:t>
            </w:r>
          </w:p>
        </w:tc>
        <w:tc>
          <w:tcPr>
            <w:tcW w:w="10205" w:type="dxa"/>
            <w:tcBorders>
              <w:top w:val="single" w:sz="5" w:space="0" w:color="000000"/>
              <w:left w:val="single" w:sz="5" w:space="0" w:color="000000"/>
              <w:bottom w:val="single" w:sz="5" w:space="0" w:color="000000"/>
              <w:right w:val="single" w:sz="5" w:space="0" w:color="000000"/>
            </w:tcBorders>
          </w:tcPr>
          <w:p w14:paraId="055412FF"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the rationale for the review in the context of existing knowledge.</w:t>
            </w:r>
          </w:p>
        </w:tc>
        <w:tc>
          <w:tcPr>
            <w:tcW w:w="2192" w:type="dxa"/>
            <w:tcBorders>
              <w:top w:val="single" w:sz="5" w:space="0" w:color="000000"/>
              <w:left w:val="single" w:sz="5" w:space="0" w:color="000000"/>
              <w:bottom w:val="single" w:sz="5" w:space="0" w:color="000000"/>
              <w:right w:val="single" w:sz="5" w:space="0" w:color="000000"/>
            </w:tcBorders>
          </w:tcPr>
          <w:p w14:paraId="05696D73"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Background pp3-4</w:t>
            </w:r>
          </w:p>
        </w:tc>
      </w:tr>
      <w:tr w:rsidR="00DA5F7E" w:rsidRPr="00EC7A17" w14:paraId="06512169" w14:textId="77777777" w:rsidTr="00DA5F7E">
        <w:trPr>
          <w:trHeight w:val="47"/>
        </w:trPr>
        <w:tc>
          <w:tcPr>
            <w:tcW w:w="1607" w:type="dxa"/>
            <w:tcBorders>
              <w:top w:val="single" w:sz="5" w:space="0" w:color="000000"/>
              <w:left w:val="single" w:sz="5" w:space="0" w:color="000000"/>
              <w:bottom w:val="double" w:sz="2" w:space="0" w:color="FFFFCC"/>
              <w:right w:val="single" w:sz="5" w:space="0" w:color="000000"/>
            </w:tcBorders>
          </w:tcPr>
          <w:p w14:paraId="4C82506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Objectives </w:t>
            </w:r>
          </w:p>
        </w:tc>
        <w:tc>
          <w:tcPr>
            <w:tcW w:w="656" w:type="dxa"/>
            <w:tcBorders>
              <w:top w:val="single" w:sz="5" w:space="0" w:color="000000"/>
              <w:left w:val="single" w:sz="5" w:space="0" w:color="000000"/>
              <w:bottom w:val="double" w:sz="2" w:space="0" w:color="FFFFCC"/>
              <w:right w:val="single" w:sz="5" w:space="0" w:color="000000"/>
            </w:tcBorders>
          </w:tcPr>
          <w:p w14:paraId="3E52461F"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4</w:t>
            </w:r>
          </w:p>
        </w:tc>
        <w:tc>
          <w:tcPr>
            <w:tcW w:w="10205" w:type="dxa"/>
            <w:tcBorders>
              <w:top w:val="single" w:sz="5" w:space="0" w:color="000000"/>
              <w:left w:val="single" w:sz="5" w:space="0" w:color="000000"/>
              <w:bottom w:val="double" w:sz="5" w:space="0" w:color="000000"/>
              <w:right w:val="single" w:sz="5" w:space="0" w:color="000000"/>
            </w:tcBorders>
          </w:tcPr>
          <w:p w14:paraId="7558E588"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Provide an explicit statement of the objective(s) or question(s) the review addresses.</w:t>
            </w:r>
          </w:p>
        </w:tc>
        <w:tc>
          <w:tcPr>
            <w:tcW w:w="2192" w:type="dxa"/>
            <w:tcBorders>
              <w:top w:val="single" w:sz="5" w:space="0" w:color="000000"/>
              <w:left w:val="single" w:sz="5" w:space="0" w:color="000000"/>
              <w:bottom w:val="double" w:sz="5" w:space="0" w:color="000000"/>
              <w:right w:val="single" w:sz="5" w:space="0" w:color="000000"/>
            </w:tcBorders>
          </w:tcPr>
          <w:p w14:paraId="6E6A7D2D"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pp4-5</w:t>
            </w:r>
          </w:p>
        </w:tc>
      </w:tr>
      <w:tr w:rsidR="00DA5F7E" w:rsidRPr="00EC7A17" w14:paraId="71B4E29D" w14:textId="77777777" w:rsidTr="00DA5F7E">
        <w:trPr>
          <w:trHeight w:val="23"/>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17B6892" w14:textId="77777777" w:rsidR="00DA5F7E" w:rsidRPr="00EC7A17" w:rsidRDefault="00DA5F7E" w:rsidP="00DA5F7E">
            <w:pPr>
              <w:pStyle w:val="Default"/>
              <w:rPr>
                <w:rFonts w:ascii="Times New Roman" w:hAnsi="Times New Roman" w:cs="Times New Roman"/>
                <w:sz w:val="22"/>
                <w:szCs w:val="22"/>
                <w:lang w:val="en-NZ"/>
              </w:rPr>
            </w:pPr>
            <w:r w:rsidRPr="00EC7A17">
              <w:rPr>
                <w:rFonts w:ascii="Times New Roman" w:hAnsi="Times New Roman" w:cs="Times New Roman"/>
                <w:b/>
                <w:bCs/>
                <w:sz w:val="22"/>
                <w:szCs w:val="22"/>
                <w:lang w:val="en-NZ"/>
              </w:rPr>
              <w:t xml:space="preserve">METHODS </w:t>
            </w:r>
          </w:p>
        </w:tc>
        <w:tc>
          <w:tcPr>
            <w:tcW w:w="2192" w:type="dxa"/>
            <w:tcBorders>
              <w:top w:val="double" w:sz="5" w:space="0" w:color="000000"/>
              <w:left w:val="single" w:sz="5" w:space="0" w:color="000000"/>
              <w:bottom w:val="single" w:sz="5" w:space="0" w:color="000000"/>
              <w:right w:val="single" w:sz="5" w:space="0" w:color="000000"/>
            </w:tcBorders>
            <w:shd w:val="clear" w:color="auto" w:fill="FFFFCC"/>
          </w:tcPr>
          <w:p w14:paraId="2667A86B" w14:textId="77777777" w:rsidR="00DA5F7E" w:rsidRPr="00EC7A17" w:rsidRDefault="00DA5F7E" w:rsidP="00DA5F7E">
            <w:pPr>
              <w:pStyle w:val="Default"/>
              <w:jc w:val="right"/>
              <w:rPr>
                <w:rFonts w:ascii="Times New Roman" w:hAnsi="Times New Roman" w:cs="Times New Roman"/>
                <w:color w:val="auto"/>
                <w:sz w:val="22"/>
                <w:szCs w:val="22"/>
                <w:lang w:val="en-NZ"/>
              </w:rPr>
            </w:pPr>
          </w:p>
        </w:tc>
      </w:tr>
      <w:tr w:rsidR="00DA5F7E" w:rsidRPr="00EC7A17" w14:paraId="375F4E15"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4366A7C2"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Eligibility criteria </w:t>
            </w:r>
          </w:p>
        </w:tc>
        <w:tc>
          <w:tcPr>
            <w:tcW w:w="656" w:type="dxa"/>
            <w:tcBorders>
              <w:top w:val="single" w:sz="5" w:space="0" w:color="000000"/>
              <w:left w:val="single" w:sz="5" w:space="0" w:color="000000"/>
              <w:bottom w:val="single" w:sz="5" w:space="0" w:color="000000"/>
              <w:right w:val="single" w:sz="5" w:space="0" w:color="000000"/>
            </w:tcBorders>
          </w:tcPr>
          <w:p w14:paraId="543E87BB"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5</w:t>
            </w:r>
          </w:p>
        </w:tc>
        <w:tc>
          <w:tcPr>
            <w:tcW w:w="10205" w:type="dxa"/>
            <w:tcBorders>
              <w:top w:val="single" w:sz="5" w:space="0" w:color="000000"/>
              <w:left w:val="single" w:sz="5" w:space="0" w:color="000000"/>
              <w:bottom w:val="single" w:sz="5" w:space="0" w:color="000000"/>
              <w:right w:val="single" w:sz="5" w:space="0" w:color="000000"/>
            </w:tcBorders>
          </w:tcPr>
          <w:p w14:paraId="7DE9EAFE"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Specify the inclusion and exclusion criteria for the review and how studies were grouped for the syntheses.</w:t>
            </w:r>
          </w:p>
        </w:tc>
        <w:tc>
          <w:tcPr>
            <w:tcW w:w="2192" w:type="dxa"/>
            <w:tcBorders>
              <w:top w:val="single" w:sz="5" w:space="0" w:color="000000"/>
              <w:left w:val="single" w:sz="5" w:space="0" w:color="000000"/>
              <w:bottom w:val="single" w:sz="5" w:space="0" w:color="000000"/>
              <w:right w:val="single" w:sz="5" w:space="0" w:color="000000"/>
            </w:tcBorders>
          </w:tcPr>
          <w:p w14:paraId="11E91F37"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 xml:space="preserve">Methods: eligibility criteria </w:t>
            </w:r>
          </w:p>
        </w:tc>
      </w:tr>
      <w:tr w:rsidR="00DA5F7E" w:rsidRPr="00EC7A17" w14:paraId="2028D367" w14:textId="77777777" w:rsidTr="00DA5F7E">
        <w:trPr>
          <w:trHeight w:val="190"/>
        </w:trPr>
        <w:tc>
          <w:tcPr>
            <w:tcW w:w="1607" w:type="dxa"/>
            <w:tcBorders>
              <w:top w:val="single" w:sz="5" w:space="0" w:color="000000"/>
              <w:left w:val="single" w:sz="5" w:space="0" w:color="000000"/>
              <w:bottom w:val="single" w:sz="5" w:space="0" w:color="000000"/>
              <w:right w:val="single" w:sz="5" w:space="0" w:color="000000"/>
            </w:tcBorders>
          </w:tcPr>
          <w:p w14:paraId="5E4351F2"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Information sources </w:t>
            </w:r>
          </w:p>
        </w:tc>
        <w:tc>
          <w:tcPr>
            <w:tcW w:w="656" w:type="dxa"/>
            <w:tcBorders>
              <w:top w:val="single" w:sz="5" w:space="0" w:color="000000"/>
              <w:left w:val="single" w:sz="5" w:space="0" w:color="000000"/>
              <w:bottom w:val="single" w:sz="5" w:space="0" w:color="000000"/>
              <w:right w:val="single" w:sz="5" w:space="0" w:color="000000"/>
            </w:tcBorders>
          </w:tcPr>
          <w:p w14:paraId="57AB9458"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6</w:t>
            </w:r>
          </w:p>
        </w:tc>
        <w:tc>
          <w:tcPr>
            <w:tcW w:w="10205" w:type="dxa"/>
            <w:tcBorders>
              <w:top w:val="single" w:sz="5" w:space="0" w:color="000000"/>
              <w:left w:val="single" w:sz="5" w:space="0" w:color="000000"/>
              <w:bottom w:val="single" w:sz="5" w:space="0" w:color="000000"/>
              <w:right w:val="single" w:sz="5" w:space="0" w:color="000000"/>
            </w:tcBorders>
          </w:tcPr>
          <w:p w14:paraId="6C66CF3B"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Specify all databases, registers, websites, organisations, reference lists and other sources searched or consulted to identify studies. Specify the date when each source was last searched or consulted.</w:t>
            </w:r>
          </w:p>
        </w:tc>
        <w:tc>
          <w:tcPr>
            <w:tcW w:w="2192" w:type="dxa"/>
            <w:tcBorders>
              <w:top w:val="single" w:sz="5" w:space="0" w:color="000000"/>
              <w:left w:val="single" w:sz="5" w:space="0" w:color="000000"/>
              <w:bottom w:val="single" w:sz="5" w:space="0" w:color="000000"/>
              <w:right w:val="single" w:sz="5" w:space="0" w:color="000000"/>
            </w:tcBorders>
          </w:tcPr>
          <w:p w14:paraId="3F28ED6A"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 xml:space="preserve">Methods: search strategy and data sources </w:t>
            </w:r>
          </w:p>
        </w:tc>
      </w:tr>
      <w:tr w:rsidR="00DA5F7E" w:rsidRPr="00EC7A17" w14:paraId="60F7C892"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5942CC5D"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Search strategy</w:t>
            </w:r>
          </w:p>
        </w:tc>
        <w:tc>
          <w:tcPr>
            <w:tcW w:w="656" w:type="dxa"/>
            <w:tcBorders>
              <w:top w:val="single" w:sz="5" w:space="0" w:color="000000"/>
              <w:left w:val="single" w:sz="5" w:space="0" w:color="000000"/>
              <w:bottom w:val="single" w:sz="5" w:space="0" w:color="000000"/>
              <w:right w:val="single" w:sz="5" w:space="0" w:color="000000"/>
            </w:tcBorders>
          </w:tcPr>
          <w:p w14:paraId="72A70398"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7</w:t>
            </w:r>
          </w:p>
        </w:tc>
        <w:tc>
          <w:tcPr>
            <w:tcW w:w="10205" w:type="dxa"/>
            <w:tcBorders>
              <w:top w:val="single" w:sz="5" w:space="0" w:color="000000"/>
              <w:left w:val="single" w:sz="5" w:space="0" w:color="000000"/>
              <w:bottom w:val="single" w:sz="5" w:space="0" w:color="000000"/>
              <w:right w:val="single" w:sz="5" w:space="0" w:color="000000"/>
            </w:tcBorders>
          </w:tcPr>
          <w:p w14:paraId="0C41C912"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Present the full search strategies for all databases, registers and websites, including any filters and limits used.</w:t>
            </w:r>
          </w:p>
        </w:tc>
        <w:tc>
          <w:tcPr>
            <w:tcW w:w="2192" w:type="dxa"/>
            <w:tcBorders>
              <w:top w:val="single" w:sz="5" w:space="0" w:color="000000"/>
              <w:left w:val="single" w:sz="5" w:space="0" w:color="000000"/>
              <w:bottom w:val="single" w:sz="5" w:space="0" w:color="000000"/>
              <w:right w:val="single" w:sz="5" w:space="0" w:color="000000"/>
            </w:tcBorders>
          </w:tcPr>
          <w:p w14:paraId="52CB6BEA"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Table S2</w:t>
            </w:r>
          </w:p>
        </w:tc>
      </w:tr>
      <w:tr w:rsidR="00DA5F7E" w:rsidRPr="00EC7A17" w14:paraId="16B39D5D"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1CD67DB4"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Selection process</w:t>
            </w:r>
          </w:p>
        </w:tc>
        <w:tc>
          <w:tcPr>
            <w:tcW w:w="656" w:type="dxa"/>
            <w:tcBorders>
              <w:top w:val="single" w:sz="5" w:space="0" w:color="000000"/>
              <w:left w:val="single" w:sz="5" w:space="0" w:color="000000"/>
              <w:bottom w:val="single" w:sz="5" w:space="0" w:color="000000"/>
              <w:right w:val="single" w:sz="5" w:space="0" w:color="000000"/>
            </w:tcBorders>
          </w:tcPr>
          <w:p w14:paraId="6BA1351C"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8</w:t>
            </w:r>
          </w:p>
        </w:tc>
        <w:tc>
          <w:tcPr>
            <w:tcW w:w="10205" w:type="dxa"/>
            <w:tcBorders>
              <w:top w:val="single" w:sz="5" w:space="0" w:color="000000"/>
              <w:left w:val="single" w:sz="5" w:space="0" w:color="000000"/>
              <w:bottom w:val="single" w:sz="5" w:space="0" w:color="000000"/>
              <w:right w:val="single" w:sz="5" w:space="0" w:color="000000"/>
            </w:tcBorders>
          </w:tcPr>
          <w:p w14:paraId="227F6165"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Specify the methods used to decide whether a study met the inclusion criteria of the review, including how many reviewers screened each record and each report retrieved, whether they worked independently, and if applicable, </w:t>
            </w:r>
            <w:r w:rsidRPr="00EC7A17">
              <w:rPr>
                <w:rFonts w:ascii="Times New Roman" w:hAnsi="Times New Roman" w:cs="Times New Roman"/>
                <w:sz w:val="22"/>
                <w:szCs w:val="22"/>
                <w:lang w:val="en-NZ"/>
              </w:rPr>
              <w:lastRenderedPageBreak/>
              <w:t>details of automation tools used in the process.</w:t>
            </w:r>
          </w:p>
        </w:tc>
        <w:tc>
          <w:tcPr>
            <w:tcW w:w="2192" w:type="dxa"/>
            <w:tcBorders>
              <w:top w:val="single" w:sz="5" w:space="0" w:color="000000"/>
              <w:left w:val="single" w:sz="5" w:space="0" w:color="000000"/>
              <w:bottom w:val="single" w:sz="5" w:space="0" w:color="000000"/>
              <w:right w:val="single" w:sz="5" w:space="0" w:color="000000"/>
            </w:tcBorders>
          </w:tcPr>
          <w:p w14:paraId="0BC81AAA"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lastRenderedPageBreak/>
              <w:t xml:space="preserve">Methods: study selection and data </w:t>
            </w:r>
            <w:r w:rsidRPr="00EC7A17">
              <w:rPr>
                <w:rFonts w:ascii="Times New Roman" w:hAnsi="Times New Roman" w:cs="Times New Roman"/>
                <w:color w:val="auto"/>
                <w:sz w:val="22"/>
                <w:szCs w:val="22"/>
                <w:lang w:val="en-NZ"/>
              </w:rPr>
              <w:lastRenderedPageBreak/>
              <w:t>extraction</w:t>
            </w:r>
          </w:p>
        </w:tc>
      </w:tr>
      <w:tr w:rsidR="00DA5F7E" w:rsidRPr="00EC7A17" w14:paraId="2F64C6C3" w14:textId="77777777" w:rsidTr="00DA5F7E">
        <w:trPr>
          <w:trHeight w:val="151"/>
        </w:trPr>
        <w:tc>
          <w:tcPr>
            <w:tcW w:w="1607" w:type="dxa"/>
            <w:tcBorders>
              <w:top w:val="single" w:sz="5" w:space="0" w:color="000000"/>
              <w:left w:val="single" w:sz="5" w:space="0" w:color="000000"/>
              <w:bottom w:val="single" w:sz="5" w:space="0" w:color="000000"/>
              <w:right w:val="single" w:sz="5" w:space="0" w:color="000000"/>
            </w:tcBorders>
          </w:tcPr>
          <w:p w14:paraId="03A8B5B5"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lastRenderedPageBreak/>
              <w:t xml:space="preserve">Data collection process </w:t>
            </w:r>
          </w:p>
        </w:tc>
        <w:tc>
          <w:tcPr>
            <w:tcW w:w="656" w:type="dxa"/>
            <w:tcBorders>
              <w:top w:val="single" w:sz="5" w:space="0" w:color="000000"/>
              <w:left w:val="single" w:sz="5" w:space="0" w:color="000000"/>
              <w:bottom w:val="single" w:sz="5" w:space="0" w:color="000000"/>
              <w:right w:val="single" w:sz="5" w:space="0" w:color="000000"/>
            </w:tcBorders>
          </w:tcPr>
          <w:p w14:paraId="7A4F87B7"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9</w:t>
            </w:r>
          </w:p>
        </w:tc>
        <w:tc>
          <w:tcPr>
            <w:tcW w:w="10205" w:type="dxa"/>
            <w:tcBorders>
              <w:top w:val="single" w:sz="5" w:space="0" w:color="000000"/>
              <w:left w:val="single" w:sz="5" w:space="0" w:color="000000"/>
              <w:bottom w:val="single" w:sz="5" w:space="0" w:color="000000"/>
              <w:right w:val="single" w:sz="5" w:space="0" w:color="000000"/>
            </w:tcBorders>
          </w:tcPr>
          <w:p w14:paraId="581662B4"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192" w:type="dxa"/>
            <w:tcBorders>
              <w:top w:val="single" w:sz="5" w:space="0" w:color="000000"/>
              <w:left w:val="single" w:sz="5" w:space="0" w:color="000000"/>
              <w:bottom w:val="single" w:sz="5" w:space="0" w:color="000000"/>
              <w:right w:val="single" w:sz="5" w:space="0" w:color="000000"/>
            </w:tcBorders>
          </w:tcPr>
          <w:p w14:paraId="6DD56A88"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study selection and data extraction</w:t>
            </w:r>
          </w:p>
        </w:tc>
      </w:tr>
      <w:tr w:rsidR="00DA5F7E" w:rsidRPr="00EC7A17" w14:paraId="50684C2F" w14:textId="77777777" w:rsidTr="00DA5F7E">
        <w:trPr>
          <w:trHeight w:val="47"/>
        </w:trPr>
        <w:tc>
          <w:tcPr>
            <w:tcW w:w="1607" w:type="dxa"/>
            <w:vMerge w:val="restart"/>
            <w:tcBorders>
              <w:top w:val="single" w:sz="5" w:space="0" w:color="000000"/>
              <w:left w:val="single" w:sz="5" w:space="0" w:color="000000"/>
              <w:right w:val="single" w:sz="5" w:space="0" w:color="000000"/>
            </w:tcBorders>
          </w:tcPr>
          <w:p w14:paraId="4829FB49"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Data items </w:t>
            </w:r>
          </w:p>
        </w:tc>
        <w:tc>
          <w:tcPr>
            <w:tcW w:w="656" w:type="dxa"/>
            <w:tcBorders>
              <w:top w:val="single" w:sz="5" w:space="0" w:color="000000"/>
              <w:left w:val="single" w:sz="5" w:space="0" w:color="000000"/>
              <w:bottom w:val="single" w:sz="5" w:space="0" w:color="000000"/>
              <w:right w:val="single" w:sz="5" w:space="0" w:color="000000"/>
            </w:tcBorders>
          </w:tcPr>
          <w:p w14:paraId="0D99EE33"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10a</w:t>
            </w:r>
          </w:p>
        </w:tc>
        <w:tc>
          <w:tcPr>
            <w:tcW w:w="10205" w:type="dxa"/>
            <w:tcBorders>
              <w:top w:val="single" w:sz="5" w:space="0" w:color="000000"/>
              <w:left w:val="single" w:sz="5" w:space="0" w:color="000000"/>
              <w:bottom w:val="single" w:sz="5" w:space="0" w:color="000000"/>
              <w:right w:val="single" w:sz="5" w:space="0" w:color="000000"/>
            </w:tcBorders>
          </w:tcPr>
          <w:p w14:paraId="6553C35C"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192" w:type="dxa"/>
            <w:tcBorders>
              <w:top w:val="single" w:sz="5" w:space="0" w:color="000000"/>
              <w:left w:val="single" w:sz="5" w:space="0" w:color="000000"/>
              <w:bottom w:val="single" w:sz="5" w:space="0" w:color="000000"/>
              <w:right w:val="single" w:sz="5" w:space="0" w:color="000000"/>
            </w:tcBorders>
          </w:tcPr>
          <w:p w14:paraId="597AA066"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data extraction and appraisal of CPGs</w:t>
            </w:r>
          </w:p>
        </w:tc>
      </w:tr>
      <w:tr w:rsidR="00DA5F7E" w:rsidRPr="00EC7A17" w14:paraId="0D307769" w14:textId="77777777" w:rsidTr="00DA5F7E">
        <w:trPr>
          <w:trHeight w:val="47"/>
        </w:trPr>
        <w:tc>
          <w:tcPr>
            <w:tcW w:w="1607" w:type="dxa"/>
            <w:vMerge/>
            <w:tcBorders>
              <w:left w:val="single" w:sz="5" w:space="0" w:color="000000"/>
              <w:bottom w:val="single" w:sz="5" w:space="0" w:color="000000"/>
              <w:right w:val="single" w:sz="5" w:space="0" w:color="000000"/>
            </w:tcBorders>
          </w:tcPr>
          <w:p w14:paraId="4C3F8CD4"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3D0A6E1E"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10b</w:t>
            </w:r>
          </w:p>
        </w:tc>
        <w:tc>
          <w:tcPr>
            <w:tcW w:w="10205" w:type="dxa"/>
            <w:tcBorders>
              <w:top w:val="single" w:sz="5" w:space="0" w:color="000000"/>
              <w:left w:val="single" w:sz="5" w:space="0" w:color="000000"/>
              <w:bottom w:val="single" w:sz="5" w:space="0" w:color="000000"/>
              <w:right w:val="single" w:sz="5" w:space="0" w:color="000000"/>
            </w:tcBorders>
          </w:tcPr>
          <w:p w14:paraId="542F4B37"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List and define all other variables for which data were sought (e.g. participant and intervention characteristics, funding sources). Describe any assumptions made about any missing or unclear information.</w:t>
            </w:r>
          </w:p>
        </w:tc>
        <w:tc>
          <w:tcPr>
            <w:tcW w:w="2192" w:type="dxa"/>
            <w:tcBorders>
              <w:top w:val="single" w:sz="5" w:space="0" w:color="000000"/>
              <w:left w:val="single" w:sz="5" w:space="0" w:color="000000"/>
              <w:bottom w:val="single" w:sz="5" w:space="0" w:color="000000"/>
              <w:right w:val="single" w:sz="5" w:space="0" w:color="000000"/>
            </w:tcBorders>
          </w:tcPr>
          <w:p w14:paraId="35656069"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data extraction and appraisal of CPGs</w:t>
            </w:r>
          </w:p>
        </w:tc>
      </w:tr>
      <w:tr w:rsidR="00DA5F7E" w:rsidRPr="00EC7A17" w14:paraId="36BD3686"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1761B3C4"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Study risk of bias assessment</w:t>
            </w:r>
          </w:p>
        </w:tc>
        <w:tc>
          <w:tcPr>
            <w:tcW w:w="656" w:type="dxa"/>
            <w:tcBorders>
              <w:top w:val="single" w:sz="5" w:space="0" w:color="000000"/>
              <w:left w:val="single" w:sz="5" w:space="0" w:color="000000"/>
              <w:bottom w:val="single" w:sz="5" w:space="0" w:color="000000"/>
              <w:right w:val="single" w:sz="5" w:space="0" w:color="000000"/>
            </w:tcBorders>
          </w:tcPr>
          <w:p w14:paraId="1A3A17A9"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11</w:t>
            </w:r>
          </w:p>
        </w:tc>
        <w:tc>
          <w:tcPr>
            <w:tcW w:w="10205" w:type="dxa"/>
            <w:tcBorders>
              <w:top w:val="single" w:sz="5" w:space="0" w:color="000000"/>
              <w:left w:val="single" w:sz="5" w:space="0" w:color="000000"/>
              <w:bottom w:val="single" w:sz="5" w:space="0" w:color="000000"/>
              <w:right w:val="single" w:sz="5" w:space="0" w:color="000000"/>
            </w:tcBorders>
          </w:tcPr>
          <w:p w14:paraId="41AA5D6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192" w:type="dxa"/>
            <w:tcBorders>
              <w:top w:val="single" w:sz="5" w:space="0" w:color="000000"/>
              <w:left w:val="single" w:sz="5" w:space="0" w:color="000000"/>
              <w:bottom w:val="single" w:sz="5" w:space="0" w:color="000000"/>
              <w:right w:val="single" w:sz="5" w:space="0" w:color="000000"/>
            </w:tcBorders>
          </w:tcPr>
          <w:p w14:paraId="3FCD0172"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data extraction and appraisal of CPGs</w:t>
            </w:r>
          </w:p>
        </w:tc>
      </w:tr>
      <w:tr w:rsidR="00DA5F7E" w:rsidRPr="00EC7A17" w14:paraId="5FF17E63"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13E190CB"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Effect measures </w:t>
            </w:r>
          </w:p>
        </w:tc>
        <w:tc>
          <w:tcPr>
            <w:tcW w:w="656" w:type="dxa"/>
            <w:tcBorders>
              <w:top w:val="single" w:sz="5" w:space="0" w:color="000000"/>
              <w:left w:val="single" w:sz="5" w:space="0" w:color="000000"/>
              <w:bottom w:val="single" w:sz="5" w:space="0" w:color="000000"/>
              <w:right w:val="single" w:sz="5" w:space="0" w:color="000000"/>
            </w:tcBorders>
          </w:tcPr>
          <w:p w14:paraId="4F7C749E"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12</w:t>
            </w:r>
          </w:p>
        </w:tc>
        <w:tc>
          <w:tcPr>
            <w:tcW w:w="10205" w:type="dxa"/>
            <w:tcBorders>
              <w:top w:val="single" w:sz="5" w:space="0" w:color="000000"/>
              <w:left w:val="single" w:sz="5" w:space="0" w:color="000000"/>
              <w:bottom w:val="single" w:sz="5" w:space="0" w:color="000000"/>
              <w:right w:val="single" w:sz="5" w:space="0" w:color="000000"/>
            </w:tcBorders>
          </w:tcPr>
          <w:p w14:paraId="7492A611"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Specify for each outcome the effect measure(s) (e.g. risk ratio, mean difference) used in the synthesis or presentation of results.</w:t>
            </w:r>
          </w:p>
        </w:tc>
        <w:tc>
          <w:tcPr>
            <w:tcW w:w="2192" w:type="dxa"/>
            <w:tcBorders>
              <w:top w:val="single" w:sz="5" w:space="0" w:color="000000"/>
              <w:left w:val="single" w:sz="5" w:space="0" w:color="000000"/>
              <w:bottom w:val="single" w:sz="5" w:space="0" w:color="000000"/>
              <w:right w:val="single" w:sz="5" w:space="0" w:color="000000"/>
            </w:tcBorders>
          </w:tcPr>
          <w:p w14:paraId="38F9BDC2"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data extraction and appraisal of CPGs</w:t>
            </w:r>
          </w:p>
        </w:tc>
      </w:tr>
      <w:tr w:rsidR="00DA5F7E" w:rsidRPr="00EC7A17" w14:paraId="1D7CB3A0" w14:textId="77777777" w:rsidTr="00DA5F7E">
        <w:trPr>
          <w:trHeight w:val="47"/>
        </w:trPr>
        <w:tc>
          <w:tcPr>
            <w:tcW w:w="1607" w:type="dxa"/>
            <w:vMerge w:val="restart"/>
            <w:tcBorders>
              <w:top w:val="single" w:sz="5" w:space="0" w:color="000000"/>
              <w:left w:val="single" w:sz="5" w:space="0" w:color="000000"/>
              <w:right w:val="single" w:sz="5" w:space="0" w:color="000000"/>
            </w:tcBorders>
          </w:tcPr>
          <w:p w14:paraId="4E8A7DAC"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Synthesis methods</w:t>
            </w:r>
          </w:p>
        </w:tc>
        <w:tc>
          <w:tcPr>
            <w:tcW w:w="656" w:type="dxa"/>
            <w:tcBorders>
              <w:top w:val="single" w:sz="5" w:space="0" w:color="000000"/>
              <w:left w:val="single" w:sz="5" w:space="0" w:color="000000"/>
              <w:bottom w:val="single" w:sz="5" w:space="0" w:color="000000"/>
              <w:right w:val="single" w:sz="5" w:space="0" w:color="000000"/>
            </w:tcBorders>
          </w:tcPr>
          <w:p w14:paraId="320403EE"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13a</w:t>
            </w:r>
          </w:p>
        </w:tc>
        <w:tc>
          <w:tcPr>
            <w:tcW w:w="10205" w:type="dxa"/>
            <w:tcBorders>
              <w:top w:val="single" w:sz="5" w:space="0" w:color="000000"/>
              <w:left w:val="single" w:sz="5" w:space="0" w:color="000000"/>
              <w:bottom w:val="single" w:sz="5" w:space="0" w:color="000000"/>
              <w:right w:val="single" w:sz="5" w:space="0" w:color="000000"/>
            </w:tcBorders>
          </w:tcPr>
          <w:p w14:paraId="5F179022"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the processes used to decide which studies were eligible for each synthesis (e.g. tabulating the study intervention characteristics and comparing against the planned groups for each synthesis (item #5)).</w:t>
            </w:r>
          </w:p>
        </w:tc>
        <w:tc>
          <w:tcPr>
            <w:tcW w:w="2192" w:type="dxa"/>
            <w:tcBorders>
              <w:top w:val="single" w:sz="5" w:space="0" w:color="000000"/>
              <w:left w:val="single" w:sz="5" w:space="0" w:color="000000"/>
              <w:bottom w:val="single" w:sz="5" w:space="0" w:color="000000"/>
              <w:right w:val="single" w:sz="5" w:space="0" w:color="000000"/>
            </w:tcBorders>
          </w:tcPr>
          <w:p w14:paraId="26015DEA"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data extraction and appraisal of CPGs</w:t>
            </w:r>
          </w:p>
        </w:tc>
      </w:tr>
      <w:tr w:rsidR="00DA5F7E" w:rsidRPr="00EC7A17" w14:paraId="3B2D082E" w14:textId="77777777" w:rsidTr="00DA5F7E">
        <w:trPr>
          <w:trHeight w:val="47"/>
        </w:trPr>
        <w:tc>
          <w:tcPr>
            <w:tcW w:w="1607" w:type="dxa"/>
            <w:vMerge/>
            <w:tcBorders>
              <w:left w:val="single" w:sz="5" w:space="0" w:color="000000"/>
              <w:right w:val="single" w:sz="5" w:space="0" w:color="000000"/>
            </w:tcBorders>
          </w:tcPr>
          <w:p w14:paraId="5403BDE4"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2E98B995"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13b</w:t>
            </w:r>
          </w:p>
        </w:tc>
        <w:tc>
          <w:tcPr>
            <w:tcW w:w="10205" w:type="dxa"/>
            <w:tcBorders>
              <w:top w:val="single" w:sz="5" w:space="0" w:color="000000"/>
              <w:left w:val="single" w:sz="5" w:space="0" w:color="000000"/>
              <w:bottom w:val="single" w:sz="5" w:space="0" w:color="000000"/>
              <w:right w:val="single" w:sz="5" w:space="0" w:color="000000"/>
            </w:tcBorders>
          </w:tcPr>
          <w:p w14:paraId="3414563B"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any methods required to prepare the data for presentation or synthesis, such as handling of missing summary statistics, or data conversions.</w:t>
            </w:r>
          </w:p>
        </w:tc>
        <w:tc>
          <w:tcPr>
            <w:tcW w:w="2192" w:type="dxa"/>
            <w:tcBorders>
              <w:top w:val="single" w:sz="5" w:space="0" w:color="000000"/>
              <w:left w:val="single" w:sz="5" w:space="0" w:color="000000"/>
              <w:bottom w:val="single" w:sz="5" w:space="0" w:color="000000"/>
              <w:right w:val="single" w:sz="5" w:space="0" w:color="000000"/>
            </w:tcBorders>
          </w:tcPr>
          <w:p w14:paraId="0B3CEBC1"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data extraction and appraisal of CPGs. Table S3 and S4</w:t>
            </w:r>
          </w:p>
        </w:tc>
      </w:tr>
      <w:tr w:rsidR="00DA5F7E" w:rsidRPr="00EC7A17" w14:paraId="45BDFED2" w14:textId="77777777" w:rsidTr="00DA5F7E">
        <w:trPr>
          <w:trHeight w:val="47"/>
        </w:trPr>
        <w:tc>
          <w:tcPr>
            <w:tcW w:w="1607" w:type="dxa"/>
            <w:vMerge/>
            <w:tcBorders>
              <w:left w:val="single" w:sz="5" w:space="0" w:color="000000"/>
              <w:right w:val="single" w:sz="5" w:space="0" w:color="000000"/>
            </w:tcBorders>
          </w:tcPr>
          <w:p w14:paraId="499FA7F9"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0CFBDE71"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13c</w:t>
            </w:r>
          </w:p>
        </w:tc>
        <w:tc>
          <w:tcPr>
            <w:tcW w:w="10205" w:type="dxa"/>
            <w:tcBorders>
              <w:top w:val="single" w:sz="5" w:space="0" w:color="000000"/>
              <w:left w:val="single" w:sz="5" w:space="0" w:color="000000"/>
              <w:bottom w:val="single" w:sz="5" w:space="0" w:color="000000"/>
              <w:right w:val="single" w:sz="5" w:space="0" w:color="000000"/>
            </w:tcBorders>
          </w:tcPr>
          <w:p w14:paraId="35914681"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any methods used to tabulate or visually display results of individual studies and syntheses.</w:t>
            </w:r>
          </w:p>
        </w:tc>
        <w:tc>
          <w:tcPr>
            <w:tcW w:w="2192" w:type="dxa"/>
            <w:tcBorders>
              <w:top w:val="single" w:sz="5" w:space="0" w:color="000000"/>
              <w:left w:val="single" w:sz="5" w:space="0" w:color="000000"/>
              <w:bottom w:val="single" w:sz="5" w:space="0" w:color="000000"/>
              <w:right w:val="single" w:sz="5" w:space="0" w:color="000000"/>
            </w:tcBorders>
          </w:tcPr>
          <w:p w14:paraId="214A9835"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data extraction and appraisal of CPGs. Table S3 and S4</w:t>
            </w:r>
          </w:p>
        </w:tc>
      </w:tr>
      <w:tr w:rsidR="00DA5F7E" w:rsidRPr="00EC7A17" w14:paraId="0C158C8F" w14:textId="77777777" w:rsidTr="00DA5F7E">
        <w:trPr>
          <w:trHeight w:val="47"/>
        </w:trPr>
        <w:tc>
          <w:tcPr>
            <w:tcW w:w="1607" w:type="dxa"/>
            <w:vMerge/>
            <w:tcBorders>
              <w:left w:val="single" w:sz="5" w:space="0" w:color="000000"/>
              <w:right w:val="single" w:sz="5" w:space="0" w:color="000000"/>
            </w:tcBorders>
          </w:tcPr>
          <w:p w14:paraId="24E5A8C4"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19881EF4"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13d</w:t>
            </w:r>
          </w:p>
        </w:tc>
        <w:tc>
          <w:tcPr>
            <w:tcW w:w="10205" w:type="dxa"/>
            <w:tcBorders>
              <w:top w:val="single" w:sz="5" w:space="0" w:color="000000"/>
              <w:left w:val="single" w:sz="5" w:space="0" w:color="000000"/>
              <w:bottom w:val="single" w:sz="5" w:space="0" w:color="000000"/>
              <w:right w:val="single" w:sz="5" w:space="0" w:color="000000"/>
            </w:tcBorders>
          </w:tcPr>
          <w:p w14:paraId="16182F84"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any methods used to synthesize results and provide a rationale for the choice(s). If meta-analysis was performed, describe the model(s), method(s) to identify the presence and extent of statistical heterogeneity, and software package(s) used.</w:t>
            </w:r>
          </w:p>
        </w:tc>
        <w:tc>
          <w:tcPr>
            <w:tcW w:w="2192" w:type="dxa"/>
            <w:tcBorders>
              <w:top w:val="single" w:sz="5" w:space="0" w:color="000000"/>
              <w:left w:val="single" w:sz="5" w:space="0" w:color="000000"/>
              <w:bottom w:val="single" w:sz="5" w:space="0" w:color="000000"/>
              <w:right w:val="single" w:sz="5" w:space="0" w:color="000000"/>
            </w:tcBorders>
          </w:tcPr>
          <w:p w14:paraId="38E38942"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 xml:space="preserve">Methods: data extraction and appraisal of CPGs. </w:t>
            </w:r>
            <w:r w:rsidRPr="00EC7A17">
              <w:rPr>
                <w:rFonts w:ascii="Times New Roman" w:hAnsi="Times New Roman" w:cs="Times New Roman"/>
                <w:color w:val="auto"/>
                <w:sz w:val="22"/>
                <w:szCs w:val="22"/>
                <w:lang w:val="en-NZ"/>
              </w:rPr>
              <w:lastRenderedPageBreak/>
              <w:t>Table S3 and S4</w:t>
            </w:r>
          </w:p>
        </w:tc>
      </w:tr>
      <w:tr w:rsidR="00DA5F7E" w:rsidRPr="00EC7A17" w14:paraId="18538655" w14:textId="77777777" w:rsidTr="00DA5F7E">
        <w:trPr>
          <w:trHeight w:val="47"/>
        </w:trPr>
        <w:tc>
          <w:tcPr>
            <w:tcW w:w="1607" w:type="dxa"/>
            <w:vMerge/>
            <w:tcBorders>
              <w:left w:val="single" w:sz="5" w:space="0" w:color="000000"/>
              <w:right w:val="single" w:sz="5" w:space="0" w:color="000000"/>
            </w:tcBorders>
          </w:tcPr>
          <w:p w14:paraId="31BE0CC9"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62FD55C2"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13e</w:t>
            </w:r>
          </w:p>
        </w:tc>
        <w:tc>
          <w:tcPr>
            <w:tcW w:w="10205" w:type="dxa"/>
            <w:tcBorders>
              <w:top w:val="single" w:sz="5" w:space="0" w:color="000000"/>
              <w:left w:val="single" w:sz="5" w:space="0" w:color="000000"/>
              <w:bottom w:val="single" w:sz="5" w:space="0" w:color="000000"/>
              <w:right w:val="single" w:sz="5" w:space="0" w:color="000000"/>
            </w:tcBorders>
          </w:tcPr>
          <w:p w14:paraId="2BCFCC0B"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any methods used to explore possible causes of heterogeneity among study results (e.g. subgroup analysis, meta-regression).</w:t>
            </w:r>
          </w:p>
        </w:tc>
        <w:tc>
          <w:tcPr>
            <w:tcW w:w="2192" w:type="dxa"/>
            <w:tcBorders>
              <w:top w:val="single" w:sz="5" w:space="0" w:color="000000"/>
              <w:left w:val="single" w:sz="5" w:space="0" w:color="000000"/>
              <w:bottom w:val="single" w:sz="5" w:space="0" w:color="000000"/>
              <w:right w:val="single" w:sz="5" w:space="0" w:color="000000"/>
            </w:tcBorders>
          </w:tcPr>
          <w:p w14:paraId="5DD3904B"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 xml:space="preserve">Methods: data extraction and appraisal of CPGs. </w:t>
            </w:r>
          </w:p>
        </w:tc>
      </w:tr>
      <w:tr w:rsidR="00DA5F7E" w:rsidRPr="00EC7A17" w14:paraId="37D0683B" w14:textId="77777777" w:rsidTr="00DA5F7E">
        <w:trPr>
          <w:trHeight w:val="49"/>
        </w:trPr>
        <w:tc>
          <w:tcPr>
            <w:tcW w:w="1607" w:type="dxa"/>
            <w:vMerge/>
            <w:tcBorders>
              <w:left w:val="single" w:sz="5" w:space="0" w:color="000000"/>
              <w:bottom w:val="single" w:sz="5" w:space="0" w:color="000000"/>
              <w:right w:val="single" w:sz="5" w:space="0" w:color="000000"/>
            </w:tcBorders>
          </w:tcPr>
          <w:p w14:paraId="575532BC"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7A88378D"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13f</w:t>
            </w:r>
          </w:p>
        </w:tc>
        <w:tc>
          <w:tcPr>
            <w:tcW w:w="10205" w:type="dxa"/>
            <w:tcBorders>
              <w:top w:val="single" w:sz="5" w:space="0" w:color="000000"/>
              <w:left w:val="single" w:sz="5" w:space="0" w:color="000000"/>
              <w:bottom w:val="single" w:sz="5" w:space="0" w:color="000000"/>
              <w:right w:val="single" w:sz="5" w:space="0" w:color="000000"/>
            </w:tcBorders>
          </w:tcPr>
          <w:p w14:paraId="56C81395"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any sensitivity analyses conducted to assess robustness of the synthesized results.</w:t>
            </w:r>
          </w:p>
        </w:tc>
        <w:tc>
          <w:tcPr>
            <w:tcW w:w="2192" w:type="dxa"/>
            <w:tcBorders>
              <w:top w:val="single" w:sz="5" w:space="0" w:color="000000"/>
              <w:left w:val="single" w:sz="5" w:space="0" w:color="000000"/>
              <w:bottom w:val="single" w:sz="5" w:space="0" w:color="000000"/>
              <w:right w:val="single" w:sz="5" w:space="0" w:color="000000"/>
            </w:tcBorders>
          </w:tcPr>
          <w:p w14:paraId="54A4229B"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data extraction and appraisal of CPGs. Table S3 and S4</w:t>
            </w:r>
          </w:p>
        </w:tc>
      </w:tr>
      <w:tr w:rsidR="00DA5F7E" w:rsidRPr="00EC7A17" w14:paraId="467E1072"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513B63B1"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Reporting bias assessment</w:t>
            </w:r>
          </w:p>
        </w:tc>
        <w:tc>
          <w:tcPr>
            <w:tcW w:w="656" w:type="dxa"/>
            <w:tcBorders>
              <w:top w:val="single" w:sz="5" w:space="0" w:color="000000"/>
              <w:left w:val="single" w:sz="5" w:space="0" w:color="000000"/>
              <w:bottom w:val="single" w:sz="5" w:space="0" w:color="000000"/>
              <w:right w:val="single" w:sz="5" w:space="0" w:color="000000"/>
            </w:tcBorders>
          </w:tcPr>
          <w:p w14:paraId="6E6C6958"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14</w:t>
            </w:r>
          </w:p>
        </w:tc>
        <w:tc>
          <w:tcPr>
            <w:tcW w:w="10205" w:type="dxa"/>
            <w:tcBorders>
              <w:top w:val="single" w:sz="5" w:space="0" w:color="000000"/>
              <w:left w:val="single" w:sz="5" w:space="0" w:color="000000"/>
              <w:bottom w:val="single" w:sz="5" w:space="0" w:color="000000"/>
              <w:right w:val="single" w:sz="5" w:space="0" w:color="000000"/>
            </w:tcBorders>
          </w:tcPr>
          <w:p w14:paraId="50125253"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any methods used to assess risk of bias due to missing results in a synthesis (arising from reporting biases).</w:t>
            </w:r>
          </w:p>
        </w:tc>
        <w:tc>
          <w:tcPr>
            <w:tcW w:w="2192" w:type="dxa"/>
            <w:tcBorders>
              <w:top w:val="single" w:sz="5" w:space="0" w:color="000000"/>
              <w:left w:val="single" w:sz="5" w:space="0" w:color="000000"/>
              <w:bottom w:val="single" w:sz="5" w:space="0" w:color="000000"/>
              <w:right w:val="single" w:sz="5" w:space="0" w:color="000000"/>
            </w:tcBorders>
          </w:tcPr>
          <w:p w14:paraId="69ED0FA5"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 xml:space="preserve">Methods: data extraction and appraisal of CPGs. </w:t>
            </w:r>
          </w:p>
        </w:tc>
      </w:tr>
      <w:tr w:rsidR="00DA5F7E" w:rsidRPr="00EC7A17" w14:paraId="6907A6DF"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6D49C7A5"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Certainty assessment</w:t>
            </w:r>
          </w:p>
        </w:tc>
        <w:tc>
          <w:tcPr>
            <w:tcW w:w="656" w:type="dxa"/>
            <w:tcBorders>
              <w:top w:val="single" w:sz="5" w:space="0" w:color="000000"/>
              <w:left w:val="single" w:sz="5" w:space="0" w:color="000000"/>
              <w:bottom w:val="single" w:sz="5" w:space="0" w:color="000000"/>
              <w:right w:val="single" w:sz="5" w:space="0" w:color="000000"/>
            </w:tcBorders>
          </w:tcPr>
          <w:p w14:paraId="427CE3CD"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15</w:t>
            </w:r>
          </w:p>
        </w:tc>
        <w:tc>
          <w:tcPr>
            <w:tcW w:w="10205" w:type="dxa"/>
            <w:tcBorders>
              <w:top w:val="single" w:sz="5" w:space="0" w:color="000000"/>
              <w:left w:val="single" w:sz="5" w:space="0" w:color="000000"/>
              <w:bottom w:val="single" w:sz="5" w:space="0" w:color="000000"/>
              <w:right w:val="single" w:sz="5" w:space="0" w:color="000000"/>
            </w:tcBorders>
          </w:tcPr>
          <w:p w14:paraId="4C3C07D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any methods used to assess certainty (or confidence) in the body of evidence for an outcome.</w:t>
            </w:r>
          </w:p>
        </w:tc>
        <w:tc>
          <w:tcPr>
            <w:tcW w:w="2192" w:type="dxa"/>
            <w:tcBorders>
              <w:top w:val="single" w:sz="5" w:space="0" w:color="000000"/>
              <w:left w:val="single" w:sz="5" w:space="0" w:color="000000"/>
              <w:bottom w:val="single" w:sz="5" w:space="0" w:color="000000"/>
              <w:right w:val="single" w:sz="5" w:space="0" w:color="000000"/>
            </w:tcBorders>
          </w:tcPr>
          <w:p w14:paraId="36049652"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data extraction and appraisal of CPGs. Table S3 and S4</w:t>
            </w:r>
          </w:p>
        </w:tc>
      </w:tr>
      <w:tr w:rsidR="00DA5F7E" w:rsidRPr="00EC7A17" w14:paraId="042A19F1" w14:textId="77777777" w:rsidTr="00DA5F7E">
        <w:trPr>
          <w:trHeight w:val="23"/>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599A61B" w14:textId="77777777" w:rsidR="00DA5F7E" w:rsidRPr="00EC7A17" w:rsidRDefault="00DA5F7E" w:rsidP="00DA5F7E">
            <w:pPr>
              <w:pStyle w:val="Default"/>
              <w:rPr>
                <w:rFonts w:ascii="Times New Roman" w:hAnsi="Times New Roman" w:cs="Times New Roman"/>
                <w:sz w:val="22"/>
                <w:szCs w:val="22"/>
                <w:lang w:val="en-NZ"/>
              </w:rPr>
            </w:pPr>
            <w:r w:rsidRPr="00EC7A17">
              <w:rPr>
                <w:rFonts w:ascii="Times New Roman" w:hAnsi="Times New Roman" w:cs="Times New Roman"/>
                <w:b/>
                <w:bCs/>
                <w:sz w:val="22"/>
                <w:szCs w:val="22"/>
                <w:lang w:val="en-NZ"/>
              </w:rPr>
              <w:t xml:space="preserve">RESULTS </w:t>
            </w:r>
          </w:p>
        </w:tc>
        <w:tc>
          <w:tcPr>
            <w:tcW w:w="2192" w:type="dxa"/>
            <w:tcBorders>
              <w:top w:val="double" w:sz="5" w:space="0" w:color="000000"/>
              <w:left w:val="single" w:sz="5" w:space="0" w:color="000000"/>
              <w:bottom w:val="single" w:sz="5" w:space="0" w:color="000000"/>
              <w:right w:val="single" w:sz="5" w:space="0" w:color="000000"/>
            </w:tcBorders>
            <w:shd w:val="clear" w:color="auto" w:fill="FFFFCC"/>
          </w:tcPr>
          <w:p w14:paraId="528645A1" w14:textId="77777777" w:rsidR="00DA5F7E" w:rsidRPr="00EC7A17" w:rsidRDefault="00DA5F7E" w:rsidP="00DA5F7E">
            <w:pPr>
              <w:pStyle w:val="Default"/>
              <w:jc w:val="center"/>
              <w:rPr>
                <w:rFonts w:ascii="Times New Roman" w:hAnsi="Times New Roman" w:cs="Times New Roman"/>
                <w:color w:val="auto"/>
                <w:sz w:val="22"/>
                <w:szCs w:val="22"/>
                <w:lang w:val="en-NZ"/>
              </w:rPr>
            </w:pPr>
          </w:p>
        </w:tc>
      </w:tr>
      <w:tr w:rsidR="00DA5F7E" w:rsidRPr="00EC7A17" w14:paraId="45971887" w14:textId="77777777" w:rsidTr="00DA5F7E">
        <w:trPr>
          <w:trHeight w:val="47"/>
        </w:trPr>
        <w:tc>
          <w:tcPr>
            <w:tcW w:w="1607" w:type="dxa"/>
            <w:vMerge w:val="restart"/>
            <w:tcBorders>
              <w:top w:val="single" w:sz="5" w:space="0" w:color="000000"/>
              <w:left w:val="single" w:sz="5" w:space="0" w:color="000000"/>
              <w:right w:val="single" w:sz="5" w:space="0" w:color="000000"/>
            </w:tcBorders>
          </w:tcPr>
          <w:p w14:paraId="5E31EDF8"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Study selection </w:t>
            </w:r>
          </w:p>
        </w:tc>
        <w:tc>
          <w:tcPr>
            <w:tcW w:w="656" w:type="dxa"/>
            <w:tcBorders>
              <w:top w:val="single" w:sz="5" w:space="0" w:color="000000"/>
              <w:left w:val="single" w:sz="5" w:space="0" w:color="000000"/>
              <w:bottom w:val="single" w:sz="5" w:space="0" w:color="000000"/>
              <w:right w:val="single" w:sz="5" w:space="0" w:color="000000"/>
            </w:tcBorders>
          </w:tcPr>
          <w:p w14:paraId="3C831E82"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16a</w:t>
            </w:r>
          </w:p>
        </w:tc>
        <w:tc>
          <w:tcPr>
            <w:tcW w:w="10205" w:type="dxa"/>
            <w:tcBorders>
              <w:top w:val="single" w:sz="5" w:space="0" w:color="000000"/>
              <w:left w:val="single" w:sz="5" w:space="0" w:color="000000"/>
              <w:bottom w:val="single" w:sz="5" w:space="0" w:color="000000"/>
              <w:right w:val="single" w:sz="5" w:space="0" w:color="000000"/>
            </w:tcBorders>
          </w:tcPr>
          <w:p w14:paraId="0D362BC9"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the results of the search and selection process, from the number of records identified in the search to the number of studies included in the review, ideally using a flow diagram.</w:t>
            </w:r>
          </w:p>
        </w:tc>
        <w:tc>
          <w:tcPr>
            <w:tcW w:w="2192" w:type="dxa"/>
            <w:tcBorders>
              <w:top w:val="single" w:sz="5" w:space="0" w:color="000000"/>
              <w:left w:val="single" w:sz="5" w:space="0" w:color="000000"/>
              <w:bottom w:val="single" w:sz="5" w:space="0" w:color="000000"/>
              <w:right w:val="single" w:sz="5" w:space="0" w:color="000000"/>
            </w:tcBorders>
          </w:tcPr>
          <w:p w14:paraId="723A673A"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Results. Figure 1: PRISMA diagram</w:t>
            </w:r>
          </w:p>
        </w:tc>
      </w:tr>
      <w:tr w:rsidR="00DA5F7E" w:rsidRPr="00EC7A17" w14:paraId="23432FBB" w14:textId="77777777" w:rsidTr="00DA5F7E">
        <w:trPr>
          <w:trHeight w:val="47"/>
        </w:trPr>
        <w:tc>
          <w:tcPr>
            <w:tcW w:w="1607" w:type="dxa"/>
            <w:vMerge/>
            <w:tcBorders>
              <w:left w:val="single" w:sz="5" w:space="0" w:color="000000"/>
              <w:bottom w:val="single" w:sz="5" w:space="0" w:color="000000"/>
              <w:right w:val="single" w:sz="5" w:space="0" w:color="000000"/>
            </w:tcBorders>
          </w:tcPr>
          <w:p w14:paraId="5094C1A4"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75D59F2B"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16b</w:t>
            </w:r>
          </w:p>
        </w:tc>
        <w:tc>
          <w:tcPr>
            <w:tcW w:w="10205" w:type="dxa"/>
            <w:tcBorders>
              <w:top w:val="single" w:sz="5" w:space="0" w:color="000000"/>
              <w:left w:val="single" w:sz="5" w:space="0" w:color="000000"/>
              <w:bottom w:val="single" w:sz="5" w:space="0" w:color="000000"/>
              <w:right w:val="single" w:sz="5" w:space="0" w:color="000000"/>
            </w:tcBorders>
          </w:tcPr>
          <w:p w14:paraId="1F4838B9"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Cite studies that might appear to meet the inclusion criteria, but which were excluded, and explain why they were excluded.</w:t>
            </w:r>
          </w:p>
        </w:tc>
        <w:tc>
          <w:tcPr>
            <w:tcW w:w="2192" w:type="dxa"/>
            <w:tcBorders>
              <w:top w:val="single" w:sz="5" w:space="0" w:color="000000"/>
              <w:left w:val="single" w:sz="5" w:space="0" w:color="000000"/>
              <w:bottom w:val="single" w:sz="5" w:space="0" w:color="000000"/>
              <w:right w:val="single" w:sz="5" w:space="0" w:color="000000"/>
            </w:tcBorders>
          </w:tcPr>
          <w:p w14:paraId="30B4CDAD"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Figure 1: PRISMA diagram</w:t>
            </w:r>
          </w:p>
        </w:tc>
      </w:tr>
      <w:tr w:rsidR="00DA5F7E" w:rsidRPr="00EC7A17" w14:paraId="21ED7FDF" w14:textId="77777777" w:rsidTr="00DA5F7E">
        <w:trPr>
          <w:trHeight w:val="102"/>
        </w:trPr>
        <w:tc>
          <w:tcPr>
            <w:tcW w:w="1607" w:type="dxa"/>
            <w:tcBorders>
              <w:top w:val="single" w:sz="5" w:space="0" w:color="000000"/>
              <w:left w:val="single" w:sz="5" w:space="0" w:color="000000"/>
              <w:bottom w:val="single" w:sz="5" w:space="0" w:color="000000"/>
              <w:right w:val="single" w:sz="5" w:space="0" w:color="000000"/>
            </w:tcBorders>
          </w:tcPr>
          <w:p w14:paraId="638AD027"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Study characteristics </w:t>
            </w:r>
          </w:p>
        </w:tc>
        <w:tc>
          <w:tcPr>
            <w:tcW w:w="656" w:type="dxa"/>
            <w:tcBorders>
              <w:top w:val="single" w:sz="5" w:space="0" w:color="000000"/>
              <w:left w:val="single" w:sz="5" w:space="0" w:color="000000"/>
              <w:bottom w:val="single" w:sz="5" w:space="0" w:color="000000"/>
              <w:right w:val="single" w:sz="5" w:space="0" w:color="000000"/>
            </w:tcBorders>
          </w:tcPr>
          <w:p w14:paraId="5F606359"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17</w:t>
            </w:r>
          </w:p>
        </w:tc>
        <w:tc>
          <w:tcPr>
            <w:tcW w:w="10205" w:type="dxa"/>
            <w:tcBorders>
              <w:top w:val="single" w:sz="5" w:space="0" w:color="000000"/>
              <w:left w:val="single" w:sz="5" w:space="0" w:color="000000"/>
              <w:bottom w:val="single" w:sz="5" w:space="0" w:color="000000"/>
              <w:right w:val="single" w:sz="5" w:space="0" w:color="000000"/>
            </w:tcBorders>
          </w:tcPr>
          <w:p w14:paraId="0FD03EDA"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Cite each included study and present its characteristics.</w:t>
            </w:r>
          </w:p>
        </w:tc>
        <w:tc>
          <w:tcPr>
            <w:tcW w:w="2192" w:type="dxa"/>
            <w:tcBorders>
              <w:top w:val="single" w:sz="5" w:space="0" w:color="000000"/>
              <w:left w:val="single" w:sz="5" w:space="0" w:color="000000"/>
              <w:bottom w:val="single" w:sz="5" w:space="0" w:color="000000"/>
              <w:right w:val="single" w:sz="5" w:space="0" w:color="000000"/>
            </w:tcBorders>
          </w:tcPr>
          <w:p w14:paraId="4307EBCA"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Table 1</w:t>
            </w:r>
          </w:p>
        </w:tc>
      </w:tr>
      <w:tr w:rsidR="00DA5F7E" w:rsidRPr="00EC7A17" w14:paraId="2B736BB8"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2F4F5F89"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Risk of bias in studies </w:t>
            </w:r>
          </w:p>
        </w:tc>
        <w:tc>
          <w:tcPr>
            <w:tcW w:w="656" w:type="dxa"/>
            <w:tcBorders>
              <w:top w:val="single" w:sz="5" w:space="0" w:color="000000"/>
              <w:left w:val="single" w:sz="5" w:space="0" w:color="000000"/>
              <w:bottom w:val="single" w:sz="5" w:space="0" w:color="000000"/>
              <w:right w:val="single" w:sz="5" w:space="0" w:color="000000"/>
            </w:tcBorders>
          </w:tcPr>
          <w:p w14:paraId="1310D63A"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18</w:t>
            </w:r>
          </w:p>
        </w:tc>
        <w:tc>
          <w:tcPr>
            <w:tcW w:w="10205" w:type="dxa"/>
            <w:tcBorders>
              <w:top w:val="single" w:sz="5" w:space="0" w:color="000000"/>
              <w:left w:val="single" w:sz="5" w:space="0" w:color="000000"/>
              <w:bottom w:val="single" w:sz="5" w:space="0" w:color="000000"/>
              <w:right w:val="single" w:sz="5" w:space="0" w:color="000000"/>
            </w:tcBorders>
          </w:tcPr>
          <w:p w14:paraId="07F71F2E"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Present assessments of risk of bias for each included study.</w:t>
            </w:r>
          </w:p>
        </w:tc>
        <w:tc>
          <w:tcPr>
            <w:tcW w:w="2192" w:type="dxa"/>
            <w:tcBorders>
              <w:top w:val="single" w:sz="5" w:space="0" w:color="000000"/>
              <w:left w:val="single" w:sz="5" w:space="0" w:color="000000"/>
              <w:bottom w:val="single" w:sz="5" w:space="0" w:color="000000"/>
              <w:right w:val="single" w:sz="5" w:space="0" w:color="000000"/>
            </w:tcBorders>
          </w:tcPr>
          <w:p w14:paraId="2E73CC5A"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Table 2</w:t>
            </w:r>
          </w:p>
        </w:tc>
      </w:tr>
      <w:tr w:rsidR="00DA5F7E" w:rsidRPr="00EC7A17" w14:paraId="451DD15A"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05F82F37"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Results of individual studies </w:t>
            </w:r>
          </w:p>
        </w:tc>
        <w:tc>
          <w:tcPr>
            <w:tcW w:w="656" w:type="dxa"/>
            <w:tcBorders>
              <w:top w:val="single" w:sz="5" w:space="0" w:color="000000"/>
              <w:left w:val="single" w:sz="5" w:space="0" w:color="000000"/>
              <w:bottom w:val="single" w:sz="5" w:space="0" w:color="000000"/>
              <w:right w:val="single" w:sz="5" w:space="0" w:color="000000"/>
            </w:tcBorders>
          </w:tcPr>
          <w:p w14:paraId="1D37FB64"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19</w:t>
            </w:r>
          </w:p>
        </w:tc>
        <w:tc>
          <w:tcPr>
            <w:tcW w:w="10205" w:type="dxa"/>
            <w:tcBorders>
              <w:top w:val="single" w:sz="5" w:space="0" w:color="000000"/>
              <w:left w:val="single" w:sz="5" w:space="0" w:color="000000"/>
              <w:bottom w:val="single" w:sz="5" w:space="0" w:color="000000"/>
              <w:right w:val="single" w:sz="5" w:space="0" w:color="000000"/>
            </w:tcBorders>
          </w:tcPr>
          <w:p w14:paraId="07B3FDD4"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For all outcomes, present, for each study: (a) summary statistics for each group (where appropriate) and (b) an effect estimate and its precision (e.g. confidence/credible interval), ideally using structured tables or plots.</w:t>
            </w:r>
          </w:p>
        </w:tc>
        <w:tc>
          <w:tcPr>
            <w:tcW w:w="2192" w:type="dxa"/>
            <w:tcBorders>
              <w:top w:val="single" w:sz="5" w:space="0" w:color="000000"/>
              <w:left w:val="single" w:sz="5" w:space="0" w:color="000000"/>
              <w:bottom w:val="single" w:sz="5" w:space="0" w:color="000000"/>
              <w:right w:val="single" w:sz="5" w:space="0" w:color="000000"/>
            </w:tcBorders>
          </w:tcPr>
          <w:p w14:paraId="1F1D60F8"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Tables 3-6</w:t>
            </w:r>
          </w:p>
        </w:tc>
      </w:tr>
      <w:tr w:rsidR="00DA5F7E" w:rsidRPr="00EC7A17" w14:paraId="45CCAC78" w14:textId="77777777" w:rsidTr="00DA5F7E">
        <w:trPr>
          <w:trHeight w:val="47"/>
        </w:trPr>
        <w:tc>
          <w:tcPr>
            <w:tcW w:w="1607" w:type="dxa"/>
            <w:vMerge w:val="restart"/>
            <w:tcBorders>
              <w:top w:val="single" w:sz="5" w:space="0" w:color="000000"/>
              <w:left w:val="single" w:sz="5" w:space="0" w:color="000000"/>
              <w:right w:val="single" w:sz="5" w:space="0" w:color="000000"/>
            </w:tcBorders>
          </w:tcPr>
          <w:p w14:paraId="23F53992"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Results of </w:t>
            </w:r>
            <w:r w:rsidRPr="00EC7A17">
              <w:rPr>
                <w:rFonts w:ascii="Times New Roman" w:hAnsi="Times New Roman" w:cs="Times New Roman"/>
                <w:sz w:val="22"/>
                <w:szCs w:val="22"/>
                <w:lang w:val="en-NZ"/>
              </w:rPr>
              <w:lastRenderedPageBreak/>
              <w:t>syntheses</w:t>
            </w:r>
          </w:p>
        </w:tc>
        <w:tc>
          <w:tcPr>
            <w:tcW w:w="656" w:type="dxa"/>
            <w:tcBorders>
              <w:top w:val="single" w:sz="5" w:space="0" w:color="000000"/>
              <w:left w:val="single" w:sz="5" w:space="0" w:color="000000"/>
              <w:bottom w:val="single" w:sz="5" w:space="0" w:color="000000"/>
              <w:right w:val="single" w:sz="5" w:space="0" w:color="000000"/>
            </w:tcBorders>
          </w:tcPr>
          <w:p w14:paraId="11AE61A5"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lastRenderedPageBreak/>
              <w:t>20a</w:t>
            </w:r>
          </w:p>
        </w:tc>
        <w:tc>
          <w:tcPr>
            <w:tcW w:w="10205" w:type="dxa"/>
            <w:tcBorders>
              <w:top w:val="single" w:sz="5" w:space="0" w:color="000000"/>
              <w:left w:val="single" w:sz="5" w:space="0" w:color="000000"/>
              <w:bottom w:val="single" w:sz="5" w:space="0" w:color="000000"/>
              <w:right w:val="single" w:sz="5" w:space="0" w:color="000000"/>
            </w:tcBorders>
          </w:tcPr>
          <w:p w14:paraId="69E4B4FB"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For each synthesis, briefly summarise the characteristics and risk of bias among contributing studies.</w:t>
            </w:r>
          </w:p>
        </w:tc>
        <w:tc>
          <w:tcPr>
            <w:tcW w:w="2192" w:type="dxa"/>
            <w:tcBorders>
              <w:top w:val="single" w:sz="5" w:space="0" w:color="000000"/>
              <w:left w:val="single" w:sz="5" w:space="0" w:color="000000"/>
              <w:bottom w:val="single" w:sz="5" w:space="0" w:color="000000"/>
              <w:right w:val="single" w:sz="5" w:space="0" w:color="000000"/>
            </w:tcBorders>
          </w:tcPr>
          <w:p w14:paraId="05FFEA50" w14:textId="77777777" w:rsidR="00DA5F7E" w:rsidRPr="00EC7A17" w:rsidRDefault="00DA5F7E" w:rsidP="00DA5F7E">
            <w:pPr>
              <w:pStyle w:val="Default"/>
              <w:spacing w:before="40" w:after="40"/>
              <w:rPr>
                <w:rFonts w:ascii="Times New Roman" w:hAnsi="Times New Roman" w:cs="Times New Roman"/>
                <w:b/>
                <w:bCs/>
                <w:sz w:val="22"/>
                <w:szCs w:val="22"/>
                <w:lang w:val="en-NZ"/>
              </w:rPr>
            </w:pPr>
            <w:r w:rsidRPr="00EC7A17">
              <w:rPr>
                <w:rFonts w:ascii="Times New Roman" w:hAnsi="Times New Roman" w:cs="Times New Roman"/>
                <w:sz w:val="22"/>
                <w:szCs w:val="22"/>
                <w:lang w:val="en-NZ"/>
              </w:rPr>
              <w:t xml:space="preserve">Results: quality of guidelines, Evidence </w:t>
            </w:r>
            <w:r w:rsidRPr="00EC7A17">
              <w:rPr>
                <w:rFonts w:ascii="Times New Roman" w:hAnsi="Times New Roman" w:cs="Times New Roman"/>
                <w:sz w:val="22"/>
                <w:szCs w:val="22"/>
                <w:lang w:val="en-NZ"/>
              </w:rPr>
              <w:lastRenderedPageBreak/>
              <w:t>base for postnatal care recommendations, and research gaps in recommendations</w:t>
            </w:r>
          </w:p>
        </w:tc>
      </w:tr>
      <w:tr w:rsidR="00DA5F7E" w:rsidRPr="00EC7A17" w14:paraId="4A6B6B57" w14:textId="77777777" w:rsidTr="00DA5F7E">
        <w:trPr>
          <w:trHeight w:val="202"/>
        </w:trPr>
        <w:tc>
          <w:tcPr>
            <w:tcW w:w="1607" w:type="dxa"/>
            <w:vMerge/>
            <w:tcBorders>
              <w:left w:val="single" w:sz="5" w:space="0" w:color="000000"/>
              <w:right w:val="single" w:sz="5" w:space="0" w:color="000000"/>
            </w:tcBorders>
          </w:tcPr>
          <w:p w14:paraId="58015447"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460B1C15"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20b</w:t>
            </w:r>
          </w:p>
        </w:tc>
        <w:tc>
          <w:tcPr>
            <w:tcW w:w="10205" w:type="dxa"/>
            <w:tcBorders>
              <w:top w:val="single" w:sz="5" w:space="0" w:color="000000"/>
              <w:left w:val="single" w:sz="5" w:space="0" w:color="000000"/>
              <w:bottom w:val="single" w:sz="5" w:space="0" w:color="000000"/>
              <w:right w:val="single" w:sz="5" w:space="0" w:color="000000"/>
            </w:tcBorders>
          </w:tcPr>
          <w:p w14:paraId="334127DF"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192" w:type="dxa"/>
            <w:tcBorders>
              <w:top w:val="single" w:sz="5" w:space="0" w:color="000000"/>
              <w:left w:val="single" w:sz="5" w:space="0" w:color="000000"/>
              <w:bottom w:val="single" w:sz="5" w:space="0" w:color="000000"/>
              <w:right w:val="single" w:sz="5" w:space="0" w:color="000000"/>
            </w:tcBorders>
          </w:tcPr>
          <w:p w14:paraId="65A37279"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sz w:val="22"/>
                <w:szCs w:val="22"/>
                <w:lang w:val="en-NZ"/>
              </w:rPr>
              <w:t>Results: quality of guidelines, evidence base for postnatal care recommendations, and research gaps in recommendations</w:t>
            </w:r>
          </w:p>
        </w:tc>
      </w:tr>
      <w:tr w:rsidR="00DA5F7E" w:rsidRPr="00EC7A17" w14:paraId="0BC259F2" w14:textId="77777777" w:rsidTr="00DA5F7E">
        <w:trPr>
          <w:trHeight w:val="47"/>
        </w:trPr>
        <w:tc>
          <w:tcPr>
            <w:tcW w:w="1607" w:type="dxa"/>
            <w:vMerge/>
            <w:tcBorders>
              <w:left w:val="single" w:sz="5" w:space="0" w:color="000000"/>
              <w:right w:val="single" w:sz="5" w:space="0" w:color="000000"/>
            </w:tcBorders>
          </w:tcPr>
          <w:p w14:paraId="1601CB37"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5DDDB1F4"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20c</w:t>
            </w:r>
          </w:p>
        </w:tc>
        <w:tc>
          <w:tcPr>
            <w:tcW w:w="10205" w:type="dxa"/>
            <w:tcBorders>
              <w:top w:val="single" w:sz="5" w:space="0" w:color="000000"/>
              <w:left w:val="single" w:sz="5" w:space="0" w:color="000000"/>
              <w:bottom w:val="single" w:sz="5" w:space="0" w:color="000000"/>
              <w:right w:val="single" w:sz="5" w:space="0" w:color="000000"/>
            </w:tcBorders>
          </w:tcPr>
          <w:p w14:paraId="1D00C797"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Present results of all investigations of possible causes of heterogeneity among study results.</w:t>
            </w:r>
          </w:p>
        </w:tc>
        <w:tc>
          <w:tcPr>
            <w:tcW w:w="2192" w:type="dxa"/>
            <w:tcBorders>
              <w:top w:val="single" w:sz="5" w:space="0" w:color="000000"/>
              <w:left w:val="single" w:sz="5" w:space="0" w:color="000000"/>
              <w:bottom w:val="single" w:sz="5" w:space="0" w:color="000000"/>
              <w:right w:val="single" w:sz="5" w:space="0" w:color="000000"/>
            </w:tcBorders>
          </w:tcPr>
          <w:p w14:paraId="41F5BF8D"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sz w:val="22"/>
                <w:szCs w:val="22"/>
                <w:lang w:val="en-NZ"/>
              </w:rPr>
              <w:t>Results: quality of guidelines, Evidence base for postnatal care recommendations, and research gaps in recommendations. Table S5</w:t>
            </w:r>
          </w:p>
        </w:tc>
      </w:tr>
      <w:tr w:rsidR="00DA5F7E" w:rsidRPr="00EC7A17" w14:paraId="6E4869F6" w14:textId="77777777" w:rsidTr="00DA5F7E">
        <w:trPr>
          <w:trHeight w:val="47"/>
        </w:trPr>
        <w:tc>
          <w:tcPr>
            <w:tcW w:w="1607" w:type="dxa"/>
            <w:vMerge/>
            <w:tcBorders>
              <w:left w:val="single" w:sz="5" w:space="0" w:color="000000"/>
              <w:bottom w:val="single" w:sz="5" w:space="0" w:color="000000"/>
              <w:right w:val="single" w:sz="5" w:space="0" w:color="000000"/>
            </w:tcBorders>
          </w:tcPr>
          <w:p w14:paraId="3A014499"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5DB17773"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20d</w:t>
            </w:r>
          </w:p>
        </w:tc>
        <w:tc>
          <w:tcPr>
            <w:tcW w:w="10205" w:type="dxa"/>
            <w:tcBorders>
              <w:top w:val="single" w:sz="5" w:space="0" w:color="000000"/>
              <w:left w:val="single" w:sz="5" w:space="0" w:color="000000"/>
              <w:bottom w:val="single" w:sz="5" w:space="0" w:color="000000"/>
              <w:right w:val="single" w:sz="5" w:space="0" w:color="000000"/>
            </w:tcBorders>
          </w:tcPr>
          <w:p w14:paraId="7C4056C2"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Present results of all sensitivity analyses conducted to assess the robustness of the synthesized results.</w:t>
            </w:r>
          </w:p>
        </w:tc>
        <w:tc>
          <w:tcPr>
            <w:tcW w:w="2192" w:type="dxa"/>
            <w:tcBorders>
              <w:top w:val="single" w:sz="5" w:space="0" w:color="000000"/>
              <w:left w:val="single" w:sz="5" w:space="0" w:color="000000"/>
              <w:bottom w:val="single" w:sz="5" w:space="0" w:color="000000"/>
              <w:right w:val="single" w:sz="5" w:space="0" w:color="000000"/>
            </w:tcBorders>
          </w:tcPr>
          <w:p w14:paraId="4B4D4477"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sz w:val="22"/>
                <w:szCs w:val="22"/>
                <w:lang w:val="en-NZ"/>
              </w:rPr>
              <w:t>Results: quality of guidelines, Evidence base for postnatal care recommendations, and research gaps in recommendations. Table S5</w:t>
            </w:r>
          </w:p>
        </w:tc>
      </w:tr>
      <w:tr w:rsidR="00DA5F7E" w:rsidRPr="00EC7A17" w14:paraId="00FBFA5D"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6B15EF5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Reporting biases</w:t>
            </w:r>
          </w:p>
        </w:tc>
        <w:tc>
          <w:tcPr>
            <w:tcW w:w="656" w:type="dxa"/>
            <w:tcBorders>
              <w:top w:val="single" w:sz="5" w:space="0" w:color="000000"/>
              <w:left w:val="single" w:sz="5" w:space="0" w:color="000000"/>
              <w:bottom w:val="single" w:sz="5" w:space="0" w:color="000000"/>
              <w:right w:val="single" w:sz="5" w:space="0" w:color="000000"/>
            </w:tcBorders>
          </w:tcPr>
          <w:p w14:paraId="438AAE19"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21</w:t>
            </w:r>
          </w:p>
        </w:tc>
        <w:tc>
          <w:tcPr>
            <w:tcW w:w="10205" w:type="dxa"/>
            <w:tcBorders>
              <w:top w:val="single" w:sz="5" w:space="0" w:color="000000"/>
              <w:left w:val="single" w:sz="5" w:space="0" w:color="000000"/>
              <w:bottom w:val="single" w:sz="5" w:space="0" w:color="000000"/>
              <w:right w:val="single" w:sz="5" w:space="0" w:color="000000"/>
            </w:tcBorders>
          </w:tcPr>
          <w:p w14:paraId="3A45CD6C"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Present assessments of risk of bias due to missing results (arising from reporting biases) for each synthesis assessed.</w:t>
            </w:r>
          </w:p>
        </w:tc>
        <w:tc>
          <w:tcPr>
            <w:tcW w:w="2192" w:type="dxa"/>
            <w:tcBorders>
              <w:top w:val="single" w:sz="5" w:space="0" w:color="000000"/>
              <w:left w:val="single" w:sz="5" w:space="0" w:color="000000"/>
              <w:bottom w:val="single" w:sz="5" w:space="0" w:color="000000"/>
              <w:right w:val="single" w:sz="5" w:space="0" w:color="000000"/>
            </w:tcBorders>
          </w:tcPr>
          <w:p w14:paraId="22E687FF"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sz w:val="22"/>
                <w:szCs w:val="22"/>
                <w:lang w:val="en-NZ"/>
              </w:rPr>
              <w:t>Results: Evidence base for postnatal care recommendations, and research gaps in recommendations. Table 3-5; S5</w:t>
            </w:r>
          </w:p>
        </w:tc>
      </w:tr>
      <w:tr w:rsidR="00DA5F7E" w:rsidRPr="00EC7A17" w14:paraId="7960C1B9"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5DC06227"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Certainty of </w:t>
            </w:r>
            <w:r w:rsidRPr="00EC7A17">
              <w:rPr>
                <w:rFonts w:ascii="Times New Roman" w:hAnsi="Times New Roman" w:cs="Times New Roman"/>
                <w:sz w:val="22"/>
                <w:szCs w:val="22"/>
                <w:lang w:val="en-NZ"/>
              </w:rPr>
              <w:lastRenderedPageBreak/>
              <w:t xml:space="preserve">evidence </w:t>
            </w:r>
          </w:p>
        </w:tc>
        <w:tc>
          <w:tcPr>
            <w:tcW w:w="656" w:type="dxa"/>
            <w:tcBorders>
              <w:top w:val="single" w:sz="5" w:space="0" w:color="000000"/>
              <w:left w:val="single" w:sz="5" w:space="0" w:color="000000"/>
              <w:bottom w:val="single" w:sz="5" w:space="0" w:color="000000"/>
              <w:right w:val="single" w:sz="5" w:space="0" w:color="000000"/>
            </w:tcBorders>
          </w:tcPr>
          <w:p w14:paraId="38825DFE"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lastRenderedPageBreak/>
              <w:t>22</w:t>
            </w:r>
          </w:p>
        </w:tc>
        <w:tc>
          <w:tcPr>
            <w:tcW w:w="10205" w:type="dxa"/>
            <w:tcBorders>
              <w:top w:val="single" w:sz="5" w:space="0" w:color="000000"/>
              <w:left w:val="single" w:sz="5" w:space="0" w:color="000000"/>
              <w:bottom w:val="single" w:sz="5" w:space="0" w:color="000000"/>
              <w:right w:val="single" w:sz="5" w:space="0" w:color="000000"/>
            </w:tcBorders>
          </w:tcPr>
          <w:p w14:paraId="7C5CA6D2"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Present assessments of certainty (or confidence) in the body of evidence for each outcome assessed.</w:t>
            </w:r>
          </w:p>
        </w:tc>
        <w:tc>
          <w:tcPr>
            <w:tcW w:w="2192" w:type="dxa"/>
            <w:tcBorders>
              <w:top w:val="single" w:sz="5" w:space="0" w:color="000000"/>
              <w:left w:val="single" w:sz="5" w:space="0" w:color="000000"/>
              <w:bottom w:val="single" w:sz="5" w:space="0" w:color="000000"/>
              <w:right w:val="single" w:sz="5" w:space="0" w:color="000000"/>
            </w:tcBorders>
          </w:tcPr>
          <w:p w14:paraId="0978C66C"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sz w:val="22"/>
                <w:szCs w:val="22"/>
                <w:lang w:val="en-NZ"/>
              </w:rPr>
              <w:t xml:space="preserve">Results: Evidence </w:t>
            </w:r>
            <w:r w:rsidRPr="00EC7A17">
              <w:rPr>
                <w:rFonts w:ascii="Times New Roman" w:hAnsi="Times New Roman" w:cs="Times New Roman"/>
                <w:sz w:val="22"/>
                <w:szCs w:val="22"/>
                <w:lang w:val="en-NZ"/>
              </w:rPr>
              <w:lastRenderedPageBreak/>
              <w:t>base for postnatal care recommendations, and research gaps in recommendations. Table 3-5; S5</w:t>
            </w:r>
          </w:p>
        </w:tc>
      </w:tr>
      <w:tr w:rsidR="00DA5F7E" w:rsidRPr="00EC7A17" w14:paraId="52889658" w14:textId="77777777" w:rsidTr="00DA5F7E">
        <w:trPr>
          <w:trHeight w:val="23"/>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FF4C1A8" w14:textId="77777777" w:rsidR="00DA5F7E" w:rsidRPr="00EC7A17" w:rsidRDefault="00DA5F7E" w:rsidP="00DA5F7E">
            <w:pPr>
              <w:pStyle w:val="Default"/>
              <w:rPr>
                <w:rFonts w:ascii="Times New Roman" w:hAnsi="Times New Roman" w:cs="Times New Roman"/>
                <w:sz w:val="22"/>
                <w:szCs w:val="22"/>
                <w:lang w:val="en-NZ"/>
              </w:rPr>
            </w:pPr>
            <w:r w:rsidRPr="00EC7A17">
              <w:rPr>
                <w:rFonts w:ascii="Times New Roman" w:hAnsi="Times New Roman" w:cs="Times New Roman"/>
                <w:b/>
                <w:bCs/>
                <w:sz w:val="22"/>
                <w:szCs w:val="22"/>
                <w:lang w:val="en-NZ"/>
              </w:rPr>
              <w:lastRenderedPageBreak/>
              <w:t xml:space="preserve">DISCUSSION </w:t>
            </w:r>
          </w:p>
        </w:tc>
        <w:tc>
          <w:tcPr>
            <w:tcW w:w="2192" w:type="dxa"/>
            <w:tcBorders>
              <w:top w:val="double" w:sz="5" w:space="0" w:color="000000"/>
              <w:left w:val="single" w:sz="5" w:space="0" w:color="000000"/>
              <w:bottom w:val="single" w:sz="5" w:space="0" w:color="000000"/>
              <w:right w:val="single" w:sz="5" w:space="0" w:color="000000"/>
            </w:tcBorders>
            <w:shd w:val="clear" w:color="auto" w:fill="FFFFCC"/>
          </w:tcPr>
          <w:p w14:paraId="3BB60FCA" w14:textId="77777777" w:rsidR="00DA5F7E" w:rsidRPr="00EC7A17" w:rsidRDefault="00DA5F7E" w:rsidP="00DA5F7E">
            <w:pPr>
              <w:pStyle w:val="Default"/>
              <w:jc w:val="center"/>
              <w:rPr>
                <w:rFonts w:ascii="Times New Roman" w:hAnsi="Times New Roman" w:cs="Times New Roman"/>
                <w:color w:val="auto"/>
                <w:sz w:val="22"/>
                <w:szCs w:val="22"/>
                <w:lang w:val="en-NZ"/>
              </w:rPr>
            </w:pPr>
          </w:p>
        </w:tc>
      </w:tr>
      <w:tr w:rsidR="00DA5F7E" w:rsidRPr="00EC7A17" w14:paraId="7AE38FA0" w14:textId="77777777" w:rsidTr="00DA5F7E">
        <w:trPr>
          <w:trHeight w:val="47"/>
        </w:trPr>
        <w:tc>
          <w:tcPr>
            <w:tcW w:w="1607" w:type="dxa"/>
            <w:vMerge w:val="restart"/>
            <w:tcBorders>
              <w:top w:val="single" w:sz="5" w:space="0" w:color="000000"/>
              <w:left w:val="single" w:sz="5" w:space="0" w:color="000000"/>
              <w:right w:val="single" w:sz="5" w:space="0" w:color="000000"/>
            </w:tcBorders>
          </w:tcPr>
          <w:p w14:paraId="5CFC7F44"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 xml:space="preserve">Discussion </w:t>
            </w:r>
          </w:p>
        </w:tc>
        <w:tc>
          <w:tcPr>
            <w:tcW w:w="656" w:type="dxa"/>
            <w:tcBorders>
              <w:top w:val="single" w:sz="5" w:space="0" w:color="000000"/>
              <w:left w:val="single" w:sz="5" w:space="0" w:color="000000"/>
              <w:bottom w:val="single" w:sz="5" w:space="0" w:color="000000"/>
              <w:right w:val="single" w:sz="5" w:space="0" w:color="000000"/>
            </w:tcBorders>
          </w:tcPr>
          <w:p w14:paraId="5DAB309D"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23a</w:t>
            </w:r>
          </w:p>
        </w:tc>
        <w:tc>
          <w:tcPr>
            <w:tcW w:w="10205" w:type="dxa"/>
            <w:tcBorders>
              <w:top w:val="single" w:sz="5" w:space="0" w:color="000000"/>
              <w:left w:val="single" w:sz="5" w:space="0" w:color="000000"/>
              <w:bottom w:val="single" w:sz="5" w:space="0" w:color="000000"/>
              <w:right w:val="single" w:sz="5" w:space="0" w:color="000000"/>
            </w:tcBorders>
          </w:tcPr>
          <w:p w14:paraId="0B74D9DE"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Provide a general interpretation of the results in the context of other evidence.</w:t>
            </w:r>
          </w:p>
        </w:tc>
        <w:tc>
          <w:tcPr>
            <w:tcW w:w="2192" w:type="dxa"/>
            <w:tcBorders>
              <w:top w:val="single" w:sz="5" w:space="0" w:color="000000"/>
              <w:left w:val="single" w:sz="5" w:space="0" w:color="000000"/>
              <w:bottom w:val="single" w:sz="5" w:space="0" w:color="000000"/>
              <w:right w:val="single" w:sz="5" w:space="0" w:color="000000"/>
            </w:tcBorders>
          </w:tcPr>
          <w:p w14:paraId="1CD6E388"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Discussion</w:t>
            </w:r>
          </w:p>
        </w:tc>
      </w:tr>
      <w:tr w:rsidR="00DA5F7E" w:rsidRPr="00EC7A17" w14:paraId="56537E8D" w14:textId="77777777" w:rsidTr="00DA5F7E">
        <w:trPr>
          <w:trHeight w:val="47"/>
        </w:trPr>
        <w:tc>
          <w:tcPr>
            <w:tcW w:w="1607" w:type="dxa"/>
            <w:vMerge/>
            <w:tcBorders>
              <w:left w:val="single" w:sz="5" w:space="0" w:color="000000"/>
              <w:right w:val="single" w:sz="5" w:space="0" w:color="000000"/>
            </w:tcBorders>
          </w:tcPr>
          <w:p w14:paraId="0709E850"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2221E9DB"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23b</w:t>
            </w:r>
          </w:p>
        </w:tc>
        <w:tc>
          <w:tcPr>
            <w:tcW w:w="10205" w:type="dxa"/>
            <w:tcBorders>
              <w:top w:val="single" w:sz="5" w:space="0" w:color="000000"/>
              <w:left w:val="single" w:sz="5" w:space="0" w:color="000000"/>
              <w:bottom w:val="single" w:sz="5" w:space="0" w:color="000000"/>
              <w:right w:val="single" w:sz="5" w:space="0" w:color="000000"/>
            </w:tcBorders>
          </w:tcPr>
          <w:p w14:paraId="0A153128"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Discuss any limitations of the evidence included in the review.</w:t>
            </w:r>
          </w:p>
        </w:tc>
        <w:tc>
          <w:tcPr>
            <w:tcW w:w="2192" w:type="dxa"/>
            <w:tcBorders>
              <w:top w:val="single" w:sz="5" w:space="0" w:color="000000"/>
              <w:left w:val="single" w:sz="5" w:space="0" w:color="000000"/>
              <w:bottom w:val="single" w:sz="5" w:space="0" w:color="000000"/>
              <w:right w:val="single" w:sz="5" w:space="0" w:color="000000"/>
            </w:tcBorders>
          </w:tcPr>
          <w:p w14:paraId="6A0B80A7"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Discussion</w:t>
            </w:r>
          </w:p>
        </w:tc>
      </w:tr>
      <w:tr w:rsidR="00DA5F7E" w:rsidRPr="00EC7A17" w14:paraId="05F972CA" w14:textId="77777777" w:rsidTr="00DA5F7E">
        <w:trPr>
          <w:trHeight w:val="47"/>
        </w:trPr>
        <w:tc>
          <w:tcPr>
            <w:tcW w:w="1607" w:type="dxa"/>
            <w:vMerge/>
            <w:tcBorders>
              <w:left w:val="single" w:sz="5" w:space="0" w:color="000000"/>
              <w:right w:val="single" w:sz="5" w:space="0" w:color="000000"/>
            </w:tcBorders>
          </w:tcPr>
          <w:p w14:paraId="5C2AD90A"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4" w:space="0" w:color="auto"/>
              <w:right w:val="single" w:sz="5" w:space="0" w:color="000000"/>
            </w:tcBorders>
          </w:tcPr>
          <w:p w14:paraId="72D52B19"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23c</w:t>
            </w:r>
          </w:p>
        </w:tc>
        <w:tc>
          <w:tcPr>
            <w:tcW w:w="10205" w:type="dxa"/>
            <w:tcBorders>
              <w:top w:val="single" w:sz="5" w:space="0" w:color="000000"/>
              <w:left w:val="single" w:sz="5" w:space="0" w:color="000000"/>
              <w:bottom w:val="single" w:sz="5" w:space="0" w:color="000000"/>
              <w:right w:val="single" w:sz="5" w:space="0" w:color="000000"/>
            </w:tcBorders>
          </w:tcPr>
          <w:p w14:paraId="76E34F72"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Discuss any limitations of the review processes used.</w:t>
            </w:r>
          </w:p>
        </w:tc>
        <w:tc>
          <w:tcPr>
            <w:tcW w:w="2192" w:type="dxa"/>
            <w:tcBorders>
              <w:top w:val="single" w:sz="5" w:space="0" w:color="000000"/>
              <w:left w:val="single" w:sz="5" w:space="0" w:color="000000"/>
              <w:bottom w:val="single" w:sz="5" w:space="0" w:color="000000"/>
              <w:right w:val="single" w:sz="5" w:space="0" w:color="000000"/>
            </w:tcBorders>
          </w:tcPr>
          <w:p w14:paraId="096BC1E0"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Discussion: Strengths and limitations</w:t>
            </w:r>
          </w:p>
        </w:tc>
      </w:tr>
      <w:tr w:rsidR="00DA5F7E" w:rsidRPr="00EC7A17" w14:paraId="4F8AB4AE" w14:textId="77777777" w:rsidTr="00DA5F7E">
        <w:trPr>
          <w:trHeight w:val="47"/>
        </w:trPr>
        <w:tc>
          <w:tcPr>
            <w:tcW w:w="1607" w:type="dxa"/>
            <w:vMerge/>
            <w:tcBorders>
              <w:left w:val="single" w:sz="5" w:space="0" w:color="000000"/>
              <w:bottom w:val="single" w:sz="4" w:space="0" w:color="auto"/>
              <w:right w:val="single" w:sz="5" w:space="0" w:color="000000"/>
            </w:tcBorders>
          </w:tcPr>
          <w:p w14:paraId="4DB55CA4"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4" w:space="0" w:color="auto"/>
              <w:left w:val="single" w:sz="5" w:space="0" w:color="000000"/>
              <w:bottom w:val="single" w:sz="4" w:space="0" w:color="auto"/>
              <w:right w:val="single" w:sz="4" w:space="0" w:color="auto"/>
            </w:tcBorders>
          </w:tcPr>
          <w:p w14:paraId="41AFCE54"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23d</w:t>
            </w:r>
          </w:p>
        </w:tc>
        <w:tc>
          <w:tcPr>
            <w:tcW w:w="10205" w:type="dxa"/>
            <w:tcBorders>
              <w:top w:val="single" w:sz="5" w:space="0" w:color="000000"/>
              <w:left w:val="single" w:sz="4" w:space="0" w:color="auto"/>
              <w:bottom w:val="double" w:sz="5" w:space="0" w:color="000000"/>
              <w:right w:val="single" w:sz="5" w:space="0" w:color="000000"/>
            </w:tcBorders>
          </w:tcPr>
          <w:p w14:paraId="108B42B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Discuss implications of the results for practice, policy, and future research.</w:t>
            </w:r>
          </w:p>
        </w:tc>
        <w:tc>
          <w:tcPr>
            <w:tcW w:w="2192" w:type="dxa"/>
            <w:tcBorders>
              <w:top w:val="single" w:sz="5" w:space="0" w:color="000000"/>
              <w:left w:val="single" w:sz="5" w:space="0" w:color="000000"/>
              <w:bottom w:val="double" w:sz="5" w:space="0" w:color="000000"/>
              <w:right w:val="single" w:sz="5" w:space="0" w:color="000000"/>
            </w:tcBorders>
          </w:tcPr>
          <w:p w14:paraId="498A0911"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Discussion and conclusion</w:t>
            </w:r>
          </w:p>
        </w:tc>
      </w:tr>
      <w:tr w:rsidR="00DA5F7E" w:rsidRPr="00EC7A17" w14:paraId="073E1CD7" w14:textId="77777777" w:rsidTr="00DA5F7E">
        <w:trPr>
          <w:trHeight w:val="23"/>
        </w:trPr>
        <w:tc>
          <w:tcPr>
            <w:tcW w:w="124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7425972" w14:textId="77777777" w:rsidR="00DA5F7E" w:rsidRPr="00EC7A17" w:rsidRDefault="00DA5F7E" w:rsidP="00DA5F7E">
            <w:pPr>
              <w:pStyle w:val="Default"/>
              <w:rPr>
                <w:rFonts w:ascii="Times New Roman" w:hAnsi="Times New Roman" w:cs="Times New Roman"/>
                <w:sz w:val="22"/>
                <w:szCs w:val="22"/>
                <w:lang w:val="en-NZ"/>
              </w:rPr>
            </w:pPr>
            <w:r w:rsidRPr="00EC7A17">
              <w:rPr>
                <w:rFonts w:ascii="Times New Roman" w:hAnsi="Times New Roman" w:cs="Times New Roman"/>
                <w:b/>
                <w:bCs/>
                <w:sz w:val="22"/>
                <w:szCs w:val="22"/>
                <w:lang w:val="en-NZ"/>
              </w:rPr>
              <w:t>OTHER INFORMATION</w:t>
            </w:r>
          </w:p>
        </w:tc>
        <w:tc>
          <w:tcPr>
            <w:tcW w:w="2192" w:type="dxa"/>
            <w:tcBorders>
              <w:top w:val="double" w:sz="5" w:space="0" w:color="000000"/>
              <w:left w:val="single" w:sz="5" w:space="0" w:color="000000"/>
              <w:bottom w:val="single" w:sz="5" w:space="0" w:color="000000"/>
              <w:right w:val="single" w:sz="5" w:space="0" w:color="000000"/>
            </w:tcBorders>
            <w:shd w:val="clear" w:color="auto" w:fill="FFFFCC"/>
          </w:tcPr>
          <w:p w14:paraId="676E22E8" w14:textId="77777777" w:rsidR="00DA5F7E" w:rsidRPr="00EC7A17" w:rsidRDefault="00DA5F7E" w:rsidP="00DA5F7E">
            <w:pPr>
              <w:pStyle w:val="Default"/>
              <w:jc w:val="center"/>
              <w:rPr>
                <w:rFonts w:ascii="Times New Roman" w:hAnsi="Times New Roman" w:cs="Times New Roman"/>
                <w:color w:val="auto"/>
                <w:sz w:val="22"/>
                <w:szCs w:val="22"/>
                <w:lang w:val="en-NZ"/>
              </w:rPr>
            </w:pPr>
          </w:p>
        </w:tc>
      </w:tr>
      <w:tr w:rsidR="00DA5F7E" w:rsidRPr="00EC7A17" w14:paraId="1A05E7C1" w14:textId="77777777" w:rsidTr="00DA5F7E">
        <w:trPr>
          <w:trHeight w:val="47"/>
        </w:trPr>
        <w:tc>
          <w:tcPr>
            <w:tcW w:w="1607" w:type="dxa"/>
            <w:vMerge w:val="restart"/>
            <w:tcBorders>
              <w:top w:val="single" w:sz="5" w:space="0" w:color="000000"/>
              <w:left w:val="single" w:sz="5" w:space="0" w:color="000000"/>
              <w:right w:val="single" w:sz="5" w:space="0" w:color="000000"/>
            </w:tcBorders>
          </w:tcPr>
          <w:p w14:paraId="74E50F9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Registration and protocol</w:t>
            </w:r>
          </w:p>
        </w:tc>
        <w:tc>
          <w:tcPr>
            <w:tcW w:w="656" w:type="dxa"/>
            <w:tcBorders>
              <w:top w:val="single" w:sz="5" w:space="0" w:color="000000"/>
              <w:left w:val="single" w:sz="5" w:space="0" w:color="000000"/>
              <w:bottom w:val="single" w:sz="5" w:space="0" w:color="000000"/>
              <w:right w:val="single" w:sz="5" w:space="0" w:color="000000"/>
            </w:tcBorders>
          </w:tcPr>
          <w:p w14:paraId="1292EEA4"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24a</w:t>
            </w:r>
          </w:p>
        </w:tc>
        <w:tc>
          <w:tcPr>
            <w:tcW w:w="10205" w:type="dxa"/>
            <w:tcBorders>
              <w:top w:val="single" w:sz="5" w:space="0" w:color="000000"/>
              <w:left w:val="single" w:sz="5" w:space="0" w:color="000000"/>
              <w:bottom w:val="single" w:sz="5" w:space="0" w:color="000000"/>
              <w:right w:val="single" w:sz="5" w:space="0" w:color="000000"/>
            </w:tcBorders>
          </w:tcPr>
          <w:p w14:paraId="29D9CFA3"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Provide registration information for the review, including register name and registration number, or state that the review was not registered.</w:t>
            </w:r>
          </w:p>
        </w:tc>
        <w:tc>
          <w:tcPr>
            <w:tcW w:w="2192" w:type="dxa"/>
            <w:tcBorders>
              <w:top w:val="single" w:sz="5" w:space="0" w:color="000000"/>
              <w:left w:val="single" w:sz="5" w:space="0" w:color="000000"/>
              <w:bottom w:val="single" w:sz="5" w:space="0" w:color="000000"/>
              <w:right w:val="single" w:sz="5" w:space="0" w:color="000000"/>
            </w:tcBorders>
          </w:tcPr>
          <w:p w14:paraId="23FF73B0"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Protocol and registration</w:t>
            </w:r>
          </w:p>
        </w:tc>
      </w:tr>
      <w:tr w:rsidR="00DA5F7E" w:rsidRPr="00EC7A17" w14:paraId="6499F05F" w14:textId="77777777" w:rsidTr="00DA5F7E">
        <w:trPr>
          <w:trHeight w:val="56"/>
        </w:trPr>
        <w:tc>
          <w:tcPr>
            <w:tcW w:w="1607" w:type="dxa"/>
            <w:vMerge/>
            <w:tcBorders>
              <w:left w:val="single" w:sz="5" w:space="0" w:color="000000"/>
              <w:right w:val="single" w:sz="5" w:space="0" w:color="000000"/>
            </w:tcBorders>
          </w:tcPr>
          <w:p w14:paraId="6F988F28"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4AB8ECA3"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24b</w:t>
            </w:r>
          </w:p>
        </w:tc>
        <w:tc>
          <w:tcPr>
            <w:tcW w:w="10205" w:type="dxa"/>
            <w:tcBorders>
              <w:top w:val="single" w:sz="5" w:space="0" w:color="000000"/>
              <w:left w:val="single" w:sz="5" w:space="0" w:color="000000"/>
              <w:bottom w:val="single" w:sz="5" w:space="0" w:color="000000"/>
              <w:right w:val="single" w:sz="5" w:space="0" w:color="000000"/>
            </w:tcBorders>
          </w:tcPr>
          <w:p w14:paraId="335B13D7"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Indicate where the review protocol can be accessed, or state that a protocol was not prepared.</w:t>
            </w:r>
          </w:p>
        </w:tc>
        <w:tc>
          <w:tcPr>
            <w:tcW w:w="2192" w:type="dxa"/>
            <w:tcBorders>
              <w:top w:val="single" w:sz="5" w:space="0" w:color="000000"/>
              <w:left w:val="single" w:sz="5" w:space="0" w:color="000000"/>
              <w:bottom w:val="single" w:sz="5" w:space="0" w:color="000000"/>
              <w:right w:val="single" w:sz="5" w:space="0" w:color="000000"/>
            </w:tcBorders>
          </w:tcPr>
          <w:p w14:paraId="4814E4CA"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Methods: Protocol and registration</w:t>
            </w:r>
          </w:p>
        </w:tc>
      </w:tr>
      <w:tr w:rsidR="00DA5F7E" w:rsidRPr="00EC7A17" w14:paraId="1AC94A85" w14:textId="77777777" w:rsidTr="00DA5F7E">
        <w:trPr>
          <w:trHeight w:val="47"/>
        </w:trPr>
        <w:tc>
          <w:tcPr>
            <w:tcW w:w="1607" w:type="dxa"/>
            <w:vMerge/>
            <w:tcBorders>
              <w:left w:val="single" w:sz="5" w:space="0" w:color="000000"/>
              <w:bottom w:val="single" w:sz="5" w:space="0" w:color="000000"/>
              <w:right w:val="single" w:sz="5" w:space="0" w:color="000000"/>
            </w:tcBorders>
          </w:tcPr>
          <w:p w14:paraId="00A7684C" w14:textId="77777777" w:rsidR="00DA5F7E" w:rsidRPr="00EC7A17" w:rsidRDefault="00DA5F7E" w:rsidP="00DA5F7E">
            <w:pPr>
              <w:pStyle w:val="Default"/>
              <w:spacing w:before="40" w:after="40"/>
              <w:rPr>
                <w:rFonts w:ascii="Times New Roman" w:hAnsi="Times New Roman" w:cs="Times New Roman"/>
                <w:sz w:val="22"/>
                <w:szCs w:val="22"/>
                <w:lang w:val="en-NZ"/>
              </w:rPr>
            </w:pPr>
          </w:p>
        </w:tc>
        <w:tc>
          <w:tcPr>
            <w:tcW w:w="656" w:type="dxa"/>
            <w:tcBorders>
              <w:top w:val="single" w:sz="5" w:space="0" w:color="000000"/>
              <w:left w:val="single" w:sz="5" w:space="0" w:color="000000"/>
              <w:bottom w:val="single" w:sz="5" w:space="0" w:color="000000"/>
              <w:right w:val="single" w:sz="5" w:space="0" w:color="000000"/>
            </w:tcBorders>
          </w:tcPr>
          <w:p w14:paraId="3158E1C9"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24c</w:t>
            </w:r>
          </w:p>
        </w:tc>
        <w:tc>
          <w:tcPr>
            <w:tcW w:w="10205" w:type="dxa"/>
            <w:tcBorders>
              <w:top w:val="single" w:sz="5" w:space="0" w:color="000000"/>
              <w:left w:val="single" w:sz="5" w:space="0" w:color="000000"/>
              <w:bottom w:val="single" w:sz="5" w:space="0" w:color="000000"/>
              <w:right w:val="single" w:sz="5" w:space="0" w:color="000000"/>
            </w:tcBorders>
          </w:tcPr>
          <w:p w14:paraId="39DA9C03"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and explain any amendments to information provided at registration or in the protocol.</w:t>
            </w:r>
          </w:p>
        </w:tc>
        <w:tc>
          <w:tcPr>
            <w:tcW w:w="2192" w:type="dxa"/>
            <w:tcBorders>
              <w:top w:val="single" w:sz="5" w:space="0" w:color="000000"/>
              <w:left w:val="single" w:sz="5" w:space="0" w:color="000000"/>
              <w:bottom w:val="single" w:sz="5" w:space="0" w:color="000000"/>
              <w:right w:val="single" w:sz="5" w:space="0" w:color="000000"/>
            </w:tcBorders>
          </w:tcPr>
          <w:p w14:paraId="129FE2B7"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N/A</w:t>
            </w:r>
          </w:p>
        </w:tc>
      </w:tr>
      <w:tr w:rsidR="00DA5F7E" w:rsidRPr="00EC7A17" w14:paraId="0A044B26"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373C8118"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Support</w:t>
            </w:r>
          </w:p>
        </w:tc>
        <w:tc>
          <w:tcPr>
            <w:tcW w:w="656" w:type="dxa"/>
            <w:tcBorders>
              <w:top w:val="single" w:sz="5" w:space="0" w:color="000000"/>
              <w:left w:val="single" w:sz="5" w:space="0" w:color="000000"/>
              <w:bottom w:val="single" w:sz="5" w:space="0" w:color="000000"/>
              <w:right w:val="single" w:sz="5" w:space="0" w:color="000000"/>
            </w:tcBorders>
          </w:tcPr>
          <w:p w14:paraId="27315913"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25</w:t>
            </w:r>
          </w:p>
        </w:tc>
        <w:tc>
          <w:tcPr>
            <w:tcW w:w="10205" w:type="dxa"/>
            <w:tcBorders>
              <w:top w:val="single" w:sz="5" w:space="0" w:color="000000"/>
              <w:left w:val="single" w:sz="5" w:space="0" w:color="000000"/>
              <w:bottom w:val="single" w:sz="5" w:space="0" w:color="000000"/>
              <w:right w:val="single" w:sz="5" w:space="0" w:color="000000"/>
            </w:tcBorders>
          </w:tcPr>
          <w:p w14:paraId="2B330233"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Describe sources of financial or non-financial support for the review, and the role of the funders or sponsors in the review.</w:t>
            </w:r>
          </w:p>
        </w:tc>
        <w:tc>
          <w:tcPr>
            <w:tcW w:w="2192" w:type="dxa"/>
            <w:tcBorders>
              <w:top w:val="single" w:sz="5" w:space="0" w:color="000000"/>
              <w:left w:val="single" w:sz="5" w:space="0" w:color="000000"/>
              <w:bottom w:val="single" w:sz="5" w:space="0" w:color="000000"/>
              <w:right w:val="single" w:sz="5" w:space="0" w:color="000000"/>
            </w:tcBorders>
          </w:tcPr>
          <w:p w14:paraId="5EE81F44"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Funding: pp 32</w:t>
            </w:r>
          </w:p>
        </w:tc>
      </w:tr>
      <w:tr w:rsidR="00DA5F7E" w:rsidRPr="00EC7A17" w14:paraId="3EFB75AF" w14:textId="77777777" w:rsidTr="00DA5F7E">
        <w:trPr>
          <w:trHeight w:val="47"/>
        </w:trPr>
        <w:tc>
          <w:tcPr>
            <w:tcW w:w="1607" w:type="dxa"/>
            <w:tcBorders>
              <w:top w:val="single" w:sz="5" w:space="0" w:color="000000"/>
              <w:left w:val="single" w:sz="5" w:space="0" w:color="000000"/>
              <w:bottom w:val="single" w:sz="5" w:space="0" w:color="000000"/>
              <w:right w:val="single" w:sz="5" w:space="0" w:color="000000"/>
            </w:tcBorders>
          </w:tcPr>
          <w:p w14:paraId="61C3A34E"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Competing interests</w:t>
            </w:r>
          </w:p>
        </w:tc>
        <w:tc>
          <w:tcPr>
            <w:tcW w:w="656" w:type="dxa"/>
            <w:tcBorders>
              <w:top w:val="single" w:sz="5" w:space="0" w:color="000000"/>
              <w:left w:val="single" w:sz="5" w:space="0" w:color="000000"/>
              <w:bottom w:val="single" w:sz="5" w:space="0" w:color="000000"/>
              <w:right w:val="single" w:sz="5" w:space="0" w:color="000000"/>
            </w:tcBorders>
          </w:tcPr>
          <w:p w14:paraId="295CD183"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26</w:t>
            </w:r>
          </w:p>
        </w:tc>
        <w:tc>
          <w:tcPr>
            <w:tcW w:w="10205" w:type="dxa"/>
            <w:tcBorders>
              <w:top w:val="single" w:sz="5" w:space="0" w:color="000000"/>
              <w:left w:val="single" w:sz="5" w:space="0" w:color="000000"/>
              <w:bottom w:val="single" w:sz="5" w:space="0" w:color="000000"/>
              <w:right w:val="single" w:sz="5" w:space="0" w:color="000000"/>
            </w:tcBorders>
          </w:tcPr>
          <w:p w14:paraId="68DE50D3"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Declare any competing interests of review authors.</w:t>
            </w:r>
          </w:p>
        </w:tc>
        <w:tc>
          <w:tcPr>
            <w:tcW w:w="2192" w:type="dxa"/>
            <w:tcBorders>
              <w:top w:val="single" w:sz="5" w:space="0" w:color="000000"/>
              <w:left w:val="single" w:sz="5" w:space="0" w:color="000000"/>
              <w:bottom w:val="single" w:sz="5" w:space="0" w:color="000000"/>
              <w:right w:val="single" w:sz="5" w:space="0" w:color="000000"/>
            </w:tcBorders>
          </w:tcPr>
          <w:p w14:paraId="33CF9E5F"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Competing interest: pp 32</w:t>
            </w:r>
          </w:p>
        </w:tc>
      </w:tr>
      <w:tr w:rsidR="00DA5F7E" w:rsidRPr="00EC7A17" w14:paraId="0F1EE9A8" w14:textId="77777777" w:rsidTr="00DA5F7E">
        <w:trPr>
          <w:trHeight w:val="218"/>
        </w:trPr>
        <w:tc>
          <w:tcPr>
            <w:tcW w:w="1607" w:type="dxa"/>
            <w:tcBorders>
              <w:top w:val="single" w:sz="5" w:space="0" w:color="000000"/>
              <w:left w:val="single" w:sz="5" w:space="0" w:color="000000"/>
              <w:bottom w:val="double" w:sz="5" w:space="0" w:color="000000"/>
              <w:right w:val="single" w:sz="5" w:space="0" w:color="000000"/>
            </w:tcBorders>
          </w:tcPr>
          <w:p w14:paraId="4FDE85E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Availability of data, code and other materials</w:t>
            </w:r>
          </w:p>
        </w:tc>
        <w:tc>
          <w:tcPr>
            <w:tcW w:w="656" w:type="dxa"/>
            <w:tcBorders>
              <w:top w:val="single" w:sz="5" w:space="0" w:color="000000"/>
              <w:left w:val="single" w:sz="5" w:space="0" w:color="000000"/>
              <w:bottom w:val="double" w:sz="5" w:space="0" w:color="000000"/>
              <w:right w:val="single" w:sz="5" w:space="0" w:color="000000"/>
            </w:tcBorders>
          </w:tcPr>
          <w:p w14:paraId="26C2D145" w14:textId="77777777" w:rsidR="00DA5F7E" w:rsidRPr="00EC7A17" w:rsidRDefault="00DA5F7E" w:rsidP="00DA5F7E">
            <w:pPr>
              <w:pStyle w:val="Default"/>
              <w:spacing w:before="40" w:after="40"/>
              <w:jc w:val="right"/>
              <w:rPr>
                <w:rFonts w:ascii="Times New Roman" w:hAnsi="Times New Roman" w:cs="Times New Roman"/>
                <w:sz w:val="22"/>
                <w:szCs w:val="22"/>
                <w:lang w:val="en-NZ"/>
              </w:rPr>
            </w:pPr>
            <w:r w:rsidRPr="00EC7A17">
              <w:rPr>
                <w:rFonts w:ascii="Times New Roman" w:hAnsi="Times New Roman" w:cs="Times New Roman"/>
                <w:sz w:val="22"/>
                <w:szCs w:val="22"/>
                <w:lang w:val="en-NZ"/>
              </w:rPr>
              <w:t>27</w:t>
            </w:r>
          </w:p>
        </w:tc>
        <w:tc>
          <w:tcPr>
            <w:tcW w:w="10205" w:type="dxa"/>
            <w:tcBorders>
              <w:top w:val="single" w:sz="5" w:space="0" w:color="000000"/>
              <w:left w:val="single" w:sz="5" w:space="0" w:color="000000"/>
              <w:bottom w:val="double" w:sz="5" w:space="0" w:color="000000"/>
              <w:right w:val="single" w:sz="5" w:space="0" w:color="000000"/>
            </w:tcBorders>
          </w:tcPr>
          <w:p w14:paraId="1AE31750" w14:textId="77777777" w:rsidR="00DA5F7E" w:rsidRPr="00EC7A17" w:rsidRDefault="00DA5F7E" w:rsidP="00DA5F7E">
            <w:pPr>
              <w:pStyle w:val="Default"/>
              <w:spacing w:before="40" w:after="40"/>
              <w:rPr>
                <w:rFonts w:ascii="Times New Roman" w:hAnsi="Times New Roman" w:cs="Times New Roman"/>
                <w:sz w:val="22"/>
                <w:szCs w:val="22"/>
                <w:lang w:val="en-NZ"/>
              </w:rPr>
            </w:pPr>
            <w:r w:rsidRPr="00EC7A17">
              <w:rPr>
                <w:rFonts w:ascii="Times New Roman" w:hAnsi="Times New Roman" w:cs="Times New Roman"/>
                <w:sz w:val="22"/>
                <w:szCs w:val="22"/>
                <w:lang w:val="en-NZ"/>
              </w:rPr>
              <w:t>Report which of the following are publicly available and where they can be found: template data collection forms; data extracted from included studies; data used for all analyses; analytic code; any other materials used in the review.</w:t>
            </w:r>
          </w:p>
        </w:tc>
        <w:tc>
          <w:tcPr>
            <w:tcW w:w="2192" w:type="dxa"/>
            <w:tcBorders>
              <w:top w:val="single" w:sz="5" w:space="0" w:color="000000"/>
              <w:left w:val="single" w:sz="5" w:space="0" w:color="000000"/>
              <w:bottom w:val="double" w:sz="5" w:space="0" w:color="000000"/>
              <w:right w:val="single" w:sz="5" w:space="0" w:color="000000"/>
            </w:tcBorders>
          </w:tcPr>
          <w:p w14:paraId="15022A56" w14:textId="77777777" w:rsidR="00DA5F7E" w:rsidRPr="00EC7A17" w:rsidRDefault="00DA5F7E" w:rsidP="00DA5F7E">
            <w:pPr>
              <w:pStyle w:val="Default"/>
              <w:spacing w:before="40" w:after="40"/>
              <w:rPr>
                <w:rFonts w:ascii="Times New Roman" w:hAnsi="Times New Roman" w:cs="Times New Roman"/>
                <w:color w:val="auto"/>
                <w:sz w:val="22"/>
                <w:szCs w:val="22"/>
                <w:lang w:val="en-NZ"/>
              </w:rPr>
            </w:pPr>
            <w:r w:rsidRPr="00EC7A17">
              <w:rPr>
                <w:rFonts w:ascii="Times New Roman" w:hAnsi="Times New Roman" w:cs="Times New Roman"/>
                <w:color w:val="auto"/>
                <w:sz w:val="22"/>
                <w:szCs w:val="22"/>
                <w:lang w:val="en-NZ"/>
              </w:rPr>
              <w:t>Supplementary data</w:t>
            </w:r>
          </w:p>
        </w:tc>
      </w:tr>
    </w:tbl>
    <w:p w14:paraId="2FF67F4A" w14:textId="77777777" w:rsidR="00DA5F7E" w:rsidRPr="00EC7A17" w:rsidRDefault="00DA5F7E" w:rsidP="00DA5F7E">
      <w:pPr>
        <w:spacing w:line="480" w:lineRule="auto"/>
        <w:rPr>
          <w:rFonts w:ascii="Times New Roman" w:hAnsi="Times New Roman" w:cs="Times New Roman"/>
          <w:sz w:val="24"/>
          <w:szCs w:val="24"/>
        </w:rPr>
      </w:pPr>
    </w:p>
    <w:p w14:paraId="2BE8FE14" w14:textId="77777777" w:rsidR="00DA5F7E" w:rsidRDefault="00DA5F7E" w:rsidP="00DA5F7E">
      <w:pPr>
        <w:spacing w:after="60" w:line="480" w:lineRule="auto"/>
        <w:rPr>
          <w:rFonts w:ascii="Times New Roman" w:hAnsi="Times New Roman" w:cs="Times New Roman"/>
          <w:sz w:val="24"/>
          <w:szCs w:val="24"/>
        </w:rPr>
      </w:pPr>
    </w:p>
    <w:p w14:paraId="494581E1" w14:textId="55A16693" w:rsidR="00DA5F7E" w:rsidRPr="00EC7A17" w:rsidRDefault="00DA5F7E" w:rsidP="00DA5F7E">
      <w:pPr>
        <w:spacing w:after="60" w:line="480" w:lineRule="auto"/>
        <w:rPr>
          <w:rFonts w:ascii="Times New Roman" w:hAnsi="Times New Roman" w:cs="Times New Roman"/>
          <w:b/>
          <w:bCs/>
          <w:sz w:val="24"/>
          <w:szCs w:val="24"/>
        </w:rPr>
      </w:pPr>
      <w:r w:rsidRPr="00EC7A17">
        <w:rPr>
          <w:rFonts w:ascii="Times New Roman" w:hAnsi="Times New Roman" w:cs="Times New Roman"/>
          <w:sz w:val="24"/>
          <w:szCs w:val="24"/>
        </w:rPr>
        <w:lastRenderedPageBreak/>
        <w:t>Table S2:</w:t>
      </w:r>
      <w:r w:rsidRPr="00EC7A17">
        <w:rPr>
          <w:rFonts w:ascii="Times New Roman" w:hAnsi="Times New Roman" w:cs="Times New Roman"/>
          <w:b/>
          <w:bCs/>
          <w:sz w:val="24"/>
          <w:szCs w:val="24"/>
        </w:rPr>
        <w:t xml:space="preserve"> </w:t>
      </w:r>
      <w:r w:rsidRPr="00EC7A17">
        <w:rPr>
          <w:rFonts w:ascii="Times New Roman" w:hAnsi="Times New Roman" w:cs="Times New Roman"/>
          <w:sz w:val="24"/>
          <w:szCs w:val="24"/>
        </w:rPr>
        <w:t>Search Strategy</w:t>
      </w:r>
    </w:p>
    <w:tbl>
      <w:tblPr>
        <w:tblStyle w:val="TableGrid"/>
        <w:tblW w:w="0" w:type="auto"/>
        <w:tblLook w:val="04A0" w:firstRow="1" w:lastRow="0" w:firstColumn="1" w:lastColumn="0" w:noHBand="0" w:noVBand="1"/>
      </w:tblPr>
      <w:tblGrid>
        <w:gridCol w:w="3823"/>
        <w:gridCol w:w="8537"/>
      </w:tblGrid>
      <w:tr w:rsidR="00DA5F7E" w:rsidRPr="00EC7A17" w14:paraId="52B173BD" w14:textId="77777777" w:rsidTr="006031D2">
        <w:trPr>
          <w:trHeight w:val="463"/>
        </w:trPr>
        <w:tc>
          <w:tcPr>
            <w:tcW w:w="3823" w:type="dxa"/>
          </w:tcPr>
          <w:p w14:paraId="7F59A26C"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Search database</w:t>
            </w:r>
          </w:p>
        </w:tc>
        <w:tc>
          <w:tcPr>
            <w:tcW w:w="8537" w:type="dxa"/>
          </w:tcPr>
          <w:p w14:paraId="2CB91042"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Search strategy</w:t>
            </w:r>
          </w:p>
        </w:tc>
      </w:tr>
      <w:tr w:rsidR="00DA5F7E" w:rsidRPr="00EC7A17" w14:paraId="5BB4F13C" w14:textId="77777777" w:rsidTr="006031D2">
        <w:trPr>
          <w:trHeight w:val="557"/>
        </w:trPr>
        <w:tc>
          <w:tcPr>
            <w:tcW w:w="3823" w:type="dxa"/>
          </w:tcPr>
          <w:p w14:paraId="7CB2099A"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Ovid Medline</w:t>
            </w:r>
          </w:p>
        </w:tc>
        <w:tc>
          <w:tcPr>
            <w:tcW w:w="8537" w:type="dxa"/>
          </w:tcPr>
          <w:p w14:paraId="55274105"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1) Mesh term [/Diabetes, Gestational/]</w:t>
            </w:r>
          </w:p>
          <w:p w14:paraId="5DF64231"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2) ("gestational diabetes" or </w:t>
            </w:r>
            <w:proofErr w:type="spellStart"/>
            <w:r w:rsidRPr="00EC7A17">
              <w:rPr>
                <w:rFonts w:ascii="Times New Roman" w:hAnsi="Times New Roman" w:cs="Times New Roman"/>
              </w:rPr>
              <w:t>gdm</w:t>
            </w:r>
            <w:proofErr w:type="spellEnd"/>
            <w:r w:rsidRPr="00EC7A17">
              <w:rPr>
                <w:rFonts w:ascii="Times New Roman" w:hAnsi="Times New Roman" w:cs="Times New Roman"/>
              </w:rPr>
              <w:t xml:space="preserve"> or "gestational diabetes mellitus" or "diabetes in pregnancy" or "diabetes in pregnancy" or “hyperglycaemia” or “glucose intolerance” or “insulin resistance”).</w:t>
            </w:r>
            <w:proofErr w:type="spellStart"/>
            <w:r w:rsidRPr="00EC7A17">
              <w:rPr>
                <w:rFonts w:ascii="Times New Roman" w:hAnsi="Times New Roman" w:cs="Times New Roman"/>
              </w:rPr>
              <w:t>mp</w:t>
            </w:r>
            <w:proofErr w:type="spellEnd"/>
            <w:r w:rsidRPr="00EC7A17">
              <w:rPr>
                <w:rFonts w:ascii="Times New Roman" w:hAnsi="Times New Roman" w:cs="Times New Roman"/>
              </w:rPr>
              <w:t>. [</w:t>
            </w:r>
            <w:proofErr w:type="spellStart"/>
            <w:r w:rsidRPr="00EC7A17">
              <w:rPr>
                <w:rFonts w:ascii="Times New Roman" w:hAnsi="Times New Roman" w:cs="Times New Roman"/>
              </w:rPr>
              <w:t>mp</w:t>
            </w:r>
            <w:proofErr w:type="spellEnd"/>
            <w:r w:rsidRPr="00EC7A17">
              <w:rPr>
                <w:rFonts w:ascii="Times New Roman" w:hAnsi="Times New Roman" w:cs="Times New Roman"/>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p w14:paraId="4B5648C9"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3) 1 or 2</w:t>
            </w:r>
          </w:p>
          <w:p w14:paraId="483331F1"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4) </w:t>
            </w:r>
            <w:proofErr w:type="spellStart"/>
            <w:r w:rsidRPr="00EC7A17">
              <w:rPr>
                <w:rFonts w:ascii="Times New Roman" w:hAnsi="Times New Roman" w:cs="Times New Roman"/>
              </w:rPr>
              <w:t>MeSH</w:t>
            </w:r>
            <w:proofErr w:type="spellEnd"/>
            <w:r w:rsidRPr="00EC7A17">
              <w:rPr>
                <w:rFonts w:ascii="Times New Roman" w:hAnsi="Times New Roman" w:cs="Times New Roman"/>
              </w:rPr>
              <w:t xml:space="preserve"> term [Practice Guideline/ or Guideline/]</w:t>
            </w:r>
          </w:p>
          <w:p w14:paraId="6F0FCC1B"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5 ("guideline*" or "practice guideline*" or "clinical practice guideline*" or recommendation* or consensus or "clinical guideline*" or criteria or "standards of care").</w:t>
            </w:r>
            <w:proofErr w:type="spellStart"/>
            <w:r w:rsidRPr="00EC7A17">
              <w:rPr>
                <w:rFonts w:ascii="Times New Roman" w:hAnsi="Times New Roman" w:cs="Times New Roman"/>
              </w:rPr>
              <w:t>mp</w:t>
            </w:r>
            <w:proofErr w:type="spellEnd"/>
            <w:r w:rsidRPr="00EC7A17">
              <w:rPr>
                <w:rFonts w:ascii="Times New Roman" w:hAnsi="Times New Roman" w:cs="Times New Roman"/>
              </w:rPr>
              <w:t>. [</w:t>
            </w:r>
            <w:proofErr w:type="spellStart"/>
            <w:r w:rsidRPr="00EC7A17">
              <w:rPr>
                <w:rFonts w:ascii="Times New Roman" w:hAnsi="Times New Roman" w:cs="Times New Roman"/>
              </w:rPr>
              <w:t>mp</w:t>
            </w:r>
            <w:proofErr w:type="spellEnd"/>
            <w:r w:rsidRPr="00EC7A17">
              <w:rPr>
                <w:rFonts w:ascii="Times New Roman" w:hAnsi="Times New Roman" w:cs="Times New Roman"/>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p w14:paraId="4C1614AE"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6) 4 or 5</w:t>
            </w:r>
          </w:p>
          <w:p w14:paraId="06242E35"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7) 3 and 6</w:t>
            </w:r>
          </w:p>
          <w:p w14:paraId="350D564F"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8) limit 7 to (</w:t>
            </w:r>
            <w:proofErr w:type="spellStart"/>
            <w:r w:rsidRPr="00EC7A17">
              <w:rPr>
                <w:rFonts w:ascii="Times New Roman" w:hAnsi="Times New Roman" w:cs="Times New Roman"/>
              </w:rPr>
              <w:t>english</w:t>
            </w:r>
            <w:proofErr w:type="spellEnd"/>
            <w:r w:rsidRPr="00EC7A17">
              <w:rPr>
                <w:rFonts w:ascii="Times New Roman" w:hAnsi="Times New Roman" w:cs="Times New Roman"/>
              </w:rPr>
              <w:t xml:space="preserve"> language and </w:t>
            </w:r>
            <w:proofErr w:type="spellStart"/>
            <w:r w:rsidRPr="00EC7A17">
              <w:rPr>
                <w:rFonts w:ascii="Times New Roman" w:hAnsi="Times New Roman" w:cs="Times New Roman"/>
              </w:rPr>
              <w:t>yr</w:t>
            </w:r>
            <w:proofErr w:type="spellEnd"/>
            <w:r w:rsidRPr="00EC7A17">
              <w:rPr>
                <w:rFonts w:ascii="Times New Roman" w:hAnsi="Times New Roman" w:cs="Times New Roman"/>
              </w:rPr>
              <w:t>="2012 -Current")</w:t>
            </w:r>
          </w:p>
        </w:tc>
      </w:tr>
      <w:tr w:rsidR="00DA5F7E" w:rsidRPr="00EC7A17" w14:paraId="66D056CC" w14:textId="77777777" w:rsidTr="006031D2">
        <w:trPr>
          <w:trHeight w:val="557"/>
        </w:trPr>
        <w:tc>
          <w:tcPr>
            <w:tcW w:w="3823" w:type="dxa"/>
          </w:tcPr>
          <w:p w14:paraId="47977126"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EMBASE</w:t>
            </w:r>
          </w:p>
        </w:tc>
        <w:tc>
          <w:tcPr>
            <w:tcW w:w="8537" w:type="dxa"/>
          </w:tcPr>
          <w:p w14:paraId="17DC9D4B"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1) </w:t>
            </w:r>
            <w:proofErr w:type="spellStart"/>
            <w:r w:rsidRPr="00EC7A17">
              <w:rPr>
                <w:rFonts w:ascii="Times New Roman" w:hAnsi="Times New Roman" w:cs="Times New Roman"/>
              </w:rPr>
              <w:t>MeSH</w:t>
            </w:r>
            <w:proofErr w:type="spellEnd"/>
            <w:r w:rsidRPr="00EC7A17">
              <w:rPr>
                <w:rFonts w:ascii="Times New Roman" w:hAnsi="Times New Roman" w:cs="Times New Roman"/>
              </w:rPr>
              <w:t xml:space="preserve"> term [/pregnancy diabetes mellitus/]</w:t>
            </w:r>
          </w:p>
          <w:p w14:paraId="058AFB99"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2) </w:t>
            </w:r>
            <w:proofErr w:type="spellStart"/>
            <w:r w:rsidRPr="00EC7A17">
              <w:rPr>
                <w:rFonts w:ascii="Times New Roman" w:hAnsi="Times New Roman" w:cs="Times New Roman"/>
              </w:rPr>
              <w:t>MeSH</w:t>
            </w:r>
            <w:proofErr w:type="spellEnd"/>
            <w:r w:rsidRPr="00EC7A17">
              <w:rPr>
                <w:rFonts w:ascii="Times New Roman" w:hAnsi="Times New Roman" w:cs="Times New Roman"/>
              </w:rPr>
              <w:t xml:space="preserve"> term [/diabetes mellitus/]</w:t>
            </w:r>
          </w:p>
          <w:p w14:paraId="3FE2DCA5"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lastRenderedPageBreak/>
              <w:t xml:space="preserve">3) ("gestational diabetes" or </w:t>
            </w:r>
            <w:proofErr w:type="spellStart"/>
            <w:r w:rsidRPr="00EC7A17">
              <w:rPr>
                <w:rFonts w:ascii="Times New Roman" w:hAnsi="Times New Roman" w:cs="Times New Roman"/>
              </w:rPr>
              <w:t>gdm</w:t>
            </w:r>
            <w:proofErr w:type="spellEnd"/>
            <w:r w:rsidRPr="00EC7A17">
              <w:rPr>
                <w:rFonts w:ascii="Times New Roman" w:hAnsi="Times New Roman" w:cs="Times New Roman"/>
              </w:rPr>
              <w:t xml:space="preserve"> or "gestational diabetes mellitus" or "diabetes in pregnancy").</w:t>
            </w:r>
            <w:proofErr w:type="spellStart"/>
            <w:r w:rsidRPr="00EC7A17">
              <w:rPr>
                <w:rFonts w:ascii="Times New Roman" w:hAnsi="Times New Roman" w:cs="Times New Roman"/>
              </w:rPr>
              <w:t>mp</w:t>
            </w:r>
            <w:proofErr w:type="spellEnd"/>
            <w:r w:rsidRPr="00EC7A17">
              <w:rPr>
                <w:rFonts w:ascii="Times New Roman" w:hAnsi="Times New Roman" w:cs="Times New Roman"/>
              </w:rPr>
              <w:t>. [</w:t>
            </w:r>
            <w:proofErr w:type="spellStart"/>
            <w:r w:rsidRPr="00EC7A17">
              <w:rPr>
                <w:rFonts w:ascii="Times New Roman" w:hAnsi="Times New Roman" w:cs="Times New Roman"/>
              </w:rPr>
              <w:t>mp</w:t>
            </w:r>
            <w:proofErr w:type="spellEnd"/>
            <w:r w:rsidRPr="00EC7A17">
              <w:rPr>
                <w:rFonts w:ascii="Times New Roman" w:hAnsi="Times New Roman" w:cs="Times New Roman"/>
              </w:rPr>
              <w:t>=title, abstract, heading word, drug trade name, original title, device manufacturer, drug manufacturer, device trade name, keyword heading word, floating subheading word, candidate term word]</w:t>
            </w:r>
          </w:p>
          <w:p w14:paraId="7D378B64"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4) 1 or 2 or 3</w:t>
            </w:r>
          </w:p>
          <w:p w14:paraId="56EB7948"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5) </w:t>
            </w:r>
            <w:proofErr w:type="spellStart"/>
            <w:r w:rsidRPr="00EC7A17">
              <w:rPr>
                <w:rFonts w:ascii="Times New Roman" w:hAnsi="Times New Roman" w:cs="Times New Roman"/>
              </w:rPr>
              <w:t>MeSH</w:t>
            </w:r>
            <w:proofErr w:type="spellEnd"/>
            <w:r w:rsidRPr="00EC7A17">
              <w:rPr>
                <w:rFonts w:ascii="Times New Roman" w:hAnsi="Times New Roman" w:cs="Times New Roman"/>
              </w:rPr>
              <w:t xml:space="preserve"> term [/practice guideline/]</w:t>
            </w:r>
          </w:p>
          <w:p w14:paraId="2298A609"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6) ("guideline*" or "practice guideline*" or "clinical practice guideline*" or recommendation* or consensus or "clinical guideline*" or criteria or "standards of care").</w:t>
            </w:r>
            <w:proofErr w:type="spellStart"/>
            <w:r w:rsidRPr="00EC7A17">
              <w:rPr>
                <w:rFonts w:ascii="Times New Roman" w:hAnsi="Times New Roman" w:cs="Times New Roman"/>
              </w:rPr>
              <w:t>mp</w:t>
            </w:r>
            <w:proofErr w:type="spellEnd"/>
            <w:r w:rsidRPr="00EC7A17">
              <w:rPr>
                <w:rFonts w:ascii="Times New Roman" w:hAnsi="Times New Roman" w:cs="Times New Roman"/>
              </w:rPr>
              <w:t>. [</w:t>
            </w:r>
            <w:proofErr w:type="spellStart"/>
            <w:r w:rsidRPr="00EC7A17">
              <w:rPr>
                <w:rFonts w:ascii="Times New Roman" w:hAnsi="Times New Roman" w:cs="Times New Roman"/>
              </w:rPr>
              <w:t>mp</w:t>
            </w:r>
            <w:proofErr w:type="spellEnd"/>
            <w:r w:rsidRPr="00EC7A17">
              <w:rPr>
                <w:rFonts w:ascii="Times New Roman" w:hAnsi="Times New Roman" w:cs="Times New Roman"/>
              </w:rPr>
              <w:t>=title, abstract, heading word, drug trade name, original title, device manufacturer, drug manufacturer, device trade name, keyword heading word, floating subheading word, candidate term word]</w:t>
            </w:r>
          </w:p>
          <w:p w14:paraId="552669CE"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7) 5 or 6</w:t>
            </w:r>
          </w:p>
          <w:p w14:paraId="3DB5E911"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8) 4 and 7</w:t>
            </w:r>
          </w:p>
          <w:p w14:paraId="06BAF3DE"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9) 7 and 810) </w:t>
            </w:r>
          </w:p>
          <w:p w14:paraId="4D2A3216"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10) limit 9 to (</w:t>
            </w:r>
            <w:proofErr w:type="spellStart"/>
            <w:r w:rsidRPr="00EC7A17">
              <w:rPr>
                <w:rFonts w:ascii="Times New Roman" w:hAnsi="Times New Roman" w:cs="Times New Roman"/>
              </w:rPr>
              <w:t>english</w:t>
            </w:r>
            <w:proofErr w:type="spellEnd"/>
            <w:r w:rsidRPr="00EC7A17">
              <w:rPr>
                <w:rFonts w:ascii="Times New Roman" w:hAnsi="Times New Roman" w:cs="Times New Roman"/>
              </w:rPr>
              <w:t xml:space="preserve"> language and </w:t>
            </w:r>
            <w:proofErr w:type="spellStart"/>
            <w:r w:rsidRPr="00EC7A17">
              <w:rPr>
                <w:rFonts w:ascii="Times New Roman" w:hAnsi="Times New Roman" w:cs="Times New Roman"/>
              </w:rPr>
              <w:t>yr</w:t>
            </w:r>
            <w:proofErr w:type="spellEnd"/>
            <w:r w:rsidRPr="00EC7A17">
              <w:rPr>
                <w:rFonts w:ascii="Times New Roman" w:hAnsi="Times New Roman" w:cs="Times New Roman"/>
              </w:rPr>
              <w:t xml:space="preserve"> = "2012 -Current")</w:t>
            </w:r>
          </w:p>
        </w:tc>
      </w:tr>
      <w:tr w:rsidR="00DA5F7E" w:rsidRPr="00EC7A17" w14:paraId="633AB269" w14:textId="77777777" w:rsidTr="006031D2">
        <w:trPr>
          <w:trHeight w:val="148"/>
        </w:trPr>
        <w:tc>
          <w:tcPr>
            <w:tcW w:w="3823" w:type="dxa"/>
          </w:tcPr>
          <w:p w14:paraId="619EC406"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lastRenderedPageBreak/>
              <w:t>CINAHL Complete</w:t>
            </w:r>
          </w:p>
        </w:tc>
        <w:tc>
          <w:tcPr>
            <w:tcW w:w="8537" w:type="dxa"/>
          </w:tcPr>
          <w:p w14:paraId="22D2F3F2"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1) “gestational diabetes" OR </w:t>
            </w:r>
            <w:proofErr w:type="spellStart"/>
            <w:r w:rsidRPr="00EC7A17">
              <w:rPr>
                <w:rFonts w:ascii="Times New Roman" w:hAnsi="Times New Roman" w:cs="Times New Roman"/>
              </w:rPr>
              <w:t>gdm</w:t>
            </w:r>
            <w:proofErr w:type="spellEnd"/>
            <w:r w:rsidRPr="00EC7A17">
              <w:rPr>
                <w:rFonts w:ascii="Times New Roman" w:hAnsi="Times New Roman" w:cs="Times New Roman"/>
              </w:rPr>
              <w:t xml:space="preserve"> OR "gestational diabetes mellitus" OR "diabetes in pregnancy"</w:t>
            </w:r>
          </w:p>
          <w:p w14:paraId="11E5559F"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2) "guideline*" OR "practice guideline*" OR "clinical practice guideline*" OR recommendation OR consensus OR standard* OR criteria </w:t>
            </w:r>
          </w:p>
          <w:p w14:paraId="26126BE9"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1 AND 2 </w:t>
            </w:r>
          </w:p>
          <w:p w14:paraId="2BC2977F"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Filter for: Language (English), Publication year (2012 to 2023)</w:t>
            </w:r>
          </w:p>
        </w:tc>
      </w:tr>
      <w:tr w:rsidR="00DA5F7E" w:rsidRPr="00EC7A17" w14:paraId="318EC6E2" w14:textId="77777777" w:rsidTr="006031D2">
        <w:trPr>
          <w:trHeight w:val="148"/>
        </w:trPr>
        <w:tc>
          <w:tcPr>
            <w:tcW w:w="3823" w:type="dxa"/>
          </w:tcPr>
          <w:p w14:paraId="5DDB46BA"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Guideline International Network</w:t>
            </w:r>
          </w:p>
        </w:tc>
        <w:tc>
          <w:tcPr>
            <w:tcW w:w="8537" w:type="dxa"/>
          </w:tcPr>
          <w:p w14:paraId="40352C94"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Keyword searches: </w:t>
            </w:r>
          </w:p>
          <w:p w14:paraId="52FC0FE4"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“diabetes” “gestational diabetes” “diabetes in pregnancy”</w:t>
            </w:r>
          </w:p>
          <w:p w14:paraId="2AFA8DC6"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lastRenderedPageBreak/>
              <w:t>“postnatal” “postpartum”</w:t>
            </w:r>
          </w:p>
          <w:p w14:paraId="691DA6A4"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Filter: English</w:t>
            </w:r>
          </w:p>
        </w:tc>
      </w:tr>
      <w:tr w:rsidR="00DA5F7E" w:rsidRPr="00EC7A17" w14:paraId="1B4E8738" w14:textId="77777777" w:rsidTr="006031D2">
        <w:trPr>
          <w:trHeight w:val="803"/>
        </w:trPr>
        <w:tc>
          <w:tcPr>
            <w:tcW w:w="3823" w:type="dxa"/>
          </w:tcPr>
          <w:p w14:paraId="4D7095C1"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lastRenderedPageBreak/>
              <w:t>National Institute for Health and Clinical Excellence (NICE)</w:t>
            </w:r>
          </w:p>
          <w:p w14:paraId="732DFC27" w14:textId="77777777" w:rsidR="00DA5F7E" w:rsidRPr="00EC7A17" w:rsidRDefault="00DA5F7E" w:rsidP="00DA5F7E">
            <w:pPr>
              <w:spacing w:line="276" w:lineRule="auto"/>
              <w:rPr>
                <w:rFonts w:ascii="Times New Roman" w:hAnsi="Times New Roman" w:cs="Times New Roman"/>
              </w:rPr>
            </w:pPr>
          </w:p>
        </w:tc>
        <w:tc>
          <w:tcPr>
            <w:tcW w:w="8537" w:type="dxa"/>
          </w:tcPr>
          <w:p w14:paraId="462F6BB7"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Keyword searches: </w:t>
            </w:r>
          </w:p>
          <w:p w14:paraId="24441596" w14:textId="77777777" w:rsidR="00DA5F7E" w:rsidRPr="00EC7A17" w:rsidRDefault="00DA5F7E" w:rsidP="00DA5F7E">
            <w:pPr>
              <w:spacing w:line="276" w:lineRule="auto"/>
              <w:rPr>
                <w:rFonts w:ascii="Times New Roman" w:hAnsi="Times New Roman" w:cs="Times New Roman"/>
              </w:rPr>
            </w:pPr>
            <w:r w:rsidRPr="00EC7A17">
              <w:rPr>
                <w:rFonts w:ascii="Times New Roman" w:hAnsi="Times New Roman" w:cs="Times New Roman"/>
              </w:rPr>
              <w:t xml:space="preserve">“diabetes” “gestational diabetes” </w:t>
            </w:r>
          </w:p>
          <w:p w14:paraId="62FCE79E" w14:textId="77777777" w:rsidR="00DA5F7E" w:rsidRPr="00EC7A17" w:rsidRDefault="00DA5F7E" w:rsidP="00DA5F7E">
            <w:pPr>
              <w:spacing w:line="276" w:lineRule="auto"/>
              <w:rPr>
                <w:rFonts w:ascii="Times New Roman" w:hAnsi="Times New Roman" w:cs="Times New Roman"/>
                <w:b/>
                <w:bCs/>
              </w:rPr>
            </w:pPr>
            <w:r w:rsidRPr="00EC7A17">
              <w:rPr>
                <w:rFonts w:ascii="Times New Roman" w:hAnsi="Times New Roman" w:cs="Times New Roman"/>
              </w:rPr>
              <w:t>Filter: guideline</w:t>
            </w:r>
          </w:p>
        </w:tc>
      </w:tr>
    </w:tbl>
    <w:p w14:paraId="2D3FB042" w14:textId="77777777" w:rsidR="00DA5F7E" w:rsidRDefault="00DA5F7E"/>
    <w:p w14:paraId="727F119F" w14:textId="77777777" w:rsidR="00DA5F7E" w:rsidRDefault="00DA5F7E"/>
    <w:p w14:paraId="39B58812" w14:textId="77777777" w:rsidR="00DA5F7E" w:rsidRPr="00EC7A17" w:rsidRDefault="00DA5F7E" w:rsidP="00DA5F7E">
      <w:pPr>
        <w:spacing w:after="120" w:line="276" w:lineRule="auto"/>
        <w:rPr>
          <w:rFonts w:ascii="Times New Roman" w:hAnsi="Times New Roman" w:cs="Times New Roman"/>
          <w:sz w:val="24"/>
          <w:szCs w:val="24"/>
        </w:rPr>
      </w:pPr>
      <w:r w:rsidRPr="00EC7A17">
        <w:rPr>
          <w:rFonts w:ascii="Times New Roman" w:hAnsi="Times New Roman" w:cs="Times New Roman"/>
          <w:sz w:val="24"/>
          <w:szCs w:val="24"/>
        </w:rPr>
        <w:t>Table S3:</w:t>
      </w:r>
      <w:r w:rsidRPr="00EC7A17">
        <w:rPr>
          <w:rFonts w:ascii="Times New Roman" w:hAnsi="Times New Roman" w:cs="Times New Roman"/>
          <w:b/>
          <w:bCs/>
          <w:sz w:val="24"/>
          <w:szCs w:val="24"/>
        </w:rPr>
        <w:t xml:space="preserve"> </w:t>
      </w:r>
      <w:r w:rsidRPr="00EC7A17">
        <w:rPr>
          <w:rFonts w:ascii="Times New Roman" w:hAnsi="Times New Roman" w:cs="Times New Roman"/>
          <w:sz w:val="24"/>
          <w:szCs w:val="24"/>
        </w:rPr>
        <w:t>Conversion of certainty of evidence base of recommendations to GRADE</w:t>
      </w:r>
    </w:p>
    <w:tbl>
      <w:tblPr>
        <w:tblStyle w:val="TableGrid"/>
        <w:tblW w:w="0" w:type="auto"/>
        <w:tblLook w:val="04A0" w:firstRow="1" w:lastRow="0" w:firstColumn="1" w:lastColumn="0" w:noHBand="0" w:noVBand="1"/>
      </w:tblPr>
      <w:tblGrid>
        <w:gridCol w:w="1351"/>
        <w:gridCol w:w="1324"/>
        <w:gridCol w:w="810"/>
        <w:gridCol w:w="1782"/>
        <w:gridCol w:w="1602"/>
        <w:gridCol w:w="1198"/>
        <w:gridCol w:w="1464"/>
        <w:gridCol w:w="1067"/>
        <w:gridCol w:w="1066"/>
        <w:gridCol w:w="921"/>
        <w:gridCol w:w="1087"/>
      </w:tblGrid>
      <w:tr w:rsidR="00DA5F7E" w:rsidRPr="00EC7A17" w14:paraId="0559FD2A" w14:textId="77777777" w:rsidTr="006031D2">
        <w:trPr>
          <w:trHeight w:val="934"/>
        </w:trPr>
        <w:tc>
          <w:tcPr>
            <w:tcW w:w="1351" w:type="dxa"/>
          </w:tcPr>
          <w:p w14:paraId="568B5385" w14:textId="77777777" w:rsidR="00DA5F7E" w:rsidRPr="00EC7A17" w:rsidRDefault="00DA5F7E" w:rsidP="006031D2">
            <w:pPr>
              <w:spacing w:line="276" w:lineRule="auto"/>
              <w:rPr>
                <w:rFonts w:ascii="Times New Roman" w:hAnsi="Times New Roman" w:cs="Times New Roman"/>
                <w:b/>
                <w:bCs/>
              </w:rPr>
            </w:pPr>
          </w:p>
        </w:tc>
        <w:tc>
          <w:tcPr>
            <w:tcW w:w="1324" w:type="dxa"/>
          </w:tcPr>
          <w:p w14:paraId="3A10033D"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 xml:space="preserve">GRADE </w:t>
            </w:r>
          </w:p>
        </w:tc>
        <w:tc>
          <w:tcPr>
            <w:tcW w:w="810" w:type="dxa"/>
          </w:tcPr>
          <w:p w14:paraId="1359008C"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ADA</w:t>
            </w:r>
          </w:p>
        </w:tc>
        <w:tc>
          <w:tcPr>
            <w:tcW w:w="1782" w:type="dxa"/>
          </w:tcPr>
          <w:p w14:paraId="5876B5FA"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NICE</w:t>
            </w:r>
          </w:p>
          <w:p w14:paraId="5D301DB9"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(intervention studies)</w:t>
            </w:r>
          </w:p>
        </w:tc>
        <w:tc>
          <w:tcPr>
            <w:tcW w:w="1602" w:type="dxa"/>
          </w:tcPr>
          <w:p w14:paraId="19F11D3F"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NICE (diagnostic tests)</w:t>
            </w:r>
          </w:p>
        </w:tc>
        <w:tc>
          <w:tcPr>
            <w:tcW w:w="1198" w:type="dxa"/>
          </w:tcPr>
          <w:p w14:paraId="51FBC7F6"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NHMRC</w:t>
            </w:r>
          </w:p>
        </w:tc>
        <w:tc>
          <w:tcPr>
            <w:tcW w:w="1464" w:type="dxa"/>
          </w:tcPr>
          <w:p w14:paraId="43330C8C"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ACP</w:t>
            </w:r>
          </w:p>
        </w:tc>
        <w:tc>
          <w:tcPr>
            <w:tcW w:w="1067" w:type="dxa"/>
          </w:tcPr>
          <w:p w14:paraId="18752B15"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SIGN</w:t>
            </w:r>
          </w:p>
        </w:tc>
        <w:tc>
          <w:tcPr>
            <w:tcW w:w="1066" w:type="dxa"/>
          </w:tcPr>
          <w:p w14:paraId="62027E66"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USPSTF (1989)</w:t>
            </w:r>
          </w:p>
        </w:tc>
        <w:tc>
          <w:tcPr>
            <w:tcW w:w="921" w:type="dxa"/>
          </w:tcPr>
          <w:p w14:paraId="14B7EA9F"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Qatar</w:t>
            </w:r>
          </w:p>
        </w:tc>
        <w:tc>
          <w:tcPr>
            <w:tcW w:w="1087" w:type="dxa"/>
          </w:tcPr>
          <w:p w14:paraId="6EB087E3"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Turkey</w:t>
            </w:r>
          </w:p>
        </w:tc>
      </w:tr>
      <w:tr w:rsidR="00DA5F7E" w:rsidRPr="00EC7A17" w14:paraId="22A1A353" w14:textId="77777777" w:rsidTr="006031D2">
        <w:trPr>
          <w:trHeight w:val="280"/>
        </w:trPr>
        <w:tc>
          <w:tcPr>
            <w:tcW w:w="1351" w:type="dxa"/>
            <w:vMerge w:val="restart"/>
          </w:tcPr>
          <w:p w14:paraId="6851E4BC"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 xml:space="preserve">Certainty </w:t>
            </w:r>
          </w:p>
          <w:p w14:paraId="28C0EE25"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of evidence</w:t>
            </w:r>
          </w:p>
        </w:tc>
        <w:tc>
          <w:tcPr>
            <w:tcW w:w="1324" w:type="dxa"/>
          </w:tcPr>
          <w:p w14:paraId="0C7CBFDC"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High</w:t>
            </w:r>
          </w:p>
        </w:tc>
        <w:tc>
          <w:tcPr>
            <w:tcW w:w="810" w:type="dxa"/>
          </w:tcPr>
          <w:p w14:paraId="28D91A2A"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A</w:t>
            </w:r>
          </w:p>
        </w:tc>
        <w:tc>
          <w:tcPr>
            <w:tcW w:w="1782" w:type="dxa"/>
          </w:tcPr>
          <w:p w14:paraId="2BCD7C6D"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1++, 1+</w:t>
            </w:r>
          </w:p>
        </w:tc>
        <w:tc>
          <w:tcPr>
            <w:tcW w:w="1602" w:type="dxa"/>
          </w:tcPr>
          <w:p w14:paraId="052B19CC" w14:textId="77777777" w:rsidR="00DA5F7E" w:rsidRPr="00EC7A17" w:rsidRDefault="00DA5F7E" w:rsidP="006031D2">
            <w:pPr>
              <w:spacing w:line="276" w:lineRule="auto"/>
              <w:rPr>
                <w:rFonts w:ascii="Times New Roman" w:hAnsi="Times New Roman" w:cs="Times New Roman"/>
                <w:b/>
                <w:bCs/>
              </w:rPr>
            </w:pPr>
            <w:proofErr w:type="spellStart"/>
            <w:r w:rsidRPr="00EC7A17">
              <w:rPr>
                <w:rFonts w:ascii="Times New Roman" w:hAnsi="Times New Roman" w:cs="Times New Roman"/>
              </w:rPr>
              <w:t>Ia</w:t>
            </w:r>
            <w:proofErr w:type="spellEnd"/>
            <w:r w:rsidRPr="00EC7A17">
              <w:rPr>
                <w:rFonts w:ascii="Times New Roman" w:hAnsi="Times New Roman" w:cs="Times New Roman"/>
              </w:rPr>
              <w:t xml:space="preserve">, </w:t>
            </w:r>
            <w:proofErr w:type="spellStart"/>
            <w:r w:rsidRPr="00EC7A17">
              <w:rPr>
                <w:rFonts w:ascii="Times New Roman" w:hAnsi="Times New Roman" w:cs="Times New Roman"/>
              </w:rPr>
              <w:t>Ib</w:t>
            </w:r>
            <w:proofErr w:type="spellEnd"/>
          </w:p>
        </w:tc>
        <w:tc>
          <w:tcPr>
            <w:tcW w:w="1198" w:type="dxa"/>
          </w:tcPr>
          <w:p w14:paraId="6189636D"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LOE I</w:t>
            </w:r>
          </w:p>
        </w:tc>
        <w:tc>
          <w:tcPr>
            <w:tcW w:w="1464" w:type="dxa"/>
          </w:tcPr>
          <w:p w14:paraId="6EB82EE7"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 xml:space="preserve">High </w:t>
            </w:r>
          </w:p>
        </w:tc>
        <w:tc>
          <w:tcPr>
            <w:tcW w:w="1067" w:type="dxa"/>
          </w:tcPr>
          <w:p w14:paraId="2AEC39BF"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1++, 1+</w:t>
            </w:r>
          </w:p>
        </w:tc>
        <w:tc>
          <w:tcPr>
            <w:tcW w:w="1066" w:type="dxa"/>
          </w:tcPr>
          <w:p w14:paraId="43702888"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I</w:t>
            </w:r>
          </w:p>
        </w:tc>
        <w:tc>
          <w:tcPr>
            <w:tcW w:w="921" w:type="dxa"/>
          </w:tcPr>
          <w:p w14:paraId="40CFC292"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L1</w:t>
            </w:r>
          </w:p>
        </w:tc>
        <w:tc>
          <w:tcPr>
            <w:tcW w:w="1087" w:type="dxa"/>
          </w:tcPr>
          <w:p w14:paraId="7D683AB8"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A</w:t>
            </w:r>
          </w:p>
        </w:tc>
      </w:tr>
      <w:tr w:rsidR="00DA5F7E" w:rsidRPr="00EC7A17" w14:paraId="0801EA9D" w14:textId="77777777" w:rsidTr="006031D2">
        <w:trPr>
          <w:trHeight w:val="314"/>
        </w:trPr>
        <w:tc>
          <w:tcPr>
            <w:tcW w:w="1351" w:type="dxa"/>
            <w:vMerge/>
          </w:tcPr>
          <w:p w14:paraId="2E037202" w14:textId="77777777" w:rsidR="00DA5F7E" w:rsidRPr="00EC7A17" w:rsidRDefault="00DA5F7E" w:rsidP="006031D2">
            <w:pPr>
              <w:spacing w:line="276" w:lineRule="auto"/>
              <w:rPr>
                <w:rFonts w:ascii="Times New Roman" w:hAnsi="Times New Roman" w:cs="Times New Roman"/>
                <w:b/>
                <w:bCs/>
              </w:rPr>
            </w:pPr>
          </w:p>
        </w:tc>
        <w:tc>
          <w:tcPr>
            <w:tcW w:w="1324" w:type="dxa"/>
          </w:tcPr>
          <w:p w14:paraId="55397BCF"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Moderate</w:t>
            </w:r>
          </w:p>
        </w:tc>
        <w:tc>
          <w:tcPr>
            <w:tcW w:w="810" w:type="dxa"/>
          </w:tcPr>
          <w:p w14:paraId="194FA02C"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B</w:t>
            </w:r>
          </w:p>
        </w:tc>
        <w:tc>
          <w:tcPr>
            <w:tcW w:w="1782" w:type="dxa"/>
          </w:tcPr>
          <w:p w14:paraId="1EC08803"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1-, 2++</w:t>
            </w:r>
          </w:p>
        </w:tc>
        <w:tc>
          <w:tcPr>
            <w:tcW w:w="1602" w:type="dxa"/>
          </w:tcPr>
          <w:p w14:paraId="5B2E8E44"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II</w:t>
            </w:r>
          </w:p>
        </w:tc>
        <w:tc>
          <w:tcPr>
            <w:tcW w:w="1198" w:type="dxa"/>
          </w:tcPr>
          <w:p w14:paraId="2414A2DE"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LOE II</w:t>
            </w:r>
          </w:p>
        </w:tc>
        <w:tc>
          <w:tcPr>
            <w:tcW w:w="1464" w:type="dxa"/>
          </w:tcPr>
          <w:p w14:paraId="46B8E229"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Moderate</w:t>
            </w:r>
          </w:p>
        </w:tc>
        <w:tc>
          <w:tcPr>
            <w:tcW w:w="1067" w:type="dxa"/>
          </w:tcPr>
          <w:p w14:paraId="3DC90B9F"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1-, 2++</w:t>
            </w:r>
          </w:p>
        </w:tc>
        <w:tc>
          <w:tcPr>
            <w:tcW w:w="1066" w:type="dxa"/>
          </w:tcPr>
          <w:p w14:paraId="64CFAC99"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II-1, II-2</w:t>
            </w:r>
          </w:p>
        </w:tc>
        <w:tc>
          <w:tcPr>
            <w:tcW w:w="921" w:type="dxa"/>
          </w:tcPr>
          <w:p w14:paraId="0E1D619F"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 xml:space="preserve">L2                                                                                                            </w:t>
            </w:r>
          </w:p>
        </w:tc>
        <w:tc>
          <w:tcPr>
            <w:tcW w:w="1087" w:type="dxa"/>
          </w:tcPr>
          <w:p w14:paraId="1836C3CA"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B</w:t>
            </w:r>
          </w:p>
        </w:tc>
      </w:tr>
      <w:tr w:rsidR="00DA5F7E" w:rsidRPr="00EC7A17" w14:paraId="59B82361" w14:textId="77777777" w:rsidTr="006031D2">
        <w:trPr>
          <w:trHeight w:val="366"/>
        </w:trPr>
        <w:tc>
          <w:tcPr>
            <w:tcW w:w="1351" w:type="dxa"/>
            <w:vMerge/>
          </w:tcPr>
          <w:p w14:paraId="4C922E6D" w14:textId="77777777" w:rsidR="00DA5F7E" w:rsidRPr="00EC7A17" w:rsidRDefault="00DA5F7E" w:rsidP="006031D2">
            <w:pPr>
              <w:spacing w:line="276" w:lineRule="auto"/>
              <w:rPr>
                <w:rFonts w:ascii="Times New Roman" w:hAnsi="Times New Roman" w:cs="Times New Roman"/>
                <w:b/>
                <w:bCs/>
              </w:rPr>
            </w:pPr>
          </w:p>
        </w:tc>
        <w:tc>
          <w:tcPr>
            <w:tcW w:w="1324" w:type="dxa"/>
          </w:tcPr>
          <w:p w14:paraId="1F0BD794"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Low</w:t>
            </w:r>
          </w:p>
        </w:tc>
        <w:tc>
          <w:tcPr>
            <w:tcW w:w="810" w:type="dxa"/>
          </w:tcPr>
          <w:p w14:paraId="245A0349"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C</w:t>
            </w:r>
          </w:p>
        </w:tc>
        <w:tc>
          <w:tcPr>
            <w:tcW w:w="1782" w:type="dxa"/>
          </w:tcPr>
          <w:p w14:paraId="2C3CDC0A"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2+</w:t>
            </w:r>
          </w:p>
        </w:tc>
        <w:tc>
          <w:tcPr>
            <w:tcW w:w="1602" w:type="dxa"/>
          </w:tcPr>
          <w:p w14:paraId="35D24147"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III</w:t>
            </w:r>
          </w:p>
        </w:tc>
        <w:tc>
          <w:tcPr>
            <w:tcW w:w="1198" w:type="dxa"/>
          </w:tcPr>
          <w:p w14:paraId="5E1F0BDF"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 xml:space="preserve">LOE III-1, </w:t>
            </w:r>
          </w:p>
        </w:tc>
        <w:tc>
          <w:tcPr>
            <w:tcW w:w="1464" w:type="dxa"/>
          </w:tcPr>
          <w:p w14:paraId="68174400"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Low</w:t>
            </w:r>
          </w:p>
        </w:tc>
        <w:tc>
          <w:tcPr>
            <w:tcW w:w="1067" w:type="dxa"/>
          </w:tcPr>
          <w:p w14:paraId="5F98939B"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2+</w:t>
            </w:r>
          </w:p>
        </w:tc>
        <w:tc>
          <w:tcPr>
            <w:tcW w:w="1066" w:type="dxa"/>
          </w:tcPr>
          <w:p w14:paraId="7B6398D1"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III-3</w:t>
            </w:r>
          </w:p>
        </w:tc>
        <w:tc>
          <w:tcPr>
            <w:tcW w:w="921" w:type="dxa"/>
          </w:tcPr>
          <w:p w14:paraId="36EA7F44" w14:textId="77777777" w:rsidR="00DA5F7E" w:rsidRPr="00EC7A17" w:rsidRDefault="00DA5F7E" w:rsidP="006031D2">
            <w:pPr>
              <w:spacing w:line="276" w:lineRule="auto"/>
              <w:rPr>
                <w:rFonts w:ascii="Times New Roman" w:hAnsi="Times New Roman" w:cs="Times New Roman"/>
                <w:b/>
                <w:bCs/>
              </w:rPr>
            </w:pPr>
          </w:p>
        </w:tc>
        <w:tc>
          <w:tcPr>
            <w:tcW w:w="1087" w:type="dxa"/>
          </w:tcPr>
          <w:p w14:paraId="5D211890" w14:textId="77777777" w:rsidR="00DA5F7E" w:rsidRPr="00EC7A17" w:rsidRDefault="00DA5F7E" w:rsidP="006031D2">
            <w:pPr>
              <w:spacing w:line="276" w:lineRule="auto"/>
              <w:rPr>
                <w:rFonts w:ascii="Times New Roman" w:hAnsi="Times New Roman" w:cs="Times New Roman"/>
                <w:b/>
                <w:bCs/>
              </w:rPr>
            </w:pPr>
          </w:p>
        </w:tc>
      </w:tr>
      <w:tr w:rsidR="00DA5F7E" w:rsidRPr="00EC7A17" w14:paraId="73D693EE" w14:textId="77777777" w:rsidTr="006031D2">
        <w:trPr>
          <w:trHeight w:val="840"/>
        </w:trPr>
        <w:tc>
          <w:tcPr>
            <w:tcW w:w="1351" w:type="dxa"/>
            <w:vMerge/>
          </w:tcPr>
          <w:p w14:paraId="08321CA1" w14:textId="77777777" w:rsidR="00DA5F7E" w:rsidRPr="00EC7A17" w:rsidRDefault="00DA5F7E" w:rsidP="006031D2">
            <w:pPr>
              <w:spacing w:line="276" w:lineRule="auto"/>
              <w:rPr>
                <w:rFonts w:ascii="Times New Roman" w:hAnsi="Times New Roman" w:cs="Times New Roman"/>
                <w:b/>
                <w:bCs/>
              </w:rPr>
            </w:pPr>
          </w:p>
        </w:tc>
        <w:tc>
          <w:tcPr>
            <w:tcW w:w="1324" w:type="dxa"/>
          </w:tcPr>
          <w:p w14:paraId="0580FE8B"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Very low</w:t>
            </w:r>
          </w:p>
        </w:tc>
        <w:tc>
          <w:tcPr>
            <w:tcW w:w="810" w:type="dxa"/>
          </w:tcPr>
          <w:p w14:paraId="40B1DADC"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 xml:space="preserve">E </w:t>
            </w:r>
          </w:p>
          <w:p w14:paraId="022604E4" w14:textId="77777777" w:rsidR="00DA5F7E" w:rsidRPr="00EC7A17" w:rsidRDefault="00DA5F7E" w:rsidP="006031D2">
            <w:pPr>
              <w:spacing w:line="276" w:lineRule="auto"/>
              <w:rPr>
                <w:rFonts w:ascii="Times New Roman" w:hAnsi="Times New Roman" w:cs="Times New Roman"/>
                <w:b/>
                <w:bCs/>
              </w:rPr>
            </w:pPr>
          </w:p>
        </w:tc>
        <w:tc>
          <w:tcPr>
            <w:tcW w:w="1782" w:type="dxa"/>
          </w:tcPr>
          <w:p w14:paraId="07963F93"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2-, 3, 4</w:t>
            </w:r>
          </w:p>
        </w:tc>
        <w:tc>
          <w:tcPr>
            <w:tcW w:w="1602" w:type="dxa"/>
          </w:tcPr>
          <w:p w14:paraId="2A11AC58"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IV</w:t>
            </w:r>
          </w:p>
        </w:tc>
        <w:tc>
          <w:tcPr>
            <w:tcW w:w="1198" w:type="dxa"/>
          </w:tcPr>
          <w:p w14:paraId="030D7073" w14:textId="77777777" w:rsidR="00DA5F7E" w:rsidRPr="00EC7A17" w:rsidRDefault="00DA5F7E" w:rsidP="006031D2">
            <w:pPr>
              <w:tabs>
                <w:tab w:val="left" w:pos="750"/>
              </w:tabs>
              <w:spacing w:line="276" w:lineRule="auto"/>
              <w:rPr>
                <w:rFonts w:ascii="Times New Roman" w:hAnsi="Times New Roman" w:cs="Times New Roman"/>
              </w:rPr>
            </w:pPr>
            <w:r w:rsidRPr="00EC7A17">
              <w:rPr>
                <w:rFonts w:ascii="Times New Roman" w:hAnsi="Times New Roman" w:cs="Times New Roman"/>
              </w:rPr>
              <w:t>LOE III-2, LOE III-3, LOE IV</w:t>
            </w:r>
          </w:p>
        </w:tc>
        <w:tc>
          <w:tcPr>
            <w:tcW w:w="1464" w:type="dxa"/>
          </w:tcPr>
          <w:p w14:paraId="359F90C1"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 xml:space="preserve">Insufficient </w:t>
            </w:r>
          </w:p>
        </w:tc>
        <w:tc>
          <w:tcPr>
            <w:tcW w:w="1067" w:type="dxa"/>
          </w:tcPr>
          <w:p w14:paraId="45811B50"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2-, 3, 4</w:t>
            </w:r>
          </w:p>
        </w:tc>
        <w:tc>
          <w:tcPr>
            <w:tcW w:w="1066" w:type="dxa"/>
          </w:tcPr>
          <w:p w14:paraId="0501A109"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III</w:t>
            </w:r>
          </w:p>
        </w:tc>
        <w:tc>
          <w:tcPr>
            <w:tcW w:w="921" w:type="dxa"/>
          </w:tcPr>
          <w:p w14:paraId="2A8B88FF"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L3</w:t>
            </w:r>
          </w:p>
        </w:tc>
        <w:tc>
          <w:tcPr>
            <w:tcW w:w="1087" w:type="dxa"/>
          </w:tcPr>
          <w:p w14:paraId="4613775A"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rPr>
              <w:t>C, D</w:t>
            </w:r>
          </w:p>
        </w:tc>
      </w:tr>
    </w:tbl>
    <w:p w14:paraId="129651DD" w14:textId="77777777" w:rsidR="00DA5F7E" w:rsidRPr="00EC7A17" w:rsidRDefault="00DA5F7E" w:rsidP="00DA5F7E">
      <w:pPr>
        <w:spacing w:line="360" w:lineRule="auto"/>
        <w:rPr>
          <w:rFonts w:ascii="Times New Roman" w:hAnsi="Times New Roman" w:cs="Times New Roman"/>
        </w:rPr>
      </w:pPr>
      <w:r w:rsidRPr="00EC7A17">
        <w:rPr>
          <w:rFonts w:ascii="Times New Roman" w:hAnsi="Times New Roman" w:cs="Times New Roman"/>
        </w:rPr>
        <w:t>LOE – Levels of Evidence</w:t>
      </w:r>
    </w:p>
    <w:p w14:paraId="2BCF444F" w14:textId="77777777" w:rsidR="00DA5F7E" w:rsidRDefault="00DA5F7E" w:rsidP="00DA5F7E">
      <w:pPr>
        <w:spacing w:line="360" w:lineRule="auto"/>
        <w:rPr>
          <w:rFonts w:ascii="Times New Roman" w:hAnsi="Times New Roman" w:cs="Times New Roman"/>
        </w:rPr>
      </w:pPr>
      <w:r w:rsidRPr="00EC7A17">
        <w:rPr>
          <w:rFonts w:ascii="Times New Roman" w:hAnsi="Times New Roman" w:cs="Times New Roman"/>
        </w:rPr>
        <w:t xml:space="preserve">ACP: American College of Physicians; ADA: American Diabetes Association ; GRADE - Grading of Recommendations, Assessment, Development, and Evaluation; NGC: National Guideline Clearinghouse (NGC); NHMRC: National Health and Medical Research Council; NICE: National Institute of Care and </w:t>
      </w:r>
      <w:r w:rsidRPr="00EC7A17">
        <w:rPr>
          <w:rFonts w:ascii="Times New Roman" w:hAnsi="Times New Roman" w:cs="Times New Roman"/>
        </w:rPr>
        <w:lastRenderedPageBreak/>
        <w:t>Excellence; SIGN: Scottish Intercollegiate Guidelines Network; SORT: Strength of Recommendation Taxonomy; USPSTF: U.S. Preventive Services Task Force</w:t>
      </w:r>
    </w:p>
    <w:p w14:paraId="234F9E0D" w14:textId="77777777" w:rsidR="00DA5F7E" w:rsidRPr="00EC7A17" w:rsidRDefault="00DA5F7E" w:rsidP="00DA5F7E">
      <w:pPr>
        <w:spacing w:line="360" w:lineRule="auto"/>
        <w:rPr>
          <w:rFonts w:ascii="Times New Roman" w:hAnsi="Times New Roman" w:cs="Times New Roman"/>
        </w:rPr>
      </w:pPr>
    </w:p>
    <w:p w14:paraId="43C77975" w14:textId="2B21EF89" w:rsidR="00DA5F7E" w:rsidRPr="00DA5F7E" w:rsidRDefault="00DA5F7E" w:rsidP="00DA5F7E">
      <w:pPr>
        <w:spacing w:after="0" w:line="480" w:lineRule="auto"/>
        <w:rPr>
          <w:rFonts w:ascii="Times New Roman" w:hAnsi="Times New Roman" w:cs="Times New Roman"/>
          <w:sz w:val="24"/>
          <w:szCs w:val="24"/>
        </w:rPr>
      </w:pPr>
      <w:r w:rsidRPr="00EC7A17">
        <w:rPr>
          <w:rFonts w:ascii="Times New Roman" w:hAnsi="Times New Roman" w:cs="Times New Roman"/>
          <w:sz w:val="24"/>
          <w:szCs w:val="24"/>
        </w:rPr>
        <w:t>Table S4: Conversion of strength of recommendations to GRADE</w:t>
      </w:r>
    </w:p>
    <w:tbl>
      <w:tblPr>
        <w:tblStyle w:val="TableGrid"/>
        <w:tblW w:w="4877" w:type="pct"/>
        <w:tblInd w:w="108" w:type="dxa"/>
        <w:tblLook w:val="04A0" w:firstRow="1" w:lastRow="0" w:firstColumn="1" w:lastColumn="0" w:noHBand="0" w:noVBand="1"/>
      </w:tblPr>
      <w:tblGrid>
        <w:gridCol w:w="2152"/>
        <w:gridCol w:w="1717"/>
        <w:gridCol w:w="1978"/>
        <w:gridCol w:w="1254"/>
        <w:gridCol w:w="1116"/>
        <w:gridCol w:w="1113"/>
        <w:gridCol w:w="974"/>
        <w:gridCol w:w="1113"/>
        <w:gridCol w:w="2188"/>
      </w:tblGrid>
      <w:tr w:rsidR="00DA5F7E" w:rsidRPr="00EC7A17" w14:paraId="4BD0AC85" w14:textId="77777777" w:rsidTr="006031D2">
        <w:trPr>
          <w:trHeight w:val="347"/>
          <w:tblHeader/>
        </w:trPr>
        <w:tc>
          <w:tcPr>
            <w:tcW w:w="791" w:type="pct"/>
            <w:shd w:val="clear" w:color="auto" w:fill="auto"/>
          </w:tcPr>
          <w:p w14:paraId="1C39026D" w14:textId="77777777" w:rsidR="00DA5F7E" w:rsidRPr="00EC7A17" w:rsidRDefault="00DA5F7E" w:rsidP="006031D2">
            <w:pPr>
              <w:spacing w:line="276" w:lineRule="auto"/>
              <w:rPr>
                <w:rFonts w:ascii="Times New Roman" w:hAnsi="Times New Roman" w:cs="Times New Roman"/>
              </w:rPr>
            </w:pPr>
          </w:p>
        </w:tc>
        <w:tc>
          <w:tcPr>
            <w:tcW w:w="631" w:type="pct"/>
            <w:shd w:val="clear" w:color="auto" w:fill="auto"/>
          </w:tcPr>
          <w:p w14:paraId="521ED9A0"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 xml:space="preserve">GRADE </w:t>
            </w:r>
          </w:p>
        </w:tc>
        <w:tc>
          <w:tcPr>
            <w:tcW w:w="727" w:type="pct"/>
          </w:tcPr>
          <w:p w14:paraId="048FBAA7"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NZ</w:t>
            </w:r>
          </w:p>
        </w:tc>
        <w:tc>
          <w:tcPr>
            <w:tcW w:w="461" w:type="pct"/>
          </w:tcPr>
          <w:p w14:paraId="18F83EE2"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SIGN</w:t>
            </w:r>
          </w:p>
        </w:tc>
        <w:tc>
          <w:tcPr>
            <w:tcW w:w="410" w:type="pct"/>
          </w:tcPr>
          <w:p w14:paraId="06913002"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SORT</w:t>
            </w:r>
          </w:p>
        </w:tc>
        <w:tc>
          <w:tcPr>
            <w:tcW w:w="409" w:type="pct"/>
          </w:tcPr>
          <w:p w14:paraId="0AEB7048"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NHMRC</w:t>
            </w:r>
          </w:p>
        </w:tc>
        <w:tc>
          <w:tcPr>
            <w:tcW w:w="358" w:type="pct"/>
          </w:tcPr>
          <w:p w14:paraId="053F2C70"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ACP</w:t>
            </w:r>
          </w:p>
        </w:tc>
        <w:tc>
          <w:tcPr>
            <w:tcW w:w="409" w:type="pct"/>
          </w:tcPr>
          <w:p w14:paraId="63987397"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ACOG</w:t>
            </w:r>
          </w:p>
        </w:tc>
        <w:tc>
          <w:tcPr>
            <w:tcW w:w="804" w:type="pct"/>
          </w:tcPr>
          <w:p w14:paraId="6A975CD1"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Qatar</w:t>
            </w:r>
          </w:p>
        </w:tc>
      </w:tr>
      <w:tr w:rsidR="00DA5F7E" w:rsidRPr="00EC7A17" w14:paraId="1ECE4527" w14:textId="77777777" w:rsidTr="006031D2">
        <w:trPr>
          <w:trHeight w:val="426"/>
        </w:trPr>
        <w:tc>
          <w:tcPr>
            <w:tcW w:w="791" w:type="pct"/>
            <w:vMerge w:val="restart"/>
            <w:shd w:val="clear" w:color="auto" w:fill="auto"/>
          </w:tcPr>
          <w:p w14:paraId="1F77480E" w14:textId="77777777" w:rsidR="00DA5F7E" w:rsidRPr="00EC7A17" w:rsidRDefault="00DA5F7E" w:rsidP="006031D2">
            <w:pPr>
              <w:spacing w:line="276" w:lineRule="auto"/>
              <w:rPr>
                <w:rFonts w:ascii="Times New Roman" w:hAnsi="Times New Roman" w:cs="Times New Roman"/>
                <w:b/>
                <w:bCs/>
              </w:rPr>
            </w:pPr>
            <w:r w:rsidRPr="00EC7A17">
              <w:rPr>
                <w:rFonts w:ascii="Times New Roman" w:hAnsi="Times New Roman" w:cs="Times New Roman"/>
                <w:b/>
                <w:bCs/>
              </w:rPr>
              <w:t>Strength of Recommendation</w:t>
            </w:r>
          </w:p>
        </w:tc>
        <w:tc>
          <w:tcPr>
            <w:tcW w:w="631" w:type="pct"/>
            <w:shd w:val="clear" w:color="auto" w:fill="auto"/>
          </w:tcPr>
          <w:p w14:paraId="3E13FD7B"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Strong</w:t>
            </w:r>
          </w:p>
        </w:tc>
        <w:tc>
          <w:tcPr>
            <w:tcW w:w="727" w:type="pct"/>
          </w:tcPr>
          <w:p w14:paraId="1FF01A99"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Strong</w:t>
            </w:r>
          </w:p>
        </w:tc>
        <w:tc>
          <w:tcPr>
            <w:tcW w:w="461" w:type="pct"/>
          </w:tcPr>
          <w:p w14:paraId="59391AED"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 xml:space="preserve">A, B, </w:t>
            </w:r>
          </w:p>
        </w:tc>
        <w:tc>
          <w:tcPr>
            <w:tcW w:w="410" w:type="pct"/>
          </w:tcPr>
          <w:p w14:paraId="7ECACA8A"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A, B, C</w:t>
            </w:r>
          </w:p>
        </w:tc>
        <w:tc>
          <w:tcPr>
            <w:tcW w:w="409" w:type="pct"/>
          </w:tcPr>
          <w:p w14:paraId="44C9052C"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A, B, C</w:t>
            </w:r>
          </w:p>
        </w:tc>
        <w:tc>
          <w:tcPr>
            <w:tcW w:w="358" w:type="pct"/>
            <w:tcBorders>
              <w:bottom w:val="single" w:sz="4" w:space="0" w:color="auto"/>
            </w:tcBorders>
          </w:tcPr>
          <w:p w14:paraId="6ED83855"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Strong</w:t>
            </w:r>
          </w:p>
        </w:tc>
        <w:tc>
          <w:tcPr>
            <w:tcW w:w="409" w:type="pct"/>
            <w:tcBorders>
              <w:bottom w:val="single" w:sz="4" w:space="0" w:color="auto"/>
            </w:tcBorders>
          </w:tcPr>
          <w:p w14:paraId="77F5FC6D"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A</w:t>
            </w:r>
          </w:p>
        </w:tc>
        <w:tc>
          <w:tcPr>
            <w:tcW w:w="804" w:type="pct"/>
            <w:tcBorders>
              <w:bottom w:val="single" w:sz="4" w:space="0" w:color="auto"/>
            </w:tcBorders>
          </w:tcPr>
          <w:p w14:paraId="32E1E300"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RGA</w:t>
            </w:r>
          </w:p>
        </w:tc>
      </w:tr>
      <w:tr w:rsidR="00DA5F7E" w:rsidRPr="00EC7A17" w14:paraId="309DF9CD" w14:textId="77777777" w:rsidTr="006031D2">
        <w:trPr>
          <w:trHeight w:val="454"/>
        </w:trPr>
        <w:tc>
          <w:tcPr>
            <w:tcW w:w="791" w:type="pct"/>
            <w:vMerge/>
            <w:shd w:val="clear" w:color="auto" w:fill="auto"/>
          </w:tcPr>
          <w:p w14:paraId="6A3FADF3" w14:textId="77777777" w:rsidR="00DA5F7E" w:rsidRPr="00EC7A17" w:rsidRDefault="00DA5F7E" w:rsidP="006031D2">
            <w:pPr>
              <w:spacing w:line="276" w:lineRule="auto"/>
              <w:rPr>
                <w:rFonts w:ascii="Times New Roman" w:hAnsi="Times New Roman" w:cs="Times New Roman"/>
                <w:b/>
                <w:bCs/>
              </w:rPr>
            </w:pPr>
          </w:p>
        </w:tc>
        <w:tc>
          <w:tcPr>
            <w:tcW w:w="631" w:type="pct"/>
            <w:shd w:val="clear" w:color="auto" w:fill="auto"/>
          </w:tcPr>
          <w:p w14:paraId="280139BE"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Weak</w:t>
            </w:r>
          </w:p>
        </w:tc>
        <w:tc>
          <w:tcPr>
            <w:tcW w:w="727" w:type="pct"/>
          </w:tcPr>
          <w:p w14:paraId="5210E82B"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Conditional, GPP</w:t>
            </w:r>
          </w:p>
        </w:tc>
        <w:tc>
          <w:tcPr>
            <w:tcW w:w="461" w:type="pct"/>
          </w:tcPr>
          <w:p w14:paraId="6DA791A9"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C, GPP</w:t>
            </w:r>
          </w:p>
        </w:tc>
        <w:tc>
          <w:tcPr>
            <w:tcW w:w="410" w:type="pct"/>
          </w:tcPr>
          <w:p w14:paraId="508BEAA4"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D, GPP</w:t>
            </w:r>
          </w:p>
        </w:tc>
        <w:tc>
          <w:tcPr>
            <w:tcW w:w="409" w:type="pct"/>
          </w:tcPr>
          <w:p w14:paraId="22B5854C"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D,</w:t>
            </w:r>
          </w:p>
        </w:tc>
        <w:tc>
          <w:tcPr>
            <w:tcW w:w="358" w:type="pct"/>
            <w:tcBorders>
              <w:bottom w:val="single" w:sz="4" w:space="0" w:color="auto"/>
            </w:tcBorders>
          </w:tcPr>
          <w:p w14:paraId="28C787C8"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Weak</w:t>
            </w:r>
          </w:p>
        </w:tc>
        <w:tc>
          <w:tcPr>
            <w:tcW w:w="409" w:type="pct"/>
            <w:tcBorders>
              <w:bottom w:val="single" w:sz="4" w:space="0" w:color="auto"/>
            </w:tcBorders>
          </w:tcPr>
          <w:p w14:paraId="09B0CEF6"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B, C</w:t>
            </w:r>
          </w:p>
        </w:tc>
        <w:tc>
          <w:tcPr>
            <w:tcW w:w="804" w:type="pct"/>
            <w:tcBorders>
              <w:bottom w:val="single" w:sz="4" w:space="0" w:color="auto"/>
            </w:tcBorders>
          </w:tcPr>
          <w:p w14:paraId="5F007BE5" w14:textId="77777777" w:rsidR="00DA5F7E" w:rsidRPr="00EC7A17" w:rsidRDefault="00DA5F7E" w:rsidP="006031D2">
            <w:pPr>
              <w:spacing w:line="276" w:lineRule="auto"/>
              <w:rPr>
                <w:rFonts w:ascii="Times New Roman" w:hAnsi="Times New Roman" w:cs="Times New Roman"/>
              </w:rPr>
            </w:pPr>
            <w:r w:rsidRPr="00EC7A17">
              <w:rPr>
                <w:rFonts w:ascii="Times New Roman" w:hAnsi="Times New Roman" w:cs="Times New Roman"/>
              </w:rPr>
              <w:t>RGB, RGC, R-GDG</w:t>
            </w:r>
          </w:p>
        </w:tc>
      </w:tr>
    </w:tbl>
    <w:p w14:paraId="7FFF42CE" w14:textId="77777777" w:rsidR="00DA5F7E" w:rsidRPr="00EC7A17" w:rsidRDefault="00DA5F7E" w:rsidP="00DA5F7E">
      <w:pPr>
        <w:spacing w:after="0" w:line="360" w:lineRule="auto"/>
        <w:rPr>
          <w:rFonts w:ascii="Times New Roman" w:hAnsi="Times New Roman" w:cs="Times New Roman"/>
        </w:rPr>
      </w:pPr>
      <w:r w:rsidRPr="00EC7A17">
        <w:rPr>
          <w:rFonts w:ascii="Times New Roman" w:hAnsi="Times New Roman" w:cs="Times New Roman"/>
        </w:rPr>
        <w:t>GPP: Good Practice Point, based on expert opinion / consensus</w:t>
      </w:r>
    </w:p>
    <w:p w14:paraId="7EB2E699" w14:textId="77777777" w:rsidR="00DA5F7E" w:rsidRPr="00EC7A17" w:rsidRDefault="00DA5F7E" w:rsidP="00DA5F7E">
      <w:pPr>
        <w:spacing w:line="360" w:lineRule="auto"/>
        <w:rPr>
          <w:rFonts w:ascii="Times New Roman" w:hAnsi="Times New Roman" w:cs="Times New Roman"/>
        </w:rPr>
      </w:pPr>
      <w:r w:rsidRPr="00EC7A17">
        <w:rPr>
          <w:rFonts w:ascii="Times New Roman" w:hAnsi="Times New Roman" w:cs="Times New Roman"/>
        </w:rPr>
        <w:t xml:space="preserve">RGA: Recommendation Grade A, RGB: Recommendation Grade B, RGC: Recommendation Grade C, R-GDG: recommended based practice by Guideline Development Group </w:t>
      </w:r>
    </w:p>
    <w:p w14:paraId="30456EE6" w14:textId="77777777" w:rsidR="00DA5F7E" w:rsidRPr="00EC7A17" w:rsidRDefault="00DA5F7E" w:rsidP="00DA5F7E">
      <w:pPr>
        <w:spacing w:line="360" w:lineRule="auto"/>
        <w:rPr>
          <w:rFonts w:ascii="Times New Roman" w:hAnsi="Times New Roman" w:cs="Times New Roman"/>
        </w:rPr>
      </w:pPr>
      <w:r w:rsidRPr="00EC7A17">
        <w:rPr>
          <w:rFonts w:ascii="Times New Roman" w:hAnsi="Times New Roman" w:cs="Times New Roman"/>
        </w:rPr>
        <w:t>ACP: American College of Physicians; ACOG: American College of Obstetricians and Gynaecologists; NHMRC: National Health and Medical Research Council; SIGN: Scottish Intercollegiate Guidelines Network; SORT: Strength of Recommendation Taxonomy; USPSTF: U.S. Preventive Services Task Force</w:t>
      </w:r>
    </w:p>
    <w:p w14:paraId="72BC3602" w14:textId="77777777" w:rsidR="00DA5F7E" w:rsidRDefault="00DA5F7E" w:rsidP="00DA5F7E">
      <w:pPr>
        <w:spacing w:line="360" w:lineRule="auto"/>
        <w:rPr>
          <w:rFonts w:ascii="Times New Roman" w:hAnsi="Times New Roman" w:cs="Times New Roman"/>
          <w:sz w:val="24"/>
          <w:szCs w:val="24"/>
        </w:rPr>
      </w:pPr>
    </w:p>
    <w:p w14:paraId="7606872A" w14:textId="77777777" w:rsidR="00DA5F7E" w:rsidRPr="00EC7A17" w:rsidRDefault="00DA5F7E" w:rsidP="00DA5F7E">
      <w:pPr>
        <w:spacing w:line="360" w:lineRule="auto"/>
        <w:rPr>
          <w:rFonts w:ascii="Times New Roman" w:hAnsi="Times New Roman" w:cs="Times New Roman"/>
          <w:sz w:val="24"/>
          <w:szCs w:val="24"/>
        </w:rPr>
      </w:pPr>
    </w:p>
    <w:p w14:paraId="3970DD5E" w14:textId="77777777" w:rsidR="00DA5F7E" w:rsidRPr="00EC7A17" w:rsidRDefault="00DA5F7E" w:rsidP="00DA5F7E">
      <w:pPr>
        <w:spacing w:line="276" w:lineRule="auto"/>
        <w:rPr>
          <w:rFonts w:ascii="Times New Roman" w:hAnsi="Times New Roman" w:cs="Times New Roman"/>
          <w:i/>
          <w:iCs/>
          <w:sz w:val="24"/>
          <w:szCs w:val="24"/>
        </w:rPr>
      </w:pPr>
      <w:r w:rsidRPr="00EC7A17">
        <w:rPr>
          <w:rFonts w:ascii="Times New Roman" w:hAnsi="Times New Roman" w:cs="Times New Roman"/>
          <w:sz w:val="24"/>
          <w:szCs w:val="24"/>
        </w:rPr>
        <w:t>Table S5: Comparison of recommendations for postnatal care after GDM, strength of recommendation, certainty of evidence, and supporting data evidence rating across clinical practice guidelines.</w:t>
      </w:r>
    </w:p>
    <w:tbl>
      <w:tblPr>
        <w:tblW w:w="13745" w:type="dxa"/>
        <w:tblInd w:w="113" w:type="dxa"/>
        <w:tblLayout w:type="fixed"/>
        <w:tblLook w:val="04A0" w:firstRow="1" w:lastRow="0" w:firstColumn="1" w:lastColumn="0" w:noHBand="0" w:noVBand="1"/>
      </w:tblPr>
      <w:tblGrid>
        <w:gridCol w:w="1727"/>
        <w:gridCol w:w="1387"/>
        <w:gridCol w:w="1843"/>
        <w:gridCol w:w="3118"/>
        <w:gridCol w:w="1701"/>
        <w:gridCol w:w="1163"/>
        <w:gridCol w:w="1247"/>
        <w:gridCol w:w="1559"/>
      </w:tblGrid>
      <w:tr w:rsidR="00DA5F7E" w:rsidRPr="00EC7A17" w14:paraId="262F7277" w14:textId="77777777" w:rsidTr="006031D2">
        <w:trPr>
          <w:trHeight w:val="600"/>
        </w:trPr>
        <w:tc>
          <w:tcPr>
            <w:tcW w:w="1727" w:type="dxa"/>
            <w:tcBorders>
              <w:top w:val="single" w:sz="4" w:space="0" w:color="AEAAAA"/>
              <w:left w:val="single" w:sz="4" w:space="0" w:color="AEAAAA"/>
              <w:bottom w:val="single" w:sz="4" w:space="0" w:color="AEAAAA"/>
              <w:right w:val="single" w:sz="4" w:space="0" w:color="AEAAAA"/>
            </w:tcBorders>
            <w:shd w:val="clear" w:color="000000" w:fill="E7E6E6"/>
            <w:vAlign w:val="bottom"/>
            <w:hideMark/>
          </w:tcPr>
          <w:p w14:paraId="22EA0BC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Guideline title</w:t>
            </w:r>
          </w:p>
        </w:tc>
        <w:tc>
          <w:tcPr>
            <w:tcW w:w="1387" w:type="dxa"/>
            <w:tcBorders>
              <w:top w:val="single" w:sz="4" w:space="0" w:color="AEAAAA"/>
              <w:left w:val="nil"/>
              <w:bottom w:val="single" w:sz="4" w:space="0" w:color="AEAAAA"/>
              <w:right w:val="single" w:sz="4" w:space="0" w:color="AEAAAA"/>
            </w:tcBorders>
            <w:shd w:val="clear" w:color="000000" w:fill="E7E6E6"/>
            <w:vAlign w:val="bottom"/>
            <w:hideMark/>
          </w:tcPr>
          <w:p w14:paraId="07D3329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Grading tool for evidence</w:t>
            </w:r>
          </w:p>
        </w:tc>
        <w:tc>
          <w:tcPr>
            <w:tcW w:w="1843" w:type="dxa"/>
            <w:tcBorders>
              <w:top w:val="single" w:sz="4" w:space="0" w:color="AEAAAA"/>
              <w:left w:val="nil"/>
              <w:bottom w:val="single" w:sz="4" w:space="0" w:color="AEAAAA"/>
              <w:right w:val="single" w:sz="4" w:space="0" w:color="AEAAAA"/>
            </w:tcBorders>
            <w:shd w:val="clear" w:color="000000" w:fill="E7E6E6"/>
            <w:vAlign w:val="bottom"/>
            <w:hideMark/>
          </w:tcPr>
          <w:p w14:paraId="4C491F3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Recommendation</w:t>
            </w:r>
          </w:p>
        </w:tc>
        <w:tc>
          <w:tcPr>
            <w:tcW w:w="3118" w:type="dxa"/>
            <w:tcBorders>
              <w:top w:val="single" w:sz="4" w:space="0" w:color="AEAAAA"/>
              <w:left w:val="nil"/>
              <w:bottom w:val="single" w:sz="4" w:space="0" w:color="AEAAAA"/>
              <w:right w:val="single" w:sz="4" w:space="0" w:color="AEAAAA"/>
            </w:tcBorders>
            <w:shd w:val="clear" w:color="000000" w:fill="E7E6E6"/>
            <w:vAlign w:val="bottom"/>
            <w:hideMark/>
          </w:tcPr>
          <w:p w14:paraId="2C3EDEE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701" w:type="dxa"/>
            <w:tcBorders>
              <w:top w:val="single" w:sz="4" w:space="0" w:color="AEAAAA"/>
              <w:left w:val="nil"/>
              <w:bottom w:val="single" w:sz="4" w:space="0" w:color="AEAAAA"/>
              <w:right w:val="single" w:sz="4" w:space="0" w:color="AEAAAA"/>
            </w:tcBorders>
            <w:shd w:val="clear" w:color="000000" w:fill="E7E6E6"/>
            <w:vAlign w:val="bottom"/>
            <w:hideMark/>
          </w:tcPr>
          <w:p w14:paraId="02F991D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Strength of recommendation</w:t>
            </w:r>
          </w:p>
        </w:tc>
        <w:tc>
          <w:tcPr>
            <w:tcW w:w="1163" w:type="dxa"/>
            <w:tcBorders>
              <w:top w:val="single" w:sz="4" w:space="0" w:color="AEAAAA"/>
              <w:left w:val="nil"/>
              <w:bottom w:val="single" w:sz="4" w:space="0" w:color="AEAAAA"/>
              <w:right w:val="single" w:sz="4" w:space="0" w:color="AEAAAA"/>
            </w:tcBorders>
            <w:shd w:val="clear" w:color="000000" w:fill="E7E6E6"/>
            <w:vAlign w:val="bottom"/>
            <w:hideMark/>
          </w:tcPr>
          <w:p w14:paraId="3B5DBE9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Level or quality of evidence </w:t>
            </w:r>
          </w:p>
        </w:tc>
        <w:tc>
          <w:tcPr>
            <w:tcW w:w="1247" w:type="dxa"/>
            <w:tcBorders>
              <w:top w:val="single" w:sz="4" w:space="0" w:color="AEAAAA"/>
              <w:left w:val="nil"/>
              <w:bottom w:val="single" w:sz="4" w:space="0" w:color="AEAAAA"/>
              <w:right w:val="single" w:sz="4" w:space="0" w:color="AEAAAA"/>
            </w:tcBorders>
            <w:shd w:val="clear" w:color="000000" w:fill="E7E6E6"/>
            <w:vAlign w:val="bottom"/>
            <w:hideMark/>
          </w:tcPr>
          <w:p w14:paraId="1665E25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Conversion to GRADE</w:t>
            </w:r>
          </w:p>
        </w:tc>
        <w:tc>
          <w:tcPr>
            <w:tcW w:w="1559" w:type="dxa"/>
            <w:tcBorders>
              <w:top w:val="single" w:sz="4" w:space="0" w:color="AEAAAA"/>
              <w:left w:val="nil"/>
              <w:bottom w:val="single" w:sz="4" w:space="0" w:color="AEAAAA"/>
              <w:right w:val="single" w:sz="4" w:space="0" w:color="AEAAAA"/>
            </w:tcBorders>
            <w:shd w:val="clear" w:color="000000" w:fill="E7E6E6"/>
            <w:vAlign w:val="bottom"/>
            <w:hideMark/>
          </w:tcPr>
          <w:p w14:paraId="5DA88CD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Supporting evidence rating</w:t>
            </w:r>
          </w:p>
        </w:tc>
      </w:tr>
      <w:tr w:rsidR="00DA5F7E" w:rsidRPr="00EC7A17" w14:paraId="02BEE45E" w14:textId="77777777" w:rsidTr="006031D2">
        <w:trPr>
          <w:trHeight w:val="3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054703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10665E1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4233A32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Type/ Topic</w:t>
            </w:r>
          </w:p>
        </w:tc>
        <w:tc>
          <w:tcPr>
            <w:tcW w:w="3118" w:type="dxa"/>
            <w:tcBorders>
              <w:top w:val="nil"/>
              <w:left w:val="nil"/>
              <w:bottom w:val="single" w:sz="4" w:space="0" w:color="AEAAAA"/>
              <w:right w:val="single" w:sz="4" w:space="0" w:color="AEAAAA"/>
            </w:tcBorders>
            <w:shd w:val="clear" w:color="000000" w:fill="E7E6E6"/>
            <w:vAlign w:val="bottom"/>
            <w:hideMark/>
          </w:tcPr>
          <w:p w14:paraId="52077F2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Description</w:t>
            </w:r>
          </w:p>
        </w:tc>
        <w:tc>
          <w:tcPr>
            <w:tcW w:w="1701" w:type="dxa"/>
            <w:tcBorders>
              <w:top w:val="nil"/>
              <w:left w:val="nil"/>
              <w:bottom w:val="single" w:sz="4" w:space="0" w:color="AEAAAA"/>
              <w:right w:val="single" w:sz="4" w:space="0" w:color="AEAAAA"/>
            </w:tcBorders>
            <w:shd w:val="clear" w:color="auto" w:fill="auto"/>
            <w:vAlign w:val="bottom"/>
            <w:hideMark/>
          </w:tcPr>
          <w:p w14:paraId="04A6403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163" w:type="dxa"/>
            <w:tcBorders>
              <w:top w:val="nil"/>
              <w:left w:val="nil"/>
              <w:bottom w:val="single" w:sz="4" w:space="0" w:color="AEAAAA"/>
              <w:right w:val="single" w:sz="4" w:space="0" w:color="AEAAAA"/>
            </w:tcBorders>
            <w:shd w:val="clear" w:color="auto" w:fill="auto"/>
            <w:vAlign w:val="bottom"/>
            <w:hideMark/>
          </w:tcPr>
          <w:p w14:paraId="78FAE65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247" w:type="dxa"/>
            <w:tcBorders>
              <w:top w:val="nil"/>
              <w:left w:val="nil"/>
              <w:bottom w:val="single" w:sz="4" w:space="0" w:color="AEAAAA"/>
              <w:right w:val="single" w:sz="4" w:space="0" w:color="AEAAAA"/>
            </w:tcBorders>
            <w:shd w:val="clear" w:color="auto" w:fill="auto"/>
            <w:vAlign w:val="bottom"/>
            <w:hideMark/>
          </w:tcPr>
          <w:p w14:paraId="4C632EF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559" w:type="dxa"/>
            <w:tcBorders>
              <w:top w:val="nil"/>
              <w:left w:val="nil"/>
              <w:bottom w:val="single" w:sz="4" w:space="0" w:color="AEAAAA"/>
              <w:right w:val="single" w:sz="4" w:space="0" w:color="AEAAAA"/>
            </w:tcBorders>
            <w:shd w:val="clear" w:color="auto" w:fill="auto"/>
            <w:vAlign w:val="bottom"/>
            <w:hideMark/>
          </w:tcPr>
          <w:p w14:paraId="140E46C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r>
      <w:tr w:rsidR="00DA5F7E" w:rsidRPr="00EC7A17" w14:paraId="52B73DFB" w14:textId="77777777" w:rsidTr="006031D2">
        <w:trPr>
          <w:trHeight w:val="135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04B9EF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lastRenderedPageBreak/>
              <w:t>ADA Management of Diabetes in Pregnancy: Standards of Care in Diabetes—2023</w:t>
            </w:r>
          </w:p>
        </w:tc>
        <w:tc>
          <w:tcPr>
            <w:tcW w:w="1387" w:type="dxa"/>
            <w:tcBorders>
              <w:top w:val="nil"/>
              <w:left w:val="nil"/>
              <w:bottom w:val="single" w:sz="4" w:space="0" w:color="AEAAAA"/>
              <w:right w:val="single" w:sz="4" w:space="0" w:color="AEAAAA"/>
            </w:tcBorders>
            <w:shd w:val="clear" w:color="auto" w:fill="auto"/>
            <w:vAlign w:val="bottom"/>
            <w:hideMark/>
          </w:tcPr>
          <w:p w14:paraId="201E927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ADA Grading System </w:t>
            </w:r>
          </w:p>
        </w:tc>
        <w:tc>
          <w:tcPr>
            <w:tcW w:w="1843" w:type="dxa"/>
            <w:tcBorders>
              <w:top w:val="nil"/>
              <w:left w:val="nil"/>
              <w:bottom w:val="single" w:sz="4" w:space="0" w:color="AEAAAA"/>
              <w:right w:val="single" w:sz="4" w:space="0" w:color="AEAAAA"/>
            </w:tcBorders>
            <w:shd w:val="clear" w:color="auto" w:fill="auto"/>
            <w:vAlign w:val="bottom"/>
            <w:hideMark/>
          </w:tcPr>
          <w:p w14:paraId="4FE5F89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Postpartum glucose screening </w:t>
            </w:r>
          </w:p>
        </w:tc>
        <w:tc>
          <w:tcPr>
            <w:tcW w:w="3118" w:type="dxa"/>
            <w:tcBorders>
              <w:top w:val="nil"/>
              <w:left w:val="nil"/>
              <w:bottom w:val="single" w:sz="4" w:space="0" w:color="AEAAAA"/>
              <w:right w:val="single" w:sz="4" w:space="0" w:color="AEAAAA"/>
            </w:tcBorders>
            <w:shd w:val="clear" w:color="auto" w:fill="auto"/>
            <w:vAlign w:val="bottom"/>
            <w:hideMark/>
          </w:tcPr>
          <w:p w14:paraId="447F4B8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Screen women with a recent history of GDM at 4–12 weeks postpartum, using the 75-g OGTT and clinically appropriate nonpregnancy diagnostic criteria. </w:t>
            </w:r>
          </w:p>
        </w:tc>
        <w:tc>
          <w:tcPr>
            <w:tcW w:w="1701" w:type="dxa"/>
            <w:tcBorders>
              <w:top w:val="nil"/>
              <w:left w:val="nil"/>
              <w:bottom w:val="single" w:sz="4" w:space="0" w:color="AEAAAA"/>
              <w:right w:val="single" w:sz="4" w:space="0" w:color="AEAAAA"/>
            </w:tcBorders>
            <w:shd w:val="clear" w:color="auto" w:fill="auto"/>
            <w:vAlign w:val="bottom"/>
            <w:hideMark/>
          </w:tcPr>
          <w:p w14:paraId="6281E94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2CDF94E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w:t>
            </w:r>
          </w:p>
        </w:tc>
        <w:tc>
          <w:tcPr>
            <w:tcW w:w="1247" w:type="dxa"/>
            <w:tcBorders>
              <w:top w:val="nil"/>
              <w:left w:val="nil"/>
              <w:bottom w:val="single" w:sz="4" w:space="0" w:color="AEAAAA"/>
              <w:right w:val="single" w:sz="4" w:space="0" w:color="AEAAAA"/>
            </w:tcBorders>
            <w:shd w:val="clear" w:color="auto" w:fill="auto"/>
            <w:vAlign w:val="bottom"/>
            <w:hideMark/>
          </w:tcPr>
          <w:p w14:paraId="18600D4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auto" w:fill="auto"/>
            <w:vAlign w:val="bottom"/>
            <w:hideMark/>
          </w:tcPr>
          <w:p w14:paraId="37EB235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MA(2)</w:t>
            </w:r>
          </w:p>
        </w:tc>
      </w:tr>
      <w:tr w:rsidR="00DA5F7E" w:rsidRPr="00EC7A17" w14:paraId="165ECBC3" w14:textId="77777777" w:rsidTr="006031D2">
        <w:trPr>
          <w:trHeight w:val="896"/>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5AD1B8A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3AA68D4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2287B59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auto" w:fill="auto"/>
            <w:vAlign w:val="bottom"/>
            <w:hideMark/>
          </w:tcPr>
          <w:p w14:paraId="4B4F1E6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Individuals with a history of GDM should have lifelong screening for the development of type 2 diabetes or prediabetes every 1–3 years. </w:t>
            </w:r>
          </w:p>
        </w:tc>
        <w:tc>
          <w:tcPr>
            <w:tcW w:w="1701" w:type="dxa"/>
            <w:tcBorders>
              <w:top w:val="nil"/>
              <w:left w:val="nil"/>
              <w:bottom w:val="single" w:sz="4" w:space="0" w:color="AEAAAA"/>
              <w:right w:val="single" w:sz="4" w:space="0" w:color="AEAAAA"/>
            </w:tcBorders>
            <w:shd w:val="clear" w:color="auto" w:fill="auto"/>
            <w:vAlign w:val="bottom"/>
            <w:hideMark/>
          </w:tcPr>
          <w:p w14:paraId="354F25F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auto" w:fill="auto"/>
            <w:vAlign w:val="bottom"/>
            <w:hideMark/>
          </w:tcPr>
          <w:p w14:paraId="38717EC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w:t>
            </w:r>
          </w:p>
        </w:tc>
        <w:tc>
          <w:tcPr>
            <w:tcW w:w="1247" w:type="dxa"/>
            <w:tcBorders>
              <w:top w:val="nil"/>
              <w:left w:val="nil"/>
              <w:bottom w:val="single" w:sz="4" w:space="0" w:color="AEAAAA"/>
              <w:right w:val="single" w:sz="4" w:space="0" w:color="AEAAAA"/>
            </w:tcBorders>
            <w:shd w:val="clear" w:color="auto" w:fill="auto"/>
            <w:vAlign w:val="bottom"/>
            <w:hideMark/>
          </w:tcPr>
          <w:p w14:paraId="75197BA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auto" w:fill="auto"/>
            <w:vAlign w:val="bottom"/>
            <w:hideMark/>
          </w:tcPr>
          <w:p w14:paraId="6DA9639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MA(2)</w:t>
            </w:r>
          </w:p>
        </w:tc>
      </w:tr>
      <w:tr w:rsidR="00DA5F7E" w:rsidRPr="00EC7A17" w14:paraId="6E4681D4" w14:textId="77777777" w:rsidTr="006031D2">
        <w:trPr>
          <w:trHeight w:val="1111"/>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4DBBAFF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345A4C1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072581B2"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auto" w:fill="auto"/>
            <w:vAlign w:val="bottom"/>
            <w:hideMark/>
          </w:tcPr>
          <w:p w14:paraId="44ED48C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Insulin requirements need to be evaluated and adjusted as they are often roughly half the pre-pregnancy requirements for the initial few days postpartum. </w:t>
            </w:r>
          </w:p>
        </w:tc>
        <w:tc>
          <w:tcPr>
            <w:tcW w:w="1701" w:type="dxa"/>
            <w:tcBorders>
              <w:top w:val="nil"/>
              <w:left w:val="nil"/>
              <w:bottom w:val="single" w:sz="4" w:space="0" w:color="AEAAAA"/>
              <w:right w:val="single" w:sz="4" w:space="0" w:color="AEAAAA"/>
            </w:tcBorders>
            <w:shd w:val="clear" w:color="auto" w:fill="auto"/>
            <w:vAlign w:val="bottom"/>
            <w:hideMark/>
          </w:tcPr>
          <w:p w14:paraId="5E0CEBB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auto" w:fill="auto"/>
            <w:vAlign w:val="bottom"/>
            <w:hideMark/>
          </w:tcPr>
          <w:p w14:paraId="30BB3F3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w:t>
            </w:r>
          </w:p>
        </w:tc>
        <w:tc>
          <w:tcPr>
            <w:tcW w:w="1247" w:type="dxa"/>
            <w:tcBorders>
              <w:top w:val="nil"/>
              <w:left w:val="nil"/>
              <w:bottom w:val="single" w:sz="4" w:space="0" w:color="AEAAAA"/>
              <w:right w:val="single" w:sz="4" w:space="0" w:color="AEAAAA"/>
            </w:tcBorders>
            <w:shd w:val="clear" w:color="auto" w:fill="auto"/>
            <w:vAlign w:val="bottom"/>
            <w:hideMark/>
          </w:tcPr>
          <w:p w14:paraId="1A741CB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auto" w:fill="auto"/>
            <w:vAlign w:val="bottom"/>
            <w:hideMark/>
          </w:tcPr>
          <w:p w14:paraId="737F1B4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RC(1)</w:t>
            </w:r>
          </w:p>
        </w:tc>
      </w:tr>
      <w:tr w:rsidR="00DA5F7E" w:rsidRPr="00EC7A17" w14:paraId="716D9C09"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21EF98C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7FC4E06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3EE1047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Breastfeeding</w:t>
            </w:r>
          </w:p>
        </w:tc>
        <w:tc>
          <w:tcPr>
            <w:tcW w:w="3118" w:type="dxa"/>
            <w:tcBorders>
              <w:top w:val="nil"/>
              <w:left w:val="nil"/>
              <w:bottom w:val="single" w:sz="4" w:space="0" w:color="AEAAAA"/>
              <w:right w:val="single" w:sz="4" w:space="0" w:color="AEAAAA"/>
            </w:tcBorders>
            <w:shd w:val="clear" w:color="auto" w:fill="auto"/>
            <w:vAlign w:val="bottom"/>
            <w:hideMark/>
          </w:tcPr>
          <w:p w14:paraId="5976170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Breastfeeding is recommended to reduce the risk of maternal type 2 diabetes and should be considered when choosing whether to breastfeed or formula feed. </w:t>
            </w:r>
          </w:p>
        </w:tc>
        <w:tc>
          <w:tcPr>
            <w:tcW w:w="1701" w:type="dxa"/>
            <w:tcBorders>
              <w:top w:val="nil"/>
              <w:left w:val="nil"/>
              <w:bottom w:val="single" w:sz="4" w:space="0" w:color="AEAAAA"/>
              <w:right w:val="single" w:sz="4" w:space="0" w:color="AEAAAA"/>
            </w:tcBorders>
            <w:shd w:val="clear" w:color="auto" w:fill="auto"/>
            <w:vAlign w:val="bottom"/>
            <w:hideMark/>
          </w:tcPr>
          <w:p w14:paraId="225E96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21B22C0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w:t>
            </w:r>
          </w:p>
        </w:tc>
        <w:tc>
          <w:tcPr>
            <w:tcW w:w="1247" w:type="dxa"/>
            <w:tcBorders>
              <w:top w:val="nil"/>
              <w:left w:val="nil"/>
              <w:bottom w:val="single" w:sz="4" w:space="0" w:color="AEAAAA"/>
              <w:right w:val="single" w:sz="4" w:space="0" w:color="AEAAAA"/>
            </w:tcBorders>
            <w:shd w:val="clear" w:color="auto" w:fill="auto"/>
            <w:vAlign w:val="bottom"/>
            <w:hideMark/>
          </w:tcPr>
          <w:p w14:paraId="4B4F0F2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auto" w:fill="auto"/>
            <w:vAlign w:val="bottom"/>
            <w:hideMark/>
          </w:tcPr>
          <w:p w14:paraId="330567D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PC(1), RC(1), R(1), MA(1)</w:t>
            </w:r>
          </w:p>
        </w:tc>
      </w:tr>
      <w:tr w:rsidR="00DA5F7E" w:rsidRPr="00EC7A17" w14:paraId="750A2D0E" w14:textId="77777777" w:rsidTr="006031D2">
        <w:trPr>
          <w:trHeight w:val="1408"/>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15080BE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70BDF99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431CA05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auto" w:fill="auto"/>
            <w:vAlign w:val="bottom"/>
            <w:hideMark/>
          </w:tcPr>
          <w:p w14:paraId="3C403A4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Individuals with overweight/obesity and a history of GDM found to have prediabetes should receive intensive lifestyle interventions and/or metformin to prevent diabetes.</w:t>
            </w:r>
          </w:p>
        </w:tc>
        <w:tc>
          <w:tcPr>
            <w:tcW w:w="1701" w:type="dxa"/>
            <w:tcBorders>
              <w:top w:val="nil"/>
              <w:left w:val="nil"/>
              <w:bottom w:val="single" w:sz="4" w:space="0" w:color="AEAAAA"/>
              <w:right w:val="single" w:sz="4" w:space="0" w:color="AEAAAA"/>
            </w:tcBorders>
            <w:shd w:val="clear" w:color="auto" w:fill="auto"/>
            <w:vAlign w:val="bottom"/>
            <w:hideMark/>
          </w:tcPr>
          <w:p w14:paraId="07091F6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auto" w:fill="auto"/>
            <w:vAlign w:val="bottom"/>
            <w:hideMark/>
          </w:tcPr>
          <w:p w14:paraId="0407335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w:t>
            </w:r>
          </w:p>
        </w:tc>
        <w:tc>
          <w:tcPr>
            <w:tcW w:w="1247" w:type="dxa"/>
            <w:tcBorders>
              <w:top w:val="nil"/>
              <w:left w:val="nil"/>
              <w:bottom w:val="single" w:sz="4" w:space="0" w:color="AEAAAA"/>
              <w:right w:val="single" w:sz="4" w:space="0" w:color="AEAAAA"/>
            </w:tcBorders>
            <w:shd w:val="clear" w:color="auto" w:fill="auto"/>
            <w:vAlign w:val="bottom"/>
            <w:hideMark/>
          </w:tcPr>
          <w:p w14:paraId="2349B14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auto" w:fill="auto"/>
            <w:vAlign w:val="bottom"/>
            <w:hideMark/>
          </w:tcPr>
          <w:p w14:paraId="5D21CED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PC(1), MA(3) RCT(1), RC(1)</w:t>
            </w:r>
          </w:p>
        </w:tc>
      </w:tr>
      <w:tr w:rsidR="00DA5F7E" w:rsidRPr="00EC7A17" w14:paraId="60BD50B8" w14:textId="77777777" w:rsidTr="006031D2">
        <w:trPr>
          <w:trHeight w:val="804"/>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226F6F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2813178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7F7B12F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auto" w:fill="auto"/>
            <w:vAlign w:val="bottom"/>
            <w:hideMark/>
          </w:tcPr>
          <w:p w14:paraId="2F94C93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A contraceptive plan should be discussed and implemented with all people with diabetes of reproductive potential. </w:t>
            </w:r>
          </w:p>
        </w:tc>
        <w:tc>
          <w:tcPr>
            <w:tcW w:w="1701" w:type="dxa"/>
            <w:tcBorders>
              <w:top w:val="nil"/>
              <w:left w:val="nil"/>
              <w:bottom w:val="single" w:sz="4" w:space="0" w:color="AEAAAA"/>
              <w:right w:val="single" w:sz="4" w:space="0" w:color="AEAAAA"/>
            </w:tcBorders>
            <w:shd w:val="clear" w:color="auto" w:fill="auto"/>
            <w:vAlign w:val="bottom"/>
            <w:hideMark/>
          </w:tcPr>
          <w:p w14:paraId="79F8BB5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5638E44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w:t>
            </w:r>
          </w:p>
        </w:tc>
        <w:tc>
          <w:tcPr>
            <w:tcW w:w="1247" w:type="dxa"/>
            <w:tcBorders>
              <w:top w:val="nil"/>
              <w:left w:val="nil"/>
              <w:bottom w:val="single" w:sz="4" w:space="0" w:color="AEAAAA"/>
              <w:right w:val="single" w:sz="4" w:space="0" w:color="AEAAAA"/>
            </w:tcBorders>
            <w:shd w:val="clear" w:color="auto" w:fill="auto"/>
            <w:vAlign w:val="bottom"/>
            <w:hideMark/>
          </w:tcPr>
          <w:p w14:paraId="5F9B788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High </w:t>
            </w:r>
          </w:p>
        </w:tc>
        <w:tc>
          <w:tcPr>
            <w:tcW w:w="1559" w:type="dxa"/>
            <w:tcBorders>
              <w:top w:val="nil"/>
              <w:left w:val="nil"/>
              <w:bottom w:val="single" w:sz="4" w:space="0" w:color="AEAAAA"/>
              <w:right w:val="single" w:sz="4" w:space="0" w:color="AEAAAA"/>
            </w:tcBorders>
            <w:shd w:val="clear" w:color="auto" w:fill="auto"/>
            <w:vAlign w:val="bottom"/>
            <w:hideMark/>
          </w:tcPr>
          <w:p w14:paraId="6A6C887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CS(1), SR(1), RP(1)</w:t>
            </w:r>
          </w:p>
        </w:tc>
      </w:tr>
      <w:tr w:rsidR="00DA5F7E" w:rsidRPr="00EC7A17" w14:paraId="6A627DD5" w14:textId="77777777" w:rsidTr="006031D2">
        <w:trPr>
          <w:trHeight w:val="781"/>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59CE81D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auto" w:fill="auto"/>
            <w:vAlign w:val="bottom"/>
            <w:hideMark/>
          </w:tcPr>
          <w:p w14:paraId="62586E5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758D2FB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Psychosocial care</w:t>
            </w:r>
          </w:p>
        </w:tc>
        <w:tc>
          <w:tcPr>
            <w:tcW w:w="3118" w:type="dxa"/>
            <w:tcBorders>
              <w:top w:val="nil"/>
              <w:left w:val="nil"/>
              <w:bottom w:val="single" w:sz="4" w:space="0" w:color="AEAAAA"/>
              <w:right w:val="single" w:sz="4" w:space="0" w:color="AEAAAA"/>
            </w:tcBorders>
            <w:shd w:val="clear" w:color="auto" w:fill="auto"/>
            <w:vAlign w:val="bottom"/>
            <w:hideMark/>
          </w:tcPr>
          <w:p w14:paraId="446D010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Postpartum care should include psychosocial assessment and support for self-care. </w:t>
            </w:r>
          </w:p>
          <w:p w14:paraId="24CC8F1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701" w:type="dxa"/>
            <w:tcBorders>
              <w:top w:val="nil"/>
              <w:left w:val="nil"/>
              <w:bottom w:val="single" w:sz="4" w:space="0" w:color="AEAAAA"/>
              <w:right w:val="single" w:sz="4" w:space="0" w:color="AEAAAA"/>
            </w:tcBorders>
            <w:shd w:val="clear" w:color="auto" w:fill="auto"/>
            <w:vAlign w:val="bottom"/>
            <w:hideMark/>
          </w:tcPr>
          <w:p w14:paraId="569ACF6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auto" w:fill="auto"/>
            <w:vAlign w:val="bottom"/>
            <w:hideMark/>
          </w:tcPr>
          <w:p w14:paraId="0C1499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w:t>
            </w:r>
          </w:p>
        </w:tc>
        <w:tc>
          <w:tcPr>
            <w:tcW w:w="1247" w:type="dxa"/>
            <w:tcBorders>
              <w:top w:val="nil"/>
              <w:left w:val="nil"/>
              <w:bottom w:val="single" w:sz="4" w:space="0" w:color="AEAAAA"/>
              <w:right w:val="single" w:sz="4" w:space="0" w:color="AEAAAA"/>
            </w:tcBorders>
            <w:shd w:val="clear" w:color="auto" w:fill="auto"/>
            <w:vAlign w:val="bottom"/>
            <w:hideMark/>
          </w:tcPr>
          <w:p w14:paraId="0D6054A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auto" w:fill="auto"/>
            <w:vAlign w:val="bottom"/>
            <w:hideMark/>
          </w:tcPr>
          <w:p w14:paraId="439C9DE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Expert consensus </w:t>
            </w:r>
          </w:p>
        </w:tc>
      </w:tr>
      <w:tr w:rsidR="00DA5F7E" w:rsidRPr="00EC7A17" w14:paraId="58314C2C" w14:textId="77777777" w:rsidTr="006031D2">
        <w:trPr>
          <w:trHeight w:val="1875"/>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F82493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Management of diabetes and its complications from preconception to the postnatal period. </w:t>
            </w:r>
          </w:p>
          <w:p w14:paraId="243EBD7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NICE 2020</w:t>
            </w:r>
          </w:p>
        </w:tc>
        <w:tc>
          <w:tcPr>
            <w:tcW w:w="1387" w:type="dxa"/>
            <w:tcBorders>
              <w:top w:val="nil"/>
              <w:left w:val="nil"/>
              <w:bottom w:val="single" w:sz="4" w:space="0" w:color="AEAAAA"/>
              <w:right w:val="single" w:sz="4" w:space="0" w:color="AEAAAA"/>
            </w:tcBorders>
            <w:shd w:val="clear" w:color="000000" w:fill="E7E6E6"/>
            <w:vAlign w:val="bottom"/>
            <w:hideMark/>
          </w:tcPr>
          <w:p w14:paraId="15F7177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NICE grading system</w:t>
            </w:r>
          </w:p>
        </w:tc>
        <w:tc>
          <w:tcPr>
            <w:tcW w:w="1843" w:type="dxa"/>
            <w:tcBorders>
              <w:top w:val="nil"/>
              <w:left w:val="nil"/>
              <w:bottom w:val="single" w:sz="4" w:space="0" w:color="AEAAAA"/>
              <w:right w:val="single" w:sz="4" w:space="0" w:color="AEAAAA"/>
            </w:tcBorders>
            <w:shd w:val="clear" w:color="000000" w:fill="E7E6E6"/>
            <w:vAlign w:val="bottom"/>
            <w:hideMark/>
          </w:tcPr>
          <w:p w14:paraId="434CABB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Postpartum glucose screening </w:t>
            </w:r>
          </w:p>
        </w:tc>
        <w:tc>
          <w:tcPr>
            <w:tcW w:w="3118" w:type="dxa"/>
            <w:tcBorders>
              <w:top w:val="nil"/>
              <w:left w:val="nil"/>
              <w:bottom w:val="single" w:sz="4" w:space="0" w:color="AEAAAA"/>
              <w:right w:val="single" w:sz="4" w:space="0" w:color="AEAAAA"/>
            </w:tcBorders>
            <w:shd w:val="clear" w:color="000000" w:fill="E7E6E6"/>
            <w:vAlign w:val="bottom"/>
            <w:hideMark/>
          </w:tcPr>
          <w:p w14:paraId="6F636F4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For women who were diagnosed with gestational diabetes and whose blood glucose levels returned to normal after the birth: </w:t>
            </w:r>
          </w:p>
          <w:p w14:paraId="54AFF52B" w14:textId="77777777" w:rsidR="00DA5F7E" w:rsidRPr="00EC7A17" w:rsidRDefault="00DA5F7E" w:rsidP="006031D2">
            <w:pPr>
              <w:pStyle w:val="ListParagraph"/>
              <w:numPr>
                <w:ilvl w:val="0"/>
                <w:numId w:val="11"/>
              </w:numPr>
              <w:spacing w:after="0" w:line="240" w:lineRule="auto"/>
              <w:ind w:left="-3"/>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r>
              <w:rPr>
                <w:rFonts w:ascii="Times New Roman" w:eastAsia="Times New Roman" w:hAnsi="Times New Roman" w:cs="Times New Roman"/>
                <w:color w:val="000000"/>
                <w:lang w:eastAsia="en-NZ"/>
              </w:rPr>
              <w:t xml:space="preserve"> </w:t>
            </w:r>
            <w:r w:rsidRPr="00EC7A17">
              <w:rPr>
                <w:rFonts w:ascii="Times New Roman" w:eastAsia="Times New Roman" w:hAnsi="Times New Roman" w:cs="Times New Roman"/>
                <w:color w:val="000000"/>
                <w:lang w:eastAsia="en-NZ"/>
              </w:rPr>
              <w:t xml:space="preserve">offer a fasting plasma glucose test 6 to 13 weeks after the birth to exclude diabetes </w:t>
            </w:r>
          </w:p>
          <w:p w14:paraId="7D5D4377" w14:textId="77777777" w:rsidR="00DA5F7E" w:rsidRPr="00EC7A17" w:rsidRDefault="00DA5F7E" w:rsidP="006031D2">
            <w:pPr>
              <w:pStyle w:val="ListParagraph"/>
              <w:numPr>
                <w:ilvl w:val="0"/>
                <w:numId w:val="11"/>
              </w:numPr>
              <w:spacing w:after="0" w:line="240" w:lineRule="auto"/>
              <w:ind w:left="-3"/>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offer a referral into the NHS Diabetes Prevention Programme if eligible based on the results of the fasting plasma glucose test or HbA1c test.</w:t>
            </w:r>
          </w:p>
        </w:tc>
        <w:tc>
          <w:tcPr>
            <w:tcW w:w="1701" w:type="dxa"/>
            <w:tcBorders>
              <w:top w:val="nil"/>
              <w:left w:val="nil"/>
              <w:bottom w:val="single" w:sz="4" w:space="0" w:color="AEAAAA"/>
              <w:right w:val="single" w:sz="4" w:space="0" w:color="AEAAAA"/>
            </w:tcBorders>
            <w:shd w:val="clear" w:color="000000" w:fill="E7E6E6"/>
            <w:vAlign w:val="bottom"/>
            <w:hideMark/>
          </w:tcPr>
          <w:p w14:paraId="7DF22C0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4E9110C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247" w:type="dxa"/>
            <w:tcBorders>
              <w:top w:val="nil"/>
              <w:left w:val="nil"/>
              <w:bottom w:val="single" w:sz="4" w:space="0" w:color="AEAAAA"/>
              <w:right w:val="single" w:sz="4" w:space="0" w:color="AEAAAA"/>
            </w:tcBorders>
            <w:shd w:val="clear" w:color="000000" w:fill="E7E6E6"/>
            <w:vAlign w:val="bottom"/>
            <w:hideMark/>
          </w:tcPr>
          <w:p w14:paraId="2E3E116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1E2DF46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Diagnostic accuracy of postnatal tests (13): PC(3), RC(10)</w:t>
            </w:r>
            <w:r w:rsidRPr="00EC7A17">
              <w:rPr>
                <w:rFonts w:ascii="Times New Roman" w:eastAsia="Times New Roman" w:hAnsi="Times New Roman" w:cs="Times New Roman"/>
                <w:color w:val="000000"/>
                <w:lang w:eastAsia="en-NZ"/>
              </w:rPr>
              <w:br/>
              <w:t>Timing of postnatal tests (51): PC:(24), RC(24), CC(2), CS(1)</w:t>
            </w:r>
          </w:p>
          <w:p w14:paraId="640613C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Referral: No evidence reported</w:t>
            </w:r>
          </w:p>
        </w:tc>
      </w:tr>
      <w:tr w:rsidR="00DA5F7E" w:rsidRPr="00EC7A17" w14:paraId="48FB251C" w14:textId="77777777" w:rsidTr="006031D2">
        <w:trPr>
          <w:trHeight w:val="1249"/>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76442B7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hideMark/>
          </w:tcPr>
          <w:p w14:paraId="3045761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73D0FB6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334928C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For women having a fasting plasma glucose test as the postnatal test: they will need an annual test to check that their blood glucose levels are normal</w:t>
            </w:r>
          </w:p>
        </w:tc>
        <w:tc>
          <w:tcPr>
            <w:tcW w:w="1701" w:type="dxa"/>
            <w:tcBorders>
              <w:top w:val="nil"/>
              <w:left w:val="nil"/>
              <w:bottom w:val="single" w:sz="4" w:space="0" w:color="AEAAAA"/>
              <w:right w:val="single" w:sz="4" w:space="0" w:color="AEAAAA"/>
            </w:tcBorders>
            <w:shd w:val="clear" w:color="000000" w:fill="E7E6E6"/>
            <w:vAlign w:val="bottom"/>
            <w:hideMark/>
          </w:tcPr>
          <w:p w14:paraId="18AD770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51BB94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247" w:type="dxa"/>
            <w:tcBorders>
              <w:top w:val="nil"/>
              <w:left w:val="nil"/>
              <w:bottom w:val="single" w:sz="4" w:space="0" w:color="AEAAAA"/>
              <w:right w:val="single" w:sz="4" w:space="0" w:color="AEAAAA"/>
            </w:tcBorders>
            <w:shd w:val="clear" w:color="000000" w:fill="E7E6E6"/>
            <w:vAlign w:val="bottom"/>
            <w:hideMark/>
          </w:tcPr>
          <w:p w14:paraId="243A918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75EE107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RC(3), PC(9), </w:t>
            </w:r>
          </w:p>
        </w:tc>
      </w:tr>
      <w:tr w:rsidR="00DA5F7E" w:rsidRPr="00EC7A17" w14:paraId="537243F9" w14:textId="77777777" w:rsidTr="006031D2">
        <w:trPr>
          <w:trHeight w:val="1249"/>
        </w:trPr>
        <w:tc>
          <w:tcPr>
            <w:tcW w:w="1727" w:type="dxa"/>
            <w:tcBorders>
              <w:top w:val="nil"/>
              <w:left w:val="single" w:sz="4" w:space="0" w:color="AEAAAA"/>
              <w:bottom w:val="single" w:sz="4" w:space="0" w:color="AEAAAA"/>
              <w:right w:val="single" w:sz="4" w:space="0" w:color="AEAAAA"/>
            </w:tcBorders>
            <w:shd w:val="clear" w:color="000000" w:fill="E7E6E6"/>
            <w:vAlign w:val="bottom"/>
          </w:tcPr>
          <w:p w14:paraId="65CB88B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p>
        </w:tc>
        <w:tc>
          <w:tcPr>
            <w:tcW w:w="1387" w:type="dxa"/>
            <w:tcBorders>
              <w:top w:val="nil"/>
              <w:left w:val="nil"/>
              <w:bottom w:val="single" w:sz="4" w:space="0" w:color="AEAAAA"/>
              <w:right w:val="single" w:sz="4" w:space="0" w:color="AEAAAA"/>
            </w:tcBorders>
            <w:shd w:val="clear" w:color="000000" w:fill="E7E6E6"/>
          </w:tcPr>
          <w:p w14:paraId="4C48199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000000" w:fill="E7E6E6"/>
            <w:vAlign w:val="bottom"/>
          </w:tcPr>
          <w:p w14:paraId="050A722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p>
        </w:tc>
        <w:tc>
          <w:tcPr>
            <w:tcW w:w="3118" w:type="dxa"/>
            <w:tcBorders>
              <w:top w:val="nil"/>
              <w:left w:val="nil"/>
              <w:bottom w:val="single" w:sz="4" w:space="0" w:color="AEAAAA"/>
              <w:right w:val="single" w:sz="4" w:space="0" w:color="AEAAAA"/>
            </w:tcBorders>
            <w:shd w:val="clear" w:color="000000" w:fill="E7E6E6"/>
            <w:vAlign w:val="bottom"/>
          </w:tcPr>
          <w:p w14:paraId="7CCAE44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Explain to women who were diagnosed with GDM about the risks of recurrence in future pregnancies and offer them diabetes testing when planning future pregnancies</w:t>
            </w:r>
          </w:p>
        </w:tc>
        <w:tc>
          <w:tcPr>
            <w:tcW w:w="1701" w:type="dxa"/>
            <w:tcBorders>
              <w:top w:val="nil"/>
              <w:left w:val="nil"/>
              <w:bottom w:val="single" w:sz="4" w:space="0" w:color="AEAAAA"/>
              <w:right w:val="single" w:sz="4" w:space="0" w:color="AEAAAA"/>
            </w:tcBorders>
            <w:shd w:val="clear" w:color="000000" w:fill="E7E6E6"/>
            <w:vAlign w:val="bottom"/>
          </w:tcPr>
          <w:p w14:paraId="0EA4D0B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000000" w:fill="E7E6E6"/>
            <w:vAlign w:val="bottom"/>
          </w:tcPr>
          <w:p w14:paraId="63E7AA4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EL = 2++</w:t>
            </w:r>
          </w:p>
        </w:tc>
        <w:tc>
          <w:tcPr>
            <w:tcW w:w="1247" w:type="dxa"/>
            <w:tcBorders>
              <w:top w:val="nil"/>
              <w:left w:val="nil"/>
              <w:bottom w:val="single" w:sz="4" w:space="0" w:color="AEAAAA"/>
              <w:right w:val="single" w:sz="4" w:space="0" w:color="AEAAAA"/>
            </w:tcBorders>
            <w:shd w:val="clear" w:color="000000" w:fill="E7E6E6"/>
            <w:vAlign w:val="bottom"/>
          </w:tcPr>
          <w:p w14:paraId="497BA58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E7E6E6"/>
            <w:vAlign w:val="bottom"/>
          </w:tcPr>
          <w:p w14:paraId="2789258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SR(1)</w:t>
            </w:r>
          </w:p>
        </w:tc>
      </w:tr>
      <w:tr w:rsidR="00DA5F7E" w:rsidRPr="00EC7A17" w14:paraId="30D05617" w14:textId="77777777" w:rsidTr="006031D2">
        <w:trPr>
          <w:trHeight w:val="1155"/>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61A698A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4F3BE9E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488A3B6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000000" w:fill="E7E6E6"/>
            <w:vAlign w:val="bottom"/>
            <w:hideMark/>
          </w:tcPr>
          <w:p w14:paraId="7A16E15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who have been diagnosed with GDM should stop blood glucose</w:t>
            </w:r>
            <w:r w:rsidRPr="00EC7A17">
              <w:rPr>
                <w:rFonts w:ascii="Times New Roman" w:eastAsia="Times New Roman" w:hAnsi="Times New Roman" w:cs="Times New Roman"/>
                <w:color w:val="000000"/>
                <w:lang w:eastAsia="en-NZ"/>
              </w:rPr>
              <w:noBreakHyphen/>
              <w:t>lowering therapy immediately after birth.</w:t>
            </w:r>
          </w:p>
        </w:tc>
        <w:tc>
          <w:tcPr>
            <w:tcW w:w="1701" w:type="dxa"/>
            <w:tcBorders>
              <w:top w:val="nil"/>
              <w:left w:val="nil"/>
              <w:bottom w:val="single" w:sz="4" w:space="0" w:color="AEAAAA"/>
              <w:right w:val="single" w:sz="4" w:space="0" w:color="AEAAAA"/>
            </w:tcBorders>
            <w:shd w:val="clear" w:color="000000" w:fill="E7E6E6"/>
            <w:vAlign w:val="bottom"/>
            <w:hideMark/>
          </w:tcPr>
          <w:p w14:paraId="5ACFECD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DEDED"/>
            <w:vAlign w:val="bottom"/>
            <w:hideMark/>
          </w:tcPr>
          <w:p w14:paraId="75BF033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247" w:type="dxa"/>
            <w:tcBorders>
              <w:top w:val="nil"/>
              <w:left w:val="nil"/>
              <w:bottom w:val="single" w:sz="4" w:space="0" w:color="AEAAAA"/>
              <w:right w:val="single" w:sz="4" w:space="0" w:color="AEAAAA"/>
            </w:tcBorders>
            <w:shd w:val="clear" w:color="000000" w:fill="EDEDED"/>
            <w:vAlign w:val="bottom"/>
            <w:hideMark/>
          </w:tcPr>
          <w:p w14:paraId="3BEC78B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DEDED"/>
            <w:vAlign w:val="bottom"/>
            <w:hideMark/>
          </w:tcPr>
          <w:p w14:paraId="79E066B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59F6C31D" w14:textId="77777777" w:rsidTr="006031D2">
        <w:trPr>
          <w:trHeight w:val="132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4383766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256293F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51D3C4F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4439490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Before women who were diagnosed with gestational diabetes are transferred to community care, test their blood glucose to exclude persisting hyperglycaemia.</w:t>
            </w:r>
          </w:p>
        </w:tc>
        <w:tc>
          <w:tcPr>
            <w:tcW w:w="1701" w:type="dxa"/>
            <w:tcBorders>
              <w:top w:val="nil"/>
              <w:left w:val="nil"/>
              <w:bottom w:val="single" w:sz="4" w:space="0" w:color="AEAAAA"/>
              <w:right w:val="single" w:sz="4" w:space="0" w:color="AEAAAA"/>
            </w:tcBorders>
            <w:shd w:val="clear" w:color="000000" w:fill="E7E6E6"/>
            <w:vAlign w:val="bottom"/>
            <w:hideMark/>
          </w:tcPr>
          <w:p w14:paraId="64B4261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6E269DF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 (no evidence)</w:t>
            </w:r>
          </w:p>
        </w:tc>
        <w:tc>
          <w:tcPr>
            <w:tcW w:w="1247" w:type="dxa"/>
            <w:tcBorders>
              <w:top w:val="nil"/>
              <w:left w:val="nil"/>
              <w:bottom w:val="single" w:sz="4" w:space="0" w:color="AEAAAA"/>
              <w:right w:val="single" w:sz="4" w:space="0" w:color="AEAAAA"/>
            </w:tcBorders>
            <w:shd w:val="clear" w:color="000000" w:fill="E7E6E6"/>
            <w:vAlign w:val="bottom"/>
            <w:hideMark/>
          </w:tcPr>
          <w:p w14:paraId="5A87FE5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2E359DE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evidence reported</w:t>
            </w:r>
          </w:p>
        </w:tc>
      </w:tr>
      <w:tr w:rsidR="00DA5F7E" w:rsidRPr="00EC7A17" w14:paraId="562ACC23" w14:textId="77777777" w:rsidTr="006031D2">
        <w:trPr>
          <w:trHeight w:val="129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6AA80B7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4BCCF5E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1035E3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000000" w:fill="E7E6E6"/>
            <w:vAlign w:val="bottom"/>
            <w:hideMark/>
          </w:tcPr>
          <w:p w14:paraId="4941302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For women who were diagnosed with gestational diabetes and whose blood glucose levels returned to normal after the birth: offer lifestyle advice (including weight control, diet, and exercise)</w:t>
            </w:r>
          </w:p>
        </w:tc>
        <w:tc>
          <w:tcPr>
            <w:tcW w:w="1701" w:type="dxa"/>
            <w:tcBorders>
              <w:top w:val="nil"/>
              <w:left w:val="nil"/>
              <w:bottom w:val="single" w:sz="4" w:space="0" w:color="AEAAAA"/>
              <w:right w:val="single" w:sz="4" w:space="0" w:color="AEAAAA"/>
            </w:tcBorders>
            <w:shd w:val="clear" w:color="000000" w:fill="E7E6E6"/>
            <w:vAlign w:val="bottom"/>
            <w:hideMark/>
          </w:tcPr>
          <w:p w14:paraId="64E1246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2C3E744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High </w:t>
            </w:r>
          </w:p>
        </w:tc>
        <w:tc>
          <w:tcPr>
            <w:tcW w:w="1247" w:type="dxa"/>
            <w:tcBorders>
              <w:top w:val="nil"/>
              <w:left w:val="nil"/>
              <w:bottom w:val="single" w:sz="4" w:space="0" w:color="AEAAAA"/>
              <w:right w:val="single" w:sz="4" w:space="0" w:color="AEAAAA"/>
            </w:tcBorders>
            <w:shd w:val="clear" w:color="000000" w:fill="E7E6E6"/>
            <w:vAlign w:val="bottom"/>
            <w:hideMark/>
          </w:tcPr>
          <w:p w14:paraId="72FEF6F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High </w:t>
            </w:r>
          </w:p>
        </w:tc>
        <w:tc>
          <w:tcPr>
            <w:tcW w:w="1559" w:type="dxa"/>
            <w:tcBorders>
              <w:top w:val="nil"/>
              <w:left w:val="nil"/>
              <w:bottom w:val="single" w:sz="4" w:space="0" w:color="AEAAAA"/>
              <w:right w:val="single" w:sz="4" w:space="0" w:color="AEAAAA"/>
            </w:tcBorders>
            <w:shd w:val="clear" w:color="000000" w:fill="EDEDED"/>
            <w:vAlign w:val="bottom"/>
            <w:hideMark/>
          </w:tcPr>
          <w:p w14:paraId="3A547C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SR(1), RCT(2)</w:t>
            </w:r>
          </w:p>
        </w:tc>
      </w:tr>
      <w:tr w:rsidR="00DA5F7E" w:rsidRPr="00EC7A17" w14:paraId="38AE4984" w14:textId="77777777" w:rsidTr="006031D2">
        <w:trPr>
          <w:trHeight w:val="274"/>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42E645D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Diagnosis and Management of Diabetes in Pregnancy. Ministry of Public Health Qatar </w:t>
            </w:r>
          </w:p>
        </w:tc>
        <w:tc>
          <w:tcPr>
            <w:tcW w:w="1387" w:type="dxa"/>
            <w:tcBorders>
              <w:top w:val="nil"/>
              <w:left w:val="nil"/>
              <w:bottom w:val="single" w:sz="4" w:space="0" w:color="AEAAAA"/>
              <w:right w:val="single" w:sz="4" w:space="0" w:color="AEAAAA"/>
            </w:tcBorders>
            <w:shd w:val="clear" w:color="auto" w:fill="auto"/>
            <w:vAlign w:val="bottom"/>
            <w:hideMark/>
          </w:tcPr>
          <w:p w14:paraId="1712FF6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Ministry of Public Health Qatar grading system</w:t>
            </w:r>
          </w:p>
        </w:tc>
        <w:tc>
          <w:tcPr>
            <w:tcW w:w="1843" w:type="dxa"/>
            <w:tcBorders>
              <w:top w:val="nil"/>
              <w:left w:val="nil"/>
              <w:bottom w:val="single" w:sz="4" w:space="0" w:color="AEAAAA"/>
              <w:right w:val="single" w:sz="4" w:space="0" w:color="AEAAAA"/>
            </w:tcBorders>
            <w:shd w:val="clear" w:color="auto" w:fill="auto"/>
            <w:vAlign w:val="bottom"/>
            <w:hideMark/>
          </w:tcPr>
          <w:p w14:paraId="4EDC331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Postpartum glucose screening </w:t>
            </w:r>
          </w:p>
        </w:tc>
        <w:tc>
          <w:tcPr>
            <w:tcW w:w="3118" w:type="dxa"/>
            <w:tcBorders>
              <w:top w:val="nil"/>
              <w:left w:val="nil"/>
              <w:bottom w:val="single" w:sz="4" w:space="0" w:color="AEAAAA"/>
              <w:right w:val="single" w:sz="4" w:space="0" w:color="AEAAAA"/>
            </w:tcBorders>
            <w:shd w:val="clear" w:color="auto" w:fill="auto"/>
            <w:vAlign w:val="bottom"/>
            <w:hideMark/>
          </w:tcPr>
          <w:p w14:paraId="70A1913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All women should have 75g OGTT performed 4-12 weeks post-partum, Patients who missed the OGTT within the 12 weeks check should have a HBA1C performed.</w:t>
            </w:r>
          </w:p>
        </w:tc>
        <w:tc>
          <w:tcPr>
            <w:tcW w:w="1701" w:type="dxa"/>
            <w:tcBorders>
              <w:top w:val="nil"/>
              <w:left w:val="nil"/>
              <w:bottom w:val="single" w:sz="4" w:space="0" w:color="AEAAAA"/>
              <w:right w:val="single" w:sz="4" w:space="0" w:color="AEAAAA"/>
            </w:tcBorders>
            <w:shd w:val="clear" w:color="auto" w:fill="auto"/>
            <w:vAlign w:val="bottom"/>
            <w:hideMark/>
          </w:tcPr>
          <w:p w14:paraId="014CAED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75DD440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Guideline development group recommendation (R-GDG)</w:t>
            </w:r>
          </w:p>
        </w:tc>
        <w:tc>
          <w:tcPr>
            <w:tcW w:w="1247" w:type="dxa"/>
            <w:tcBorders>
              <w:top w:val="nil"/>
              <w:left w:val="nil"/>
              <w:bottom w:val="single" w:sz="4" w:space="0" w:color="AEAAAA"/>
              <w:right w:val="single" w:sz="4" w:space="0" w:color="AEAAAA"/>
            </w:tcBorders>
            <w:shd w:val="clear" w:color="auto" w:fill="auto"/>
            <w:vAlign w:val="bottom"/>
            <w:hideMark/>
          </w:tcPr>
          <w:p w14:paraId="4486AD8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auto" w:fill="auto"/>
            <w:vAlign w:val="bottom"/>
            <w:hideMark/>
          </w:tcPr>
          <w:p w14:paraId="7DBC379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Expert consensus </w:t>
            </w:r>
          </w:p>
        </w:tc>
      </w:tr>
      <w:tr w:rsidR="00DA5F7E" w:rsidRPr="00EC7A17" w14:paraId="3279F8F8" w14:textId="77777777" w:rsidTr="006031D2">
        <w:trPr>
          <w:trHeight w:val="655"/>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114731E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7351784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1780191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auto" w:fill="auto"/>
            <w:vAlign w:val="bottom"/>
            <w:hideMark/>
          </w:tcPr>
          <w:p w14:paraId="284EF3A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Perform annual monitoring of HBA1C or fasting blood glucose</w:t>
            </w:r>
          </w:p>
        </w:tc>
        <w:tc>
          <w:tcPr>
            <w:tcW w:w="1701" w:type="dxa"/>
            <w:tcBorders>
              <w:top w:val="nil"/>
              <w:left w:val="nil"/>
              <w:bottom w:val="single" w:sz="4" w:space="0" w:color="AEAAAA"/>
              <w:right w:val="single" w:sz="4" w:space="0" w:color="AEAAAA"/>
            </w:tcBorders>
            <w:shd w:val="clear" w:color="auto" w:fill="auto"/>
            <w:vAlign w:val="bottom"/>
            <w:hideMark/>
          </w:tcPr>
          <w:p w14:paraId="77E609E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4F170AF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420D293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0DF2B0E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 NICE 2015</w:t>
            </w:r>
          </w:p>
        </w:tc>
      </w:tr>
      <w:tr w:rsidR="00DA5F7E" w:rsidRPr="00EC7A17" w14:paraId="57C92B40" w14:textId="77777777" w:rsidTr="006031D2">
        <w:trPr>
          <w:trHeight w:val="1273"/>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0C51148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1D8CDE4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4038FB5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auto" w:fill="auto"/>
            <w:vAlign w:val="bottom"/>
            <w:hideMark/>
          </w:tcPr>
          <w:p w14:paraId="650F7B3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should be advised to maintain frequent contact with the diabetes service during the postpartum period to allow for glycaemic assessment and insulin dose adjustment.</w:t>
            </w:r>
          </w:p>
        </w:tc>
        <w:tc>
          <w:tcPr>
            <w:tcW w:w="1701" w:type="dxa"/>
            <w:tcBorders>
              <w:top w:val="nil"/>
              <w:left w:val="nil"/>
              <w:bottom w:val="single" w:sz="4" w:space="0" w:color="AEAAAA"/>
              <w:right w:val="single" w:sz="4" w:space="0" w:color="AEAAAA"/>
            </w:tcBorders>
            <w:shd w:val="clear" w:color="auto" w:fill="auto"/>
            <w:noWrap/>
            <w:vAlign w:val="bottom"/>
            <w:hideMark/>
          </w:tcPr>
          <w:p w14:paraId="1DF5FC4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noWrap/>
            <w:vAlign w:val="bottom"/>
            <w:hideMark/>
          </w:tcPr>
          <w:p w14:paraId="00DC758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noWrap/>
            <w:vAlign w:val="bottom"/>
            <w:hideMark/>
          </w:tcPr>
          <w:p w14:paraId="2495A34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1BA659A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NICE 2015</w:t>
            </w:r>
          </w:p>
        </w:tc>
      </w:tr>
      <w:tr w:rsidR="00DA5F7E" w:rsidRPr="00EC7A17" w14:paraId="650B0072" w14:textId="77777777" w:rsidTr="006031D2">
        <w:trPr>
          <w:trHeight w:val="682"/>
        </w:trPr>
        <w:tc>
          <w:tcPr>
            <w:tcW w:w="1727" w:type="dxa"/>
            <w:tcBorders>
              <w:top w:val="nil"/>
              <w:left w:val="single" w:sz="4" w:space="0" w:color="AEAAAA"/>
              <w:bottom w:val="single" w:sz="4" w:space="0" w:color="AEAAAA"/>
              <w:right w:val="single" w:sz="4" w:space="0" w:color="AEAAAA"/>
            </w:tcBorders>
            <w:shd w:val="clear" w:color="auto" w:fill="auto"/>
            <w:vAlign w:val="bottom"/>
          </w:tcPr>
          <w:p w14:paraId="5B8D097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387" w:type="dxa"/>
            <w:tcBorders>
              <w:top w:val="nil"/>
              <w:left w:val="nil"/>
              <w:bottom w:val="single" w:sz="4" w:space="0" w:color="AEAAAA"/>
              <w:right w:val="single" w:sz="4" w:space="0" w:color="AEAAAA"/>
            </w:tcBorders>
            <w:shd w:val="clear" w:color="auto" w:fill="auto"/>
            <w:vAlign w:val="bottom"/>
          </w:tcPr>
          <w:p w14:paraId="4CB0AF8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auto" w:fill="auto"/>
            <w:vAlign w:val="bottom"/>
          </w:tcPr>
          <w:p w14:paraId="3149FE8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p>
        </w:tc>
        <w:tc>
          <w:tcPr>
            <w:tcW w:w="3118" w:type="dxa"/>
            <w:tcBorders>
              <w:top w:val="nil"/>
              <w:left w:val="nil"/>
              <w:bottom w:val="single" w:sz="4" w:space="0" w:color="AEAAAA"/>
              <w:right w:val="single" w:sz="4" w:space="0" w:color="AEAAAA"/>
            </w:tcBorders>
            <w:shd w:val="clear" w:color="auto" w:fill="auto"/>
            <w:vAlign w:val="bottom"/>
          </w:tcPr>
          <w:p w14:paraId="7EB6FF0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The increased risk of developing T2DM in the future should be emphasised</w:t>
            </w:r>
          </w:p>
        </w:tc>
        <w:tc>
          <w:tcPr>
            <w:tcW w:w="1701" w:type="dxa"/>
            <w:tcBorders>
              <w:top w:val="nil"/>
              <w:left w:val="nil"/>
              <w:bottom w:val="single" w:sz="4" w:space="0" w:color="AEAAAA"/>
              <w:right w:val="single" w:sz="4" w:space="0" w:color="AEAAAA"/>
            </w:tcBorders>
            <w:shd w:val="clear" w:color="auto" w:fill="auto"/>
            <w:noWrap/>
            <w:vAlign w:val="bottom"/>
          </w:tcPr>
          <w:p w14:paraId="4D63666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noWrap/>
            <w:vAlign w:val="bottom"/>
          </w:tcPr>
          <w:p w14:paraId="795D08D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L1</w:t>
            </w:r>
          </w:p>
        </w:tc>
        <w:tc>
          <w:tcPr>
            <w:tcW w:w="1247" w:type="dxa"/>
            <w:tcBorders>
              <w:top w:val="nil"/>
              <w:left w:val="nil"/>
              <w:bottom w:val="single" w:sz="4" w:space="0" w:color="AEAAAA"/>
              <w:right w:val="single" w:sz="4" w:space="0" w:color="AEAAAA"/>
            </w:tcBorders>
            <w:shd w:val="clear" w:color="auto" w:fill="auto"/>
            <w:noWrap/>
            <w:vAlign w:val="bottom"/>
          </w:tcPr>
          <w:p w14:paraId="0128DE2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auto" w:fill="auto"/>
            <w:vAlign w:val="bottom"/>
          </w:tcPr>
          <w:p w14:paraId="17DF1A9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NICE 2015, ADA 2020</w:t>
            </w:r>
          </w:p>
        </w:tc>
      </w:tr>
      <w:tr w:rsidR="00DA5F7E" w:rsidRPr="00EC7A17" w14:paraId="47BAD10C"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21CFD9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5D39D98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0F5C09E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auto" w:fill="auto"/>
            <w:vAlign w:val="bottom"/>
            <w:hideMark/>
          </w:tcPr>
          <w:p w14:paraId="58F4E3A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Insulin therapy should be discontinued immediately postpartum </w:t>
            </w:r>
          </w:p>
        </w:tc>
        <w:tc>
          <w:tcPr>
            <w:tcW w:w="1701" w:type="dxa"/>
            <w:tcBorders>
              <w:top w:val="nil"/>
              <w:left w:val="nil"/>
              <w:bottom w:val="single" w:sz="4" w:space="0" w:color="AEAAAA"/>
              <w:right w:val="single" w:sz="4" w:space="0" w:color="AEAAAA"/>
            </w:tcBorders>
            <w:shd w:val="clear" w:color="auto" w:fill="auto"/>
            <w:vAlign w:val="bottom"/>
            <w:hideMark/>
          </w:tcPr>
          <w:p w14:paraId="45CE0D0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auto" w:fill="auto"/>
            <w:vAlign w:val="bottom"/>
            <w:hideMark/>
          </w:tcPr>
          <w:p w14:paraId="0CD6A87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FFFFFF" w:themeFill="background1"/>
            <w:vAlign w:val="bottom"/>
            <w:hideMark/>
          </w:tcPr>
          <w:p w14:paraId="220914A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5169179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RC(1), ADA 2020</w:t>
            </w:r>
          </w:p>
        </w:tc>
      </w:tr>
      <w:tr w:rsidR="00DA5F7E" w:rsidRPr="00EC7A17" w14:paraId="3EF4421F" w14:textId="77777777" w:rsidTr="006031D2">
        <w:trPr>
          <w:trHeight w:val="416"/>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64F2A75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auto" w:fill="auto"/>
            <w:vAlign w:val="bottom"/>
            <w:hideMark/>
          </w:tcPr>
          <w:p w14:paraId="4C0B1A6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61010B8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Breastfeeding</w:t>
            </w:r>
          </w:p>
        </w:tc>
        <w:tc>
          <w:tcPr>
            <w:tcW w:w="3118" w:type="dxa"/>
            <w:tcBorders>
              <w:top w:val="nil"/>
              <w:left w:val="nil"/>
              <w:bottom w:val="single" w:sz="4" w:space="0" w:color="AEAAAA"/>
              <w:right w:val="single" w:sz="4" w:space="0" w:color="AEAAAA"/>
            </w:tcBorders>
            <w:shd w:val="clear" w:color="auto" w:fill="auto"/>
            <w:vAlign w:val="bottom"/>
            <w:hideMark/>
          </w:tcPr>
          <w:p w14:paraId="00233A2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with GDM should be encouraged to breastfeed their infants as soon as possible after delivery and at frequent intervals (every 2-3 hours) and to continue for at least 3-4 months postpartum to…reduce risk of type 2 diabetes and hypertension in the mother. </w:t>
            </w:r>
          </w:p>
        </w:tc>
        <w:tc>
          <w:tcPr>
            <w:tcW w:w="1701" w:type="dxa"/>
            <w:tcBorders>
              <w:top w:val="nil"/>
              <w:left w:val="nil"/>
              <w:bottom w:val="single" w:sz="4" w:space="0" w:color="AEAAAA"/>
              <w:right w:val="single" w:sz="4" w:space="0" w:color="AEAAAA"/>
            </w:tcBorders>
            <w:shd w:val="clear" w:color="auto" w:fill="auto"/>
            <w:vAlign w:val="bottom"/>
            <w:hideMark/>
          </w:tcPr>
          <w:p w14:paraId="627A4E9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auto" w:fill="auto"/>
            <w:vAlign w:val="bottom"/>
            <w:hideMark/>
          </w:tcPr>
          <w:p w14:paraId="0925FD0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FFFFFF" w:themeFill="background1"/>
            <w:vAlign w:val="bottom"/>
            <w:hideMark/>
          </w:tcPr>
          <w:p w14:paraId="1169D02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2363991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Other guidelines including: ADA 2020, Diabetes Canada 2018, and HKCOG 2016</w:t>
            </w:r>
          </w:p>
        </w:tc>
      </w:tr>
      <w:tr w:rsidR="00DA5F7E" w:rsidRPr="00EC7A17" w14:paraId="264344CC"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3B997F6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0AB9214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7B3D931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auto" w:fill="auto"/>
            <w:vAlign w:val="bottom"/>
            <w:hideMark/>
          </w:tcPr>
          <w:p w14:paraId="04413A2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Methods of contraception agreeable with the woman and her partner should be discussed and prescribed as appropriate</w:t>
            </w:r>
          </w:p>
        </w:tc>
        <w:tc>
          <w:tcPr>
            <w:tcW w:w="1701" w:type="dxa"/>
            <w:tcBorders>
              <w:top w:val="nil"/>
              <w:left w:val="nil"/>
              <w:bottom w:val="single" w:sz="4" w:space="0" w:color="AEAAAA"/>
              <w:right w:val="single" w:sz="4" w:space="0" w:color="AEAAAA"/>
            </w:tcBorders>
            <w:shd w:val="clear" w:color="auto" w:fill="auto"/>
            <w:vAlign w:val="bottom"/>
            <w:hideMark/>
          </w:tcPr>
          <w:p w14:paraId="55604DE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6A9A1E3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247" w:type="dxa"/>
            <w:tcBorders>
              <w:top w:val="nil"/>
              <w:left w:val="nil"/>
              <w:bottom w:val="single" w:sz="4" w:space="0" w:color="AEAAAA"/>
              <w:right w:val="single" w:sz="4" w:space="0" w:color="AEAAAA"/>
            </w:tcBorders>
            <w:shd w:val="clear" w:color="auto" w:fill="auto"/>
            <w:vAlign w:val="bottom"/>
            <w:hideMark/>
          </w:tcPr>
          <w:p w14:paraId="358608C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auto" w:fill="auto"/>
            <w:vAlign w:val="bottom"/>
            <w:hideMark/>
          </w:tcPr>
          <w:p w14:paraId="720AE01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NICE 2015</w:t>
            </w:r>
          </w:p>
        </w:tc>
      </w:tr>
      <w:tr w:rsidR="00DA5F7E" w:rsidRPr="00EC7A17" w14:paraId="7AB93F20" w14:textId="77777777" w:rsidTr="006031D2">
        <w:trPr>
          <w:trHeight w:val="1171"/>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DB2FE6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56D5B8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6022BAC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auto" w:fill="auto"/>
            <w:vAlign w:val="bottom"/>
            <w:hideMark/>
          </w:tcPr>
          <w:p w14:paraId="2F65184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It is recommended for women who were diagnosed with prediabetes to follow intensive lifestyle intervention with or without metformin to prevent diabetes </w:t>
            </w:r>
          </w:p>
        </w:tc>
        <w:tc>
          <w:tcPr>
            <w:tcW w:w="1701" w:type="dxa"/>
            <w:tcBorders>
              <w:top w:val="nil"/>
              <w:left w:val="nil"/>
              <w:bottom w:val="single" w:sz="4" w:space="0" w:color="AEAAAA"/>
              <w:right w:val="single" w:sz="4" w:space="0" w:color="AEAAAA"/>
            </w:tcBorders>
            <w:shd w:val="clear" w:color="auto" w:fill="auto"/>
            <w:vAlign w:val="bottom"/>
            <w:hideMark/>
          </w:tcPr>
          <w:p w14:paraId="5460178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0574874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247" w:type="dxa"/>
            <w:tcBorders>
              <w:top w:val="nil"/>
              <w:left w:val="nil"/>
              <w:bottom w:val="single" w:sz="4" w:space="0" w:color="AEAAAA"/>
              <w:right w:val="single" w:sz="4" w:space="0" w:color="AEAAAA"/>
            </w:tcBorders>
            <w:shd w:val="clear" w:color="auto" w:fill="auto"/>
            <w:vAlign w:val="bottom"/>
            <w:hideMark/>
          </w:tcPr>
          <w:p w14:paraId="6277008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auto" w:fill="auto"/>
            <w:vAlign w:val="bottom"/>
            <w:hideMark/>
          </w:tcPr>
          <w:p w14:paraId="0A5BB19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ADA 2020</w:t>
            </w:r>
          </w:p>
        </w:tc>
      </w:tr>
      <w:tr w:rsidR="00DA5F7E" w:rsidRPr="00EC7A17" w14:paraId="13A6B466" w14:textId="77777777" w:rsidTr="006031D2">
        <w:trPr>
          <w:trHeight w:val="884"/>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2FB7BB3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3695175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10AD954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auto" w:fill="auto"/>
            <w:vAlign w:val="bottom"/>
            <w:hideMark/>
          </w:tcPr>
          <w:p w14:paraId="6E44F73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Education in the postnatal period should incorporate advice on diet, physical activity and healthy weight maintenance. </w:t>
            </w:r>
          </w:p>
        </w:tc>
        <w:tc>
          <w:tcPr>
            <w:tcW w:w="1701" w:type="dxa"/>
            <w:tcBorders>
              <w:top w:val="nil"/>
              <w:left w:val="nil"/>
              <w:bottom w:val="single" w:sz="4" w:space="0" w:color="AEAAAA"/>
              <w:right w:val="single" w:sz="4" w:space="0" w:color="AEAAAA"/>
            </w:tcBorders>
            <w:shd w:val="clear" w:color="auto" w:fill="auto"/>
            <w:vAlign w:val="bottom"/>
            <w:hideMark/>
          </w:tcPr>
          <w:p w14:paraId="66CC25A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40CD9ED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247" w:type="dxa"/>
            <w:tcBorders>
              <w:top w:val="nil"/>
              <w:left w:val="nil"/>
              <w:bottom w:val="single" w:sz="4" w:space="0" w:color="AEAAAA"/>
              <w:right w:val="single" w:sz="4" w:space="0" w:color="AEAAAA"/>
            </w:tcBorders>
            <w:shd w:val="clear" w:color="auto" w:fill="auto"/>
            <w:vAlign w:val="bottom"/>
            <w:hideMark/>
          </w:tcPr>
          <w:p w14:paraId="2B53347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auto" w:fill="auto"/>
            <w:vAlign w:val="bottom"/>
            <w:hideMark/>
          </w:tcPr>
          <w:p w14:paraId="320F651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NICE 2015, ADA 2020</w:t>
            </w:r>
          </w:p>
        </w:tc>
      </w:tr>
      <w:tr w:rsidR="00DA5F7E" w:rsidRPr="00EC7A17" w14:paraId="3AD1BB84" w14:textId="77777777" w:rsidTr="006031D2">
        <w:trPr>
          <w:trHeight w:val="1123"/>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7D635CA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Clinical Practice Guidelines on Diabetes Mellitus in Pregnancy. Philippines 2018</w:t>
            </w:r>
          </w:p>
        </w:tc>
        <w:tc>
          <w:tcPr>
            <w:tcW w:w="1387" w:type="dxa"/>
            <w:tcBorders>
              <w:top w:val="nil"/>
              <w:left w:val="nil"/>
              <w:bottom w:val="single" w:sz="4" w:space="0" w:color="AEAAAA"/>
              <w:right w:val="single" w:sz="4" w:space="0" w:color="AEAAAA"/>
            </w:tcBorders>
            <w:shd w:val="clear" w:color="000000" w:fill="E7E6E6"/>
            <w:vAlign w:val="bottom"/>
            <w:hideMark/>
          </w:tcPr>
          <w:p w14:paraId="67E599C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GRADE</w:t>
            </w:r>
          </w:p>
        </w:tc>
        <w:tc>
          <w:tcPr>
            <w:tcW w:w="1843" w:type="dxa"/>
            <w:tcBorders>
              <w:top w:val="nil"/>
              <w:left w:val="nil"/>
              <w:bottom w:val="single" w:sz="4" w:space="0" w:color="AEAAAA"/>
              <w:right w:val="single" w:sz="4" w:space="0" w:color="AEAAAA"/>
            </w:tcBorders>
            <w:shd w:val="clear" w:color="000000" w:fill="E7E6E6"/>
            <w:vAlign w:val="bottom"/>
            <w:hideMark/>
          </w:tcPr>
          <w:p w14:paraId="6E4A3D7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Postpartum glucose screening </w:t>
            </w:r>
          </w:p>
        </w:tc>
        <w:tc>
          <w:tcPr>
            <w:tcW w:w="3118" w:type="dxa"/>
            <w:tcBorders>
              <w:top w:val="nil"/>
              <w:left w:val="nil"/>
              <w:bottom w:val="single" w:sz="4" w:space="0" w:color="AEAAAA"/>
              <w:right w:val="single" w:sz="4" w:space="0" w:color="AEAAAA"/>
            </w:tcBorders>
            <w:shd w:val="clear" w:color="000000" w:fill="E7E6E6"/>
            <w:vAlign w:val="bottom"/>
            <w:hideMark/>
          </w:tcPr>
          <w:p w14:paraId="3125D37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A 75-g OGTT is recommended at 4-12 weeks postpartum visit using nonpregnancy criteria. </w:t>
            </w:r>
          </w:p>
        </w:tc>
        <w:tc>
          <w:tcPr>
            <w:tcW w:w="1701" w:type="dxa"/>
            <w:tcBorders>
              <w:top w:val="nil"/>
              <w:left w:val="nil"/>
              <w:bottom w:val="single" w:sz="4" w:space="0" w:color="AEAAAA"/>
              <w:right w:val="single" w:sz="4" w:space="0" w:color="AEAAAA"/>
            </w:tcBorders>
            <w:shd w:val="clear" w:color="000000" w:fill="E7E6E6"/>
            <w:vAlign w:val="bottom"/>
            <w:hideMark/>
          </w:tcPr>
          <w:p w14:paraId="132DEA7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6388FBE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247" w:type="dxa"/>
            <w:tcBorders>
              <w:top w:val="nil"/>
              <w:left w:val="nil"/>
              <w:bottom w:val="single" w:sz="4" w:space="0" w:color="AEAAAA"/>
              <w:right w:val="single" w:sz="4" w:space="0" w:color="AEAAAA"/>
            </w:tcBorders>
            <w:shd w:val="clear" w:color="000000" w:fill="E7E6E6"/>
            <w:vAlign w:val="bottom"/>
            <w:hideMark/>
          </w:tcPr>
          <w:p w14:paraId="1935700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E7E6E6"/>
            <w:vAlign w:val="bottom"/>
            <w:hideMark/>
          </w:tcPr>
          <w:p w14:paraId="321716C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SR(1), Other guidelines: ADA 2018, ACOG 2018, SOGC 2011</w:t>
            </w:r>
          </w:p>
        </w:tc>
      </w:tr>
      <w:tr w:rsidR="00DA5F7E" w:rsidRPr="00EC7A17" w14:paraId="5DA9E592" w14:textId="77777777" w:rsidTr="006031D2">
        <w:trPr>
          <w:trHeight w:val="1125"/>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B138E0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583C323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85ECD4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07F7101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If the postpartum 75-g OGTT is normal, women should be tested every 1-3 years using any glycaemic test (HbA1c, FPG or OGTT) using non-pregnancy cut-offs</w:t>
            </w:r>
          </w:p>
        </w:tc>
        <w:tc>
          <w:tcPr>
            <w:tcW w:w="1701" w:type="dxa"/>
            <w:tcBorders>
              <w:top w:val="nil"/>
              <w:left w:val="nil"/>
              <w:bottom w:val="single" w:sz="4" w:space="0" w:color="AEAAAA"/>
              <w:right w:val="single" w:sz="4" w:space="0" w:color="AEAAAA"/>
            </w:tcBorders>
            <w:shd w:val="clear" w:color="000000" w:fill="E7E6E6"/>
            <w:vAlign w:val="bottom"/>
            <w:hideMark/>
          </w:tcPr>
          <w:p w14:paraId="2C3010C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4B00696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High </w:t>
            </w:r>
          </w:p>
        </w:tc>
        <w:tc>
          <w:tcPr>
            <w:tcW w:w="1247" w:type="dxa"/>
            <w:tcBorders>
              <w:top w:val="nil"/>
              <w:left w:val="nil"/>
              <w:bottom w:val="single" w:sz="4" w:space="0" w:color="AEAAAA"/>
              <w:right w:val="single" w:sz="4" w:space="0" w:color="AEAAAA"/>
            </w:tcBorders>
            <w:shd w:val="clear" w:color="000000" w:fill="E7E6E6"/>
            <w:vAlign w:val="bottom"/>
            <w:hideMark/>
          </w:tcPr>
          <w:p w14:paraId="69D8565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E7E6E6"/>
            <w:vAlign w:val="bottom"/>
            <w:hideMark/>
          </w:tcPr>
          <w:p w14:paraId="2B75B4E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MA(2), ADA 2018</w:t>
            </w:r>
          </w:p>
        </w:tc>
      </w:tr>
      <w:tr w:rsidR="00DA5F7E" w:rsidRPr="00EC7A17" w14:paraId="49862CF1" w14:textId="77777777" w:rsidTr="006031D2">
        <w:trPr>
          <w:trHeight w:val="7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9D9023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753681D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472120F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000000" w:fill="E7E6E6"/>
            <w:vAlign w:val="bottom"/>
            <w:hideMark/>
          </w:tcPr>
          <w:p w14:paraId="5CF9FB7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should discontinue blood glucose-lowering therapy immediately after birth </w:t>
            </w:r>
          </w:p>
        </w:tc>
        <w:tc>
          <w:tcPr>
            <w:tcW w:w="1701" w:type="dxa"/>
            <w:tcBorders>
              <w:top w:val="nil"/>
              <w:left w:val="nil"/>
              <w:bottom w:val="single" w:sz="4" w:space="0" w:color="AEAAAA"/>
              <w:right w:val="single" w:sz="4" w:space="0" w:color="AEAAAA"/>
            </w:tcBorders>
            <w:shd w:val="clear" w:color="000000" w:fill="E7E6E6"/>
            <w:vAlign w:val="bottom"/>
            <w:hideMark/>
          </w:tcPr>
          <w:p w14:paraId="7D31FC3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01A5DC5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247" w:type="dxa"/>
            <w:tcBorders>
              <w:top w:val="nil"/>
              <w:left w:val="nil"/>
              <w:bottom w:val="single" w:sz="4" w:space="0" w:color="AEAAAA"/>
              <w:right w:val="single" w:sz="4" w:space="0" w:color="AEAAAA"/>
            </w:tcBorders>
            <w:shd w:val="clear" w:color="000000" w:fill="E7E6E6"/>
            <w:vAlign w:val="bottom"/>
            <w:hideMark/>
          </w:tcPr>
          <w:p w14:paraId="5301DF8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E7E6E6"/>
            <w:vAlign w:val="bottom"/>
            <w:hideMark/>
          </w:tcPr>
          <w:p w14:paraId="09E8F83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MA(1), ADA 2018 &amp; 2019</w:t>
            </w:r>
          </w:p>
        </w:tc>
      </w:tr>
      <w:tr w:rsidR="00DA5F7E" w:rsidRPr="00EC7A17" w14:paraId="702B9373" w14:textId="77777777" w:rsidTr="006031D2">
        <w:trPr>
          <w:trHeight w:val="15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3B76FBC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5EA6068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2254CE2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2A75334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In the immediate postpartum, type 1 or 2 DM may be ruled out by fingerstick tests. FPG should be &lt;126 mg/dL and casual plasma glucose &lt;200 mg/dL. If DM is suspected, confirm by laboratory fasting or casual glucose tests</w:t>
            </w:r>
          </w:p>
        </w:tc>
        <w:tc>
          <w:tcPr>
            <w:tcW w:w="1701" w:type="dxa"/>
            <w:tcBorders>
              <w:top w:val="nil"/>
              <w:left w:val="nil"/>
              <w:bottom w:val="single" w:sz="4" w:space="0" w:color="AEAAAA"/>
              <w:right w:val="single" w:sz="4" w:space="0" w:color="AEAAAA"/>
            </w:tcBorders>
            <w:shd w:val="clear" w:color="000000" w:fill="E7E6E6"/>
            <w:vAlign w:val="bottom"/>
            <w:hideMark/>
          </w:tcPr>
          <w:p w14:paraId="6D3C78A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43EDFE1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247" w:type="dxa"/>
            <w:tcBorders>
              <w:top w:val="nil"/>
              <w:left w:val="nil"/>
              <w:bottom w:val="single" w:sz="4" w:space="0" w:color="AEAAAA"/>
              <w:right w:val="single" w:sz="4" w:space="0" w:color="AEAAAA"/>
            </w:tcBorders>
            <w:shd w:val="clear" w:color="000000" w:fill="E7E6E6"/>
            <w:vAlign w:val="bottom"/>
            <w:hideMark/>
          </w:tcPr>
          <w:p w14:paraId="1C3A1E7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E7E6E6"/>
            <w:vAlign w:val="bottom"/>
            <w:hideMark/>
          </w:tcPr>
          <w:p w14:paraId="7CAF67B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R(1)</w:t>
            </w:r>
          </w:p>
        </w:tc>
      </w:tr>
      <w:tr w:rsidR="00DA5F7E" w:rsidRPr="00EC7A17" w14:paraId="3FC9C985"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2C4A23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5C908A3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30138FE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hideMark/>
          </w:tcPr>
          <w:p w14:paraId="7984CA5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with GDM…should be encouraged to breastfeed. </w:t>
            </w:r>
          </w:p>
        </w:tc>
        <w:tc>
          <w:tcPr>
            <w:tcW w:w="1701" w:type="dxa"/>
            <w:tcBorders>
              <w:top w:val="nil"/>
              <w:left w:val="nil"/>
              <w:bottom w:val="single" w:sz="4" w:space="0" w:color="AEAAAA"/>
              <w:right w:val="single" w:sz="4" w:space="0" w:color="AEAAAA"/>
            </w:tcBorders>
            <w:shd w:val="clear" w:color="000000" w:fill="E7E6E6"/>
            <w:vAlign w:val="bottom"/>
            <w:hideMark/>
          </w:tcPr>
          <w:p w14:paraId="7654412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195365D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High </w:t>
            </w:r>
          </w:p>
        </w:tc>
        <w:tc>
          <w:tcPr>
            <w:tcW w:w="1247" w:type="dxa"/>
            <w:tcBorders>
              <w:top w:val="nil"/>
              <w:left w:val="nil"/>
              <w:bottom w:val="single" w:sz="4" w:space="0" w:color="AEAAAA"/>
              <w:right w:val="single" w:sz="4" w:space="0" w:color="AEAAAA"/>
            </w:tcBorders>
            <w:shd w:val="clear" w:color="000000" w:fill="E7E6E6"/>
            <w:vAlign w:val="bottom"/>
            <w:hideMark/>
          </w:tcPr>
          <w:p w14:paraId="2F7663F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E7E6E6"/>
            <w:vAlign w:val="bottom"/>
            <w:hideMark/>
          </w:tcPr>
          <w:p w14:paraId="6BE4B39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RCT(1), PC(4), RC(1), R(1)</w:t>
            </w:r>
          </w:p>
        </w:tc>
      </w:tr>
      <w:tr w:rsidR="00DA5F7E" w:rsidRPr="00EC7A17" w14:paraId="571AF5D4" w14:textId="77777777" w:rsidTr="006031D2">
        <w:trPr>
          <w:trHeight w:val="1692"/>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3B44D94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5B50F44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4BB72B9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000000" w:fill="E7E6E6"/>
            <w:vAlign w:val="bottom"/>
            <w:hideMark/>
          </w:tcPr>
          <w:p w14:paraId="4D0F3E3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Nonhormonal contraceptives do not influence glycaemic control and are therefore considered first-line options in postpartum women with glucose intolerance. The copper IUD can be used safely and without any specific restrictions in women with history of GDM. </w:t>
            </w:r>
          </w:p>
        </w:tc>
        <w:tc>
          <w:tcPr>
            <w:tcW w:w="1701" w:type="dxa"/>
            <w:tcBorders>
              <w:top w:val="nil"/>
              <w:left w:val="nil"/>
              <w:bottom w:val="single" w:sz="4" w:space="0" w:color="AEAAAA"/>
              <w:right w:val="single" w:sz="4" w:space="0" w:color="AEAAAA"/>
            </w:tcBorders>
            <w:shd w:val="clear" w:color="000000" w:fill="E7E6E6"/>
            <w:vAlign w:val="bottom"/>
            <w:hideMark/>
          </w:tcPr>
          <w:p w14:paraId="5CD32E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2C9D99E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247" w:type="dxa"/>
            <w:tcBorders>
              <w:top w:val="nil"/>
              <w:left w:val="nil"/>
              <w:bottom w:val="single" w:sz="4" w:space="0" w:color="AEAAAA"/>
              <w:right w:val="single" w:sz="4" w:space="0" w:color="AEAAAA"/>
            </w:tcBorders>
            <w:shd w:val="clear" w:color="000000" w:fill="E7E6E6"/>
            <w:vAlign w:val="bottom"/>
            <w:hideMark/>
          </w:tcPr>
          <w:p w14:paraId="35252A2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E7E6E6"/>
            <w:vAlign w:val="bottom"/>
            <w:hideMark/>
          </w:tcPr>
          <w:p w14:paraId="6DCFC73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R(1), RP(2), WHO Guideline 2015 (Medical eligibility criteria for contraceptive use) </w:t>
            </w:r>
          </w:p>
        </w:tc>
      </w:tr>
      <w:tr w:rsidR="00DA5F7E" w:rsidRPr="00EC7A17" w14:paraId="6A1D47EA" w14:textId="77777777" w:rsidTr="006031D2">
        <w:trPr>
          <w:trHeight w:val="1701"/>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4055A64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30D99B1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2720516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000000" w:fill="E7E6E6"/>
            <w:vAlign w:val="bottom"/>
            <w:hideMark/>
          </w:tcPr>
          <w:p w14:paraId="1DE0645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Adherence to a healthy lifestyle should continue in the postpartum period. Key behaviours such as healthy diet and medical nutrition therapy, regular and sufficient physical activity, and weight management should be in the centre of lifestyle modification</w:t>
            </w:r>
          </w:p>
        </w:tc>
        <w:tc>
          <w:tcPr>
            <w:tcW w:w="1701" w:type="dxa"/>
            <w:tcBorders>
              <w:top w:val="nil"/>
              <w:left w:val="nil"/>
              <w:bottom w:val="single" w:sz="4" w:space="0" w:color="AEAAAA"/>
              <w:right w:val="single" w:sz="4" w:space="0" w:color="AEAAAA"/>
            </w:tcBorders>
            <w:shd w:val="clear" w:color="000000" w:fill="E7E6E6"/>
            <w:vAlign w:val="bottom"/>
            <w:hideMark/>
          </w:tcPr>
          <w:p w14:paraId="4475473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623A40B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E7E6E6" w:themeFill="background2"/>
            <w:vAlign w:val="bottom"/>
            <w:hideMark/>
          </w:tcPr>
          <w:p w14:paraId="6FD121E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450EF6C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R(2)</w:t>
            </w:r>
          </w:p>
        </w:tc>
      </w:tr>
      <w:tr w:rsidR="00DA5F7E" w:rsidRPr="00EC7A17" w14:paraId="005286BC" w14:textId="77777777" w:rsidTr="006031D2">
        <w:trPr>
          <w:trHeight w:val="2022"/>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005CDB3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Diagnosis &amp; Management of Gestational Diabetes Mellitus: Technical and Operational Guidelines. India 2018</w:t>
            </w:r>
          </w:p>
        </w:tc>
        <w:tc>
          <w:tcPr>
            <w:tcW w:w="1387" w:type="dxa"/>
            <w:tcBorders>
              <w:top w:val="nil"/>
              <w:left w:val="nil"/>
              <w:bottom w:val="single" w:sz="4" w:space="0" w:color="AEAAAA"/>
              <w:right w:val="single" w:sz="4" w:space="0" w:color="AEAAAA"/>
            </w:tcBorders>
            <w:shd w:val="clear" w:color="auto" w:fill="auto"/>
            <w:vAlign w:val="bottom"/>
            <w:hideMark/>
          </w:tcPr>
          <w:p w14:paraId="055376F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grading system reported</w:t>
            </w:r>
          </w:p>
        </w:tc>
        <w:tc>
          <w:tcPr>
            <w:tcW w:w="1843" w:type="dxa"/>
            <w:tcBorders>
              <w:top w:val="nil"/>
              <w:left w:val="nil"/>
              <w:bottom w:val="single" w:sz="4" w:space="0" w:color="AEAAAA"/>
              <w:right w:val="single" w:sz="4" w:space="0" w:color="AEAAAA"/>
            </w:tcBorders>
            <w:shd w:val="clear" w:color="auto" w:fill="auto"/>
            <w:vAlign w:val="bottom"/>
            <w:hideMark/>
          </w:tcPr>
          <w:p w14:paraId="6E07F0B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Postpartum glucose screening </w:t>
            </w:r>
          </w:p>
        </w:tc>
        <w:tc>
          <w:tcPr>
            <w:tcW w:w="3118" w:type="dxa"/>
            <w:tcBorders>
              <w:top w:val="nil"/>
              <w:left w:val="nil"/>
              <w:bottom w:val="single" w:sz="4" w:space="0" w:color="AEAAAA"/>
              <w:right w:val="single" w:sz="4" w:space="0" w:color="AEAAAA"/>
            </w:tcBorders>
            <w:shd w:val="clear" w:color="auto" w:fill="auto"/>
            <w:vAlign w:val="bottom"/>
            <w:hideMark/>
          </w:tcPr>
          <w:p w14:paraId="41A9B46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Perform fasting and 2h 75g OGTT at 6 weeks postpartum to evaluate glycaemic status of woman. Cut offs for normal and abnormal blood sugar levels are: FPG: ≥ mg/dL. OGTT: Normal: &lt;140 mg/dL, IGT: 140-199 mg/dL, Diabetes: ≥ 200 mg/dL </w:t>
            </w:r>
          </w:p>
        </w:tc>
        <w:tc>
          <w:tcPr>
            <w:tcW w:w="1701" w:type="dxa"/>
            <w:tcBorders>
              <w:top w:val="nil"/>
              <w:left w:val="nil"/>
              <w:bottom w:val="single" w:sz="4" w:space="0" w:color="AEAAAA"/>
              <w:right w:val="single" w:sz="4" w:space="0" w:color="AEAAAA"/>
            </w:tcBorders>
            <w:shd w:val="clear" w:color="auto" w:fill="auto"/>
            <w:vAlign w:val="bottom"/>
            <w:hideMark/>
          </w:tcPr>
          <w:p w14:paraId="267A3E3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3AB18E4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auto" w:fill="auto"/>
            <w:vAlign w:val="bottom"/>
            <w:hideMark/>
          </w:tcPr>
          <w:p w14:paraId="48AD4DB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3B8BE16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2E08FF91"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9077FC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2FBD2EC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07B8C03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auto" w:fill="auto"/>
            <w:vAlign w:val="bottom"/>
            <w:hideMark/>
          </w:tcPr>
          <w:p w14:paraId="55B3E19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If postpartum test is normal…advise women to get annual screening for diabetes in NCD clinic as per their protocols </w:t>
            </w:r>
          </w:p>
        </w:tc>
        <w:tc>
          <w:tcPr>
            <w:tcW w:w="1701" w:type="dxa"/>
            <w:tcBorders>
              <w:top w:val="nil"/>
              <w:left w:val="nil"/>
              <w:bottom w:val="single" w:sz="4" w:space="0" w:color="AEAAAA"/>
              <w:right w:val="single" w:sz="4" w:space="0" w:color="AEAAAA"/>
            </w:tcBorders>
            <w:shd w:val="clear" w:color="auto" w:fill="auto"/>
            <w:vAlign w:val="bottom"/>
            <w:hideMark/>
          </w:tcPr>
          <w:p w14:paraId="70E23A3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31E134F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auto" w:fill="auto"/>
            <w:vAlign w:val="bottom"/>
            <w:hideMark/>
          </w:tcPr>
          <w:p w14:paraId="27B8C1E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75F408F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10B0EB03" w14:textId="77777777" w:rsidTr="006031D2">
        <w:trPr>
          <w:trHeight w:val="620"/>
        </w:trPr>
        <w:tc>
          <w:tcPr>
            <w:tcW w:w="1727" w:type="dxa"/>
            <w:tcBorders>
              <w:top w:val="nil"/>
              <w:left w:val="single" w:sz="4" w:space="0" w:color="AEAAAA"/>
              <w:bottom w:val="single" w:sz="4" w:space="0" w:color="AEAAAA"/>
              <w:right w:val="single" w:sz="4" w:space="0" w:color="AEAAAA"/>
            </w:tcBorders>
            <w:shd w:val="clear" w:color="auto" w:fill="auto"/>
            <w:vAlign w:val="bottom"/>
          </w:tcPr>
          <w:p w14:paraId="2A411FB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387" w:type="dxa"/>
            <w:tcBorders>
              <w:top w:val="nil"/>
              <w:left w:val="nil"/>
              <w:bottom w:val="single" w:sz="4" w:space="0" w:color="AEAAAA"/>
              <w:right w:val="single" w:sz="4" w:space="0" w:color="AEAAAA"/>
            </w:tcBorders>
            <w:shd w:val="clear" w:color="auto" w:fill="auto"/>
            <w:vAlign w:val="bottom"/>
          </w:tcPr>
          <w:p w14:paraId="1F697DC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auto" w:fill="auto"/>
            <w:vAlign w:val="bottom"/>
          </w:tcPr>
          <w:p w14:paraId="2D0A0E4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p>
        </w:tc>
        <w:tc>
          <w:tcPr>
            <w:tcW w:w="3118" w:type="dxa"/>
            <w:tcBorders>
              <w:top w:val="nil"/>
              <w:left w:val="nil"/>
              <w:bottom w:val="single" w:sz="4" w:space="0" w:color="AEAAAA"/>
              <w:right w:val="single" w:sz="4" w:space="0" w:color="AEAAAA"/>
            </w:tcBorders>
            <w:shd w:val="clear" w:color="auto" w:fill="auto"/>
            <w:vAlign w:val="bottom"/>
          </w:tcPr>
          <w:p w14:paraId="75D2D0B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If postpartum test is positive/IGT, woman should be linked with NCD program for further management </w:t>
            </w:r>
          </w:p>
        </w:tc>
        <w:tc>
          <w:tcPr>
            <w:tcW w:w="1701" w:type="dxa"/>
            <w:tcBorders>
              <w:top w:val="nil"/>
              <w:left w:val="nil"/>
              <w:bottom w:val="single" w:sz="4" w:space="0" w:color="AEAAAA"/>
              <w:right w:val="single" w:sz="4" w:space="0" w:color="AEAAAA"/>
            </w:tcBorders>
            <w:shd w:val="clear" w:color="auto" w:fill="auto"/>
            <w:vAlign w:val="bottom"/>
          </w:tcPr>
          <w:p w14:paraId="339D362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auto" w:fill="auto"/>
            <w:vAlign w:val="bottom"/>
          </w:tcPr>
          <w:p w14:paraId="31322E0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auto" w:fill="auto"/>
            <w:vAlign w:val="bottom"/>
          </w:tcPr>
          <w:p w14:paraId="6D1CE2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tcPr>
          <w:p w14:paraId="0839139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245C8A9A" w14:textId="77777777" w:rsidTr="006031D2">
        <w:trPr>
          <w:trHeight w:val="544"/>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6E34883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705978D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337CF2F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Breastfeeding </w:t>
            </w:r>
          </w:p>
        </w:tc>
        <w:tc>
          <w:tcPr>
            <w:tcW w:w="3118" w:type="dxa"/>
            <w:tcBorders>
              <w:top w:val="nil"/>
              <w:left w:val="nil"/>
              <w:bottom w:val="single" w:sz="4" w:space="0" w:color="AEAAAA"/>
              <w:right w:val="single" w:sz="4" w:space="0" w:color="AEAAAA"/>
            </w:tcBorders>
            <w:shd w:val="clear" w:color="auto" w:fill="auto"/>
            <w:vAlign w:val="bottom"/>
            <w:hideMark/>
          </w:tcPr>
          <w:p w14:paraId="5B81F67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Initiate early breastfeeding…within first hour of birth </w:t>
            </w:r>
          </w:p>
        </w:tc>
        <w:tc>
          <w:tcPr>
            <w:tcW w:w="1701" w:type="dxa"/>
            <w:tcBorders>
              <w:top w:val="nil"/>
              <w:left w:val="nil"/>
              <w:bottom w:val="single" w:sz="4" w:space="0" w:color="AEAAAA"/>
              <w:right w:val="single" w:sz="4" w:space="0" w:color="AEAAAA"/>
            </w:tcBorders>
            <w:shd w:val="clear" w:color="auto" w:fill="auto"/>
            <w:vAlign w:val="bottom"/>
            <w:hideMark/>
          </w:tcPr>
          <w:p w14:paraId="23D96CC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672DF80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auto" w:fill="auto"/>
            <w:vAlign w:val="bottom"/>
            <w:hideMark/>
          </w:tcPr>
          <w:p w14:paraId="6992506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2D229F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44D263B6"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0D3E063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1F80743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1DF864B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auto" w:fill="FFFFFF" w:themeFill="background1"/>
            <w:vAlign w:val="bottom"/>
            <w:hideMark/>
          </w:tcPr>
          <w:p w14:paraId="5D3B789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Pregnant women with GDM are at an increased risk of Type 2 DM later in life, and should be counselled for healthy lifestyle </w:t>
            </w:r>
            <w:r w:rsidRPr="00EC7A17">
              <w:rPr>
                <w:rFonts w:ascii="Times New Roman" w:eastAsia="Times New Roman" w:hAnsi="Times New Roman" w:cs="Times New Roman"/>
                <w:color w:val="000000"/>
                <w:lang w:eastAsia="en-NZ"/>
              </w:rPr>
              <w:lastRenderedPageBreak/>
              <w:t xml:space="preserve">and behaviour, particularly role of diet and exercise. </w:t>
            </w:r>
          </w:p>
        </w:tc>
        <w:tc>
          <w:tcPr>
            <w:tcW w:w="1701" w:type="dxa"/>
            <w:tcBorders>
              <w:top w:val="nil"/>
              <w:left w:val="nil"/>
              <w:bottom w:val="single" w:sz="4" w:space="0" w:color="AEAAAA"/>
              <w:right w:val="single" w:sz="4" w:space="0" w:color="AEAAAA"/>
            </w:tcBorders>
            <w:shd w:val="clear" w:color="auto" w:fill="auto"/>
            <w:vAlign w:val="bottom"/>
            <w:hideMark/>
          </w:tcPr>
          <w:p w14:paraId="4D8D619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Strong</w:t>
            </w:r>
          </w:p>
        </w:tc>
        <w:tc>
          <w:tcPr>
            <w:tcW w:w="1163" w:type="dxa"/>
            <w:tcBorders>
              <w:top w:val="nil"/>
              <w:left w:val="nil"/>
              <w:bottom w:val="single" w:sz="4" w:space="0" w:color="AEAAAA"/>
              <w:right w:val="single" w:sz="4" w:space="0" w:color="AEAAAA"/>
            </w:tcBorders>
            <w:shd w:val="clear" w:color="auto" w:fill="auto"/>
            <w:vAlign w:val="bottom"/>
            <w:hideMark/>
          </w:tcPr>
          <w:p w14:paraId="43E4BA1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auto" w:fill="auto"/>
            <w:vAlign w:val="bottom"/>
            <w:hideMark/>
          </w:tcPr>
          <w:p w14:paraId="38C2CF1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249009B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76C8C8B2"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564824F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28BF0E7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449BCDC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auto" w:fill="FFFFFF" w:themeFill="background1"/>
            <w:vAlign w:val="bottom"/>
            <w:hideMark/>
          </w:tcPr>
          <w:p w14:paraId="2832AC4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Woman with history of GDM to be counselled about BMI and blood sugar estimation before next pregnancy </w:t>
            </w:r>
          </w:p>
        </w:tc>
        <w:tc>
          <w:tcPr>
            <w:tcW w:w="1701" w:type="dxa"/>
            <w:tcBorders>
              <w:top w:val="nil"/>
              <w:left w:val="nil"/>
              <w:bottom w:val="single" w:sz="4" w:space="0" w:color="AEAAAA"/>
              <w:right w:val="single" w:sz="4" w:space="0" w:color="AEAAAA"/>
            </w:tcBorders>
            <w:shd w:val="clear" w:color="auto" w:fill="auto"/>
            <w:vAlign w:val="bottom"/>
            <w:hideMark/>
          </w:tcPr>
          <w:p w14:paraId="3B08F1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auto" w:fill="auto"/>
            <w:vAlign w:val="bottom"/>
            <w:hideMark/>
          </w:tcPr>
          <w:p w14:paraId="612E015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auto" w:fill="auto"/>
            <w:vAlign w:val="bottom"/>
            <w:hideMark/>
          </w:tcPr>
          <w:p w14:paraId="3CF5B30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38E2FB2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32F50111"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0FC85F3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14F9488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3A6109F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auto" w:fill="auto"/>
            <w:vAlign w:val="bottom"/>
            <w:hideMark/>
          </w:tcPr>
          <w:p w14:paraId="37C7F9C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Counsel for postpartum family planning to potentially reduce risk of GDM in next pregnancy</w:t>
            </w:r>
          </w:p>
        </w:tc>
        <w:tc>
          <w:tcPr>
            <w:tcW w:w="1701" w:type="dxa"/>
            <w:tcBorders>
              <w:top w:val="nil"/>
              <w:left w:val="nil"/>
              <w:bottom w:val="single" w:sz="4" w:space="0" w:color="AEAAAA"/>
              <w:right w:val="single" w:sz="4" w:space="0" w:color="AEAAAA"/>
            </w:tcBorders>
            <w:shd w:val="clear" w:color="auto" w:fill="auto"/>
            <w:vAlign w:val="bottom"/>
            <w:hideMark/>
          </w:tcPr>
          <w:p w14:paraId="0DC7531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auto" w:fill="auto"/>
            <w:vAlign w:val="bottom"/>
            <w:hideMark/>
          </w:tcPr>
          <w:p w14:paraId="32CA76F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auto" w:fill="auto"/>
            <w:vAlign w:val="bottom"/>
            <w:hideMark/>
          </w:tcPr>
          <w:p w14:paraId="1C438A2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66179D2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1650F55E" w14:textId="77777777" w:rsidTr="006031D2">
        <w:trPr>
          <w:trHeight w:val="1786"/>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7C36B47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Screening, Diagnosis and Management of Gestational Diabetes in New Zealand: A clinical practice guideline (2014)</w:t>
            </w:r>
          </w:p>
        </w:tc>
        <w:tc>
          <w:tcPr>
            <w:tcW w:w="1387" w:type="dxa"/>
            <w:tcBorders>
              <w:top w:val="nil"/>
              <w:left w:val="nil"/>
              <w:bottom w:val="single" w:sz="4" w:space="0" w:color="AEAAAA"/>
              <w:right w:val="single" w:sz="4" w:space="0" w:color="AEAAAA"/>
            </w:tcBorders>
            <w:shd w:val="clear" w:color="000000" w:fill="E7E6E6"/>
            <w:vAlign w:val="bottom"/>
            <w:hideMark/>
          </w:tcPr>
          <w:p w14:paraId="59B69B3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GRADE</w:t>
            </w:r>
          </w:p>
        </w:tc>
        <w:tc>
          <w:tcPr>
            <w:tcW w:w="1843" w:type="dxa"/>
            <w:tcBorders>
              <w:top w:val="nil"/>
              <w:left w:val="nil"/>
              <w:bottom w:val="single" w:sz="4" w:space="0" w:color="AEAAAA"/>
              <w:right w:val="single" w:sz="4" w:space="0" w:color="AEAAAA"/>
            </w:tcBorders>
            <w:shd w:val="clear" w:color="000000" w:fill="E7E6E6"/>
            <w:vAlign w:val="bottom"/>
            <w:hideMark/>
          </w:tcPr>
          <w:p w14:paraId="4D6D603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tcPr>
          <w:p w14:paraId="7811635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Remind all women with GDM and their primary care provider (at the time of hospital discharge) of the need to participate in screening at 3 months after birth and annually thereafter.</w:t>
            </w:r>
          </w:p>
        </w:tc>
        <w:tc>
          <w:tcPr>
            <w:tcW w:w="1701" w:type="dxa"/>
            <w:tcBorders>
              <w:top w:val="nil"/>
              <w:left w:val="nil"/>
              <w:bottom w:val="single" w:sz="4" w:space="0" w:color="AEAAAA"/>
              <w:right w:val="single" w:sz="4" w:space="0" w:color="AEAAAA"/>
            </w:tcBorders>
            <w:shd w:val="clear" w:color="000000" w:fill="E7E6E6"/>
            <w:vAlign w:val="bottom"/>
          </w:tcPr>
          <w:p w14:paraId="4E1CEB6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Weak </w:t>
            </w:r>
          </w:p>
        </w:tc>
        <w:tc>
          <w:tcPr>
            <w:tcW w:w="1163" w:type="dxa"/>
            <w:tcBorders>
              <w:top w:val="nil"/>
              <w:left w:val="nil"/>
              <w:bottom w:val="single" w:sz="4" w:space="0" w:color="AEAAAA"/>
              <w:right w:val="single" w:sz="4" w:space="0" w:color="AEAAAA"/>
            </w:tcBorders>
            <w:shd w:val="clear" w:color="000000" w:fill="E7E6E6"/>
            <w:vAlign w:val="bottom"/>
          </w:tcPr>
          <w:p w14:paraId="467EBBE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tcPr>
          <w:p w14:paraId="06FC958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000000" w:fill="E7E6E6"/>
            <w:vAlign w:val="bottom"/>
          </w:tcPr>
          <w:p w14:paraId="2301C78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R(2), CSS(7), RP(1), PC(2), RC(2)</w:t>
            </w:r>
          </w:p>
        </w:tc>
      </w:tr>
      <w:tr w:rsidR="00DA5F7E" w:rsidRPr="00EC7A17" w14:paraId="1BB01EAD" w14:textId="77777777" w:rsidTr="006031D2">
        <w:trPr>
          <w:trHeight w:val="848"/>
        </w:trPr>
        <w:tc>
          <w:tcPr>
            <w:tcW w:w="1727" w:type="dxa"/>
            <w:tcBorders>
              <w:top w:val="nil"/>
              <w:left w:val="single" w:sz="4" w:space="0" w:color="AEAAAA"/>
              <w:bottom w:val="single" w:sz="4" w:space="0" w:color="AEAAAA"/>
              <w:right w:val="single" w:sz="4" w:space="0" w:color="AEAAAA"/>
            </w:tcBorders>
            <w:shd w:val="clear" w:color="000000" w:fill="E7E6E6"/>
            <w:vAlign w:val="bottom"/>
          </w:tcPr>
          <w:p w14:paraId="3AE1D0C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387" w:type="dxa"/>
            <w:tcBorders>
              <w:top w:val="nil"/>
              <w:left w:val="nil"/>
              <w:bottom w:val="single" w:sz="4" w:space="0" w:color="AEAAAA"/>
              <w:right w:val="single" w:sz="4" w:space="0" w:color="AEAAAA"/>
            </w:tcBorders>
            <w:shd w:val="clear" w:color="000000" w:fill="E7E6E6"/>
            <w:vAlign w:val="bottom"/>
          </w:tcPr>
          <w:p w14:paraId="0412E33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000000" w:fill="E7E6E6"/>
            <w:vAlign w:val="bottom"/>
          </w:tcPr>
          <w:p w14:paraId="63A2AF8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p>
        </w:tc>
        <w:tc>
          <w:tcPr>
            <w:tcW w:w="3118" w:type="dxa"/>
            <w:tcBorders>
              <w:top w:val="nil"/>
              <w:left w:val="nil"/>
              <w:bottom w:val="single" w:sz="4" w:space="0" w:color="AEAAAA"/>
              <w:right w:val="single" w:sz="4" w:space="0" w:color="AEAAAA"/>
            </w:tcBorders>
            <w:shd w:val="clear" w:color="000000" w:fill="E7E6E6"/>
            <w:vAlign w:val="bottom"/>
          </w:tcPr>
          <w:p w14:paraId="7334E15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Provide printed information about the importance of postpartum screening and the risk of developing type 2 diabetes.</w:t>
            </w:r>
          </w:p>
        </w:tc>
        <w:tc>
          <w:tcPr>
            <w:tcW w:w="1701" w:type="dxa"/>
            <w:tcBorders>
              <w:top w:val="nil"/>
              <w:left w:val="nil"/>
              <w:bottom w:val="single" w:sz="4" w:space="0" w:color="AEAAAA"/>
              <w:right w:val="single" w:sz="4" w:space="0" w:color="AEAAAA"/>
            </w:tcBorders>
            <w:shd w:val="clear" w:color="000000" w:fill="E7E6E6"/>
            <w:vAlign w:val="bottom"/>
          </w:tcPr>
          <w:p w14:paraId="4EB6179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Weak </w:t>
            </w:r>
          </w:p>
        </w:tc>
        <w:tc>
          <w:tcPr>
            <w:tcW w:w="1163" w:type="dxa"/>
            <w:tcBorders>
              <w:top w:val="nil"/>
              <w:left w:val="nil"/>
              <w:bottom w:val="single" w:sz="4" w:space="0" w:color="AEAAAA"/>
              <w:right w:val="single" w:sz="4" w:space="0" w:color="AEAAAA"/>
            </w:tcBorders>
            <w:shd w:val="clear" w:color="000000" w:fill="E7E6E6"/>
            <w:vAlign w:val="bottom"/>
          </w:tcPr>
          <w:p w14:paraId="3AB3798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tcPr>
          <w:p w14:paraId="124A3E6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E7E6E6"/>
            <w:vAlign w:val="bottom"/>
          </w:tcPr>
          <w:p w14:paraId="4548FA1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RCT(1)</w:t>
            </w:r>
          </w:p>
        </w:tc>
      </w:tr>
      <w:tr w:rsidR="00DA5F7E" w:rsidRPr="00EC7A17" w14:paraId="3829B25E" w14:textId="77777777" w:rsidTr="006031D2">
        <w:trPr>
          <w:trHeight w:val="699"/>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4E959B2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5C6E0BD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04CA48A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5F51CB9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The primary care provider should offer screening for type 2 diabetes at three months postpartum using HbA1c. If the value is:</w:t>
            </w:r>
            <w:r w:rsidRPr="00EC7A17">
              <w:rPr>
                <w:rFonts w:ascii="Times New Roman" w:eastAsia="Times New Roman" w:hAnsi="Times New Roman" w:cs="Times New Roman"/>
                <w:color w:val="000000"/>
                <w:lang w:eastAsia="en-NZ"/>
              </w:rPr>
              <w:br/>
              <w:t xml:space="preserve"> ≤ 40 mmol/mol, the result is normal. Repeat the test in one year</w:t>
            </w:r>
            <w:r w:rsidRPr="00EC7A17">
              <w:rPr>
                <w:rFonts w:ascii="Times New Roman" w:eastAsia="Times New Roman" w:hAnsi="Times New Roman" w:cs="Times New Roman"/>
                <w:color w:val="000000"/>
                <w:lang w:eastAsia="en-NZ"/>
              </w:rPr>
              <w:br/>
              <w:t>- 41–49 mmol/mol (prediabetes or impaired fasting</w:t>
            </w:r>
            <w:r w:rsidRPr="00EC7A17">
              <w:rPr>
                <w:rFonts w:ascii="Times New Roman" w:eastAsia="Times New Roman" w:hAnsi="Times New Roman" w:cs="Times New Roman"/>
                <w:color w:val="000000"/>
                <w:lang w:eastAsia="en-NZ"/>
              </w:rPr>
              <w:br/>
            </w:r>
            <w:r w:rsidRPr="00EC7A17">
              <w:rPr>
                <w:rFonts w:ascii="Times New Roman" w:eastAsia="Times New Roman" w:hAnsi="Times New Roman" w:cs="Times New Roman"/>
                <w:color w:val="000000"/>
                <w:lang w:eastAsia="en-NZ"/>
              </w:rPr>
              <w:lastRenderedPageBreak/>
              <w:t>glucose), advise on diet and lifestyle modification. If the woman is over 35 years, a full cardiovascular risk</w:t>
            </w:r>
            <w:r w:rsidRPr="00EC7A17">
              <w:rPr>
                <w:rFonts w:ascii="Times New Roman" w:eastAsia="Times New Roman" w:hAnsi="Times New Roman" w:cs="Times New Roman"/>
                <w:color w:val="000000"/>
                <w:lang w:eastAsia="en-NZ"/>
              </w:rPr>
              <w:br/>
              <w:t>assessment and appropriate management are indicated. Repeat test after six months</w:t>
            </w:r>
            <w:r w:rsidRPr="00EC7A17">
              <w:rPr>
                <w:rFonts w:ascii="Times New Roman" w:eastAsia="Times New Roman" w:hAnsi="Times New Roman" w:cs="Times New Roman"/>
                <w:color w:val="000000"/>
                <w:lang w:eastAsia="en-NZ"/>
              </w:rPr>
              <w:br/>
              <w:t>- ≥ 50 mmol/mol and symptomatic ‘diabetes’, refer to medical specialist</w:t>
            </w:r>
            <w:r w:rsidRPr="00EC7A17">
              <w:rPr>
                <w:rFonts w:ascii="Times New Roman" w:eastAsia="Times New Roman" w:hAnsi="Times New Roman" w:cs="Times New Roman"/>
                <w:color w:val="000000"/>
                <w:lang w:eastAsia="en-NZ"/>
              </w:rPr>
              <w:br/>
              <w:t>- ≥ 50 mmol/mol and asymptomatic, repeat HbA1c or FPG.</w:t>
            </w:r>
          </w:p>
        </w:tc>
        <w:tc>
          <w:tcPr>
            <w:tcW w:w="1701" w:type="dxa"/>
            <w:tcBorders>
              <w:top w:val="nil"/>
              <w:left w:val="nil"/>
              <w:bottom w:val="single" w:sz="4" w:space="0" w:color="AEAAAA"/>
              <w:right w:val="single" w:sz="4" w:space="0" w:color="AEAAAA"/>
            </w:tcBorders>
            <w:shd w:val="clear" w:color="000000" w:fill="E7E6E6"/>
            <w:vAlign w:val="bottom"/>
            <w:hideMark/>
          </w:tcPr>
          <w:p w14:paraId="5FFC3E0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xml:space="preserve">Weak </w:t>
            </w:r>
          </w:p>
        </w:tc>
        <w:tc>
          <w:tcPr>
            <w:tcW w:w="1163" w:type="dxa"/>
            <w:tcBorders>
              <w:top w:val="nil"/>
              <w:left w:val="nil"/>
              <w:bottom w:val="single" w:sz="4" w:space="0" w:color="AEAAAA"/>
              <w:right w:val="single" w:sz="4" w:space="0" w:color="AEAAAA"/>
            </w:tcBorders>
            <w:shd w:val="clear" w:color="000000" w:fill="E7E6E6"/>
            <w:vAlign w:val="bottom"/>
            <w:hideMark/>
          </w:tcPr>
          <w:p w14:paraId="6AE4EBD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6B38414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682D97E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Expert consensus </w:t>
            </w:r>
          </w:p>
        </w:tc>
      </w:tr>
      <w:tr w:rsidR="00DA5F7E" w:rsidRPr="00EC7A17" w14:paraId="3774F365" w14:textId="77777777" w:rsidTr="006031D2">
        <w:trPr>
          <w:trHeight w:val="983"/>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32AC89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20158DA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75E92C1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hideMark/>
          </w:tcPr>
          <w:p w14:paraId="0D4E67E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Encourage breastfeeding and skin to skin contact as early as possible after birth (preferably within one hour).</w:t>
            </w:r>
          </w:p>
        </w:tc>
        <w:tc>
          <w:tcPr>
            <w:tcW w:w="1701" w:type="dxa"/>
            <w:tcBorders>
              <w:top w:val="nil"/>
              <w:left w:val="nil"/>
              <w:bottom w:val="single" w:sz="4" w:space="0" w:color="AEAAAA"/>
              <w:right w:val="single" w:sz="4" w:space="0" w:color="AEAAAA"/>
            </w:tcBorders>
            <w:shd w:val="clear" w:color="000000" w:fill="E7E6E6"/>
            <w:vAlign w:val="bottom"/>
            <w:hideMark/>
          </w:tcPr>
          <w:p w14:paraId="13F5874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 (GPP)</w:t>
            </w:r>
          </w:p>
        </w:tc>
        <w:tc>
          <w:tcPr>
            <w:tcW w:w="1163" w:type="dxa"/>
            <w:tcBorders>
              <w:top w:val="nil"/>
              <w:left w:val="nil"/>
              <w:bottom w:val="single" w:sz="4" w:space="0" w:color="AEAAAA"/>
              <w:right w:val="single" w:sz="4" w:space="0" w:color="AEAAAA"/>
            </w:tcBorders>
            <w:shd w:val="clear" w:color="000000" w:fill="E7E6E6"/>
            <w:vAlign w:val="bottom"/>
            <w:hideMark/>
          </w:tcPr>
          <w:p w14:paraId="4D54622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3946291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53A336A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Expert consensus </w:t>
            </w:r>
          </w:p>
        </w:tc>
      </w:tr>
      <w:tr w:rsidR="00DA5F7E" w:rsidRPr="00EC7A17" w14:paraId="21DFB9AF" w14:textId="77777777" w:rsidTr="006031D2">
        <w:trPr>
          <w:trHeight w:val="699"/>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CAA492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4BC5206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6478007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6AB64C7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Encourage and support exclusive breastfeeding for a minimum of six months.</w:t>
            </w:r>
          </w:p>
        </w:tc>
        <w:tc>
          <w:tcPr>
            <w:tcW w:w="1701" w:type="dxa"/>
            <w:tcBorders>
              <w:top w:val="nil"/>
              <w:left w:val="nil"/>
              <w:bottom w:val="single" w:sz="4" w:space="0" w:color="AEAAAA"/>
              <w:right w:val="single" w:sz="4" w:space="0" w:color="AEAAAA"/>
            </w:tcBorders>
            <w:shd w:val="clear" w:color="000000" w:fill="E7E6E6"/>
            <w:vAlign w:val="bottom"/>
            <w:hideMark/>
          </w:tcPr>
          <w:p w14:paraId="6EA0416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 (GPP)</w:t>
            </w:r>
          </w:p>
        </w:tc>
        <w:tc>
          <w:tcPr>
            <w:tcW w:w="1163" w:type="dxa"/>
            <w:tcBorders>
              <w:top w:val="nil"/>
              <w:left w:val="nil"/>
              <w:bottom w:val="single" w:sz="4" w:space="0" w:color="AEAAAA"/>
              <w:right w:val="single" w:sz="4" w:space="0" w:color="AEAAAA"/>
            </w:tcBorders>
            <w:shd w:val="clear" w:color="000000" w:fill="E7E6E6"/>
            <w:vAlign w:val="bottom"/>
            <w:hideMark/>
          </w:tcPr>
          <w:p w14:paraId="14F9F3E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540E6C2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485938A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Expert consensus </w:t>
            </w:r>
          </w:p>
        </w:tc>
      </w:tr>
      <w:tr w:rsidR="00DA5F7E" w:rsidRPr="00EC7A17" w14:paraId="7EF51FC2" w14:textId="77777777" w:rsidTr="006031D2">
        <w:trPr>
          <w:trHeight w:val="21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EE345F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0FFF007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44C103B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000000" w:fill="E7E6E6"/>
            <w:vAlign w:val="bottom"/>
            <w:hideMark/>
          </w:tcPr>
          <w:p w14:paraId="3BB81EF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Monitor the blood glucose before breakfast (fasting blood sugar) and two hours after meals for 24 hours after delivery. Refer to the medical team if values are between 7 mmol/L and ≥ 11 mmol/L on two consecutive occasions. If blood glucose levels are within normal range, stop monitoring after 24 hours.</w:t>
            </w:r>
          </w:p>
        </w:tc>
        <w:tc>
          <w:tcPr>
            <w:tcW w:w="1701" w:type="dxa"/>
            <w:tcBorders>
              <w:top w:val="nil"/>
              <w:left w:val="nil"/>
              <w:bottom w:val="single" w:sz="4" w:space="0" w:color="AEAAAA"/>
              <w:right w:val="single" w:sz="4" w:space="0" w:color="AEAAAA"/>
            </w:tcBorders>
            <w:shd w:val="clear" w:color="000000" w:fill="E7E6E6"/>
            <w:vAlign w:val="bottom"/>
            <w:hideMark/>
          </w:tcPr>
          <w:p w14:paraId="2189501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 (GPP)</w:t>
            </w:r>
          </w:p>
        </w:tc>
        <w:tc>
          <w:tcPr>
            <w:tcW w:w="1163" w:type="dxa"/>
            <w:tcBorders>
              <w:top w:val="nil"/>
              <w:left w:val="nil"/>
              <w:bottom w:val="single" w:sz="4" w:space="0" w:color="AEAAAA"/>
              <w:right w:val="single" w:sz="4" w:space="0" w:color="AEAAAA"/>
            </w:tcBorders>
            <w:shd w:val="clear" w:color="000000" w:fill="E7E6E6"/>
            <w:vAlign w:val="bottom"/>
            <w:hideMark/>
          </w:tcPr>
          <w:p w14:paraId="2BD1373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1440758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07E889A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Expert consensus </w:t>
            </w:r>
          </w:p>
        </w:tc>
      </w:tr>
      <w:tr w:rsidR="00DA5F7E" w:rsidRPr="00EC7A17" w14:paraId="6EC54FC3"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CD044B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7CEA232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3D54AD1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7480741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Discontinue diabetes medication for women with a GDM diagnosis at birth.</w:t>
            </w:r>
          </w:p>
        </w:tc>
        <w:tc>
          <w:tcPr>
            <w:tcW w:w="1701" w:type="dxa"/>
            <w:tcBorders>
              <w:top w:val="nil"/>
              <w:left w:val="nil"/>
              <w:bottom w:val="single" w:sz="4" w:space="0" w:color="AEAAAA"/>
              <w:right w:val="single" w:sz="4" w:space="0" w:color="AEAAAA"/>
            </w:tcBorders>
            <w:shd w:val="clear" w:color="000000" w:fill="E7E6E6"/>
            <w:vAlign w:val="bottom"/>
            <w:hideMark/>
          </w:tcPr>
          <w:p w14:paraId="7EF1728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 (GPP)</w:t>
            </w:r>
          </w:p>
        </w:tc>
        <w:tc>
          <w:tcPr>
            <w:tcW w:w="1163" w:type="dxa"/>
            <w:tcBorders>
              <w:top w:val="nil"/>
              <w:left w:val="nil"/>
              <w:bottom w:val="single" w:sz="4" w:space="0" w:color="AEAAAA"/>
              <w:right w:val="single" w:sz="4" w:space="0" w:color="AEAAAA"/>
            </w:tcBorders>
            <w:shd w:val="clear" w:color="000000" w:fill="E7E6E6"/>
            <w:vAlign w:val="bottom"/>
            <w:hideMark/>
          </w:tcPr>
          <w:p w14:paraId="0FC4D5C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0D49260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4A45B1D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Expert consensus </w:t>
            </w:r>
          </w:p>
        </w:tc>
      </w:tr>
      <w:tr w:rsidR="00DA5F7E" w:rsidRPr="00EC7A17" w14:paraId="406B380D"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291DBE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50AF2F7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6BBD120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000000" w:fill="E7E6E6"/>
            <w:vAlign w:val="bottom"/>
            <w:hideMark/>
          </w:tcPr>
          <w:p w14:paraId="4F69143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Discuss methods of contraception agreeable with the woman and her partner and prescribe contraceptives based on maternal risk factors for cardiovascular disease, in the early postnatal period</w:t>
            </w:r>
          </w:p>
        </w:tc>
        <w:tc>
          <w:tcPr>
            <w:tcW w:w="1701" w:type="dxa"/>
            <w:tcBorders>
              <w:top w:val="nil"/>
              <w:left w:val="nil"/>
              <w:bottom w:val="single" w:sz="4" w:space="0" w:color="AEAAAA"/>
              <w:right w:val="single" w:sz="4" w:space="0" w:color="AEAAAA"/>
            </w:tcBorders>
            <w:shd w:val="clear" w:color="000000" w:fill="E7E6E6"/>
            <w:vAlign w:val="bottom"/>
            <w:hideMark/>
          </w:tcPr>
          <w:p w14:paraId="0D39906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 (GPP)</w:t>
            </w:r>
          </w:p>
        </w:tc>
        <w:tc>
          <w:tcPr>
            <w:tcW w:w="1163" w:type="dxa"/>
            <w:tcBorders>
              <w:top w:val="nil"/>
              <w:left w:val="nil"/>
              <w:bottom w:val="single" w:sz="4" w:space="0" w:color="AEAAAA"/>
              <w:right w:val="single" w:sz="4" w:space="0" w:color="AEAAAA"/>
            </w:tcBorders>
            <w:shd w:val="clear" w:color="000000" w:fill="E7E6E6"/>
            <w:vAlign w:val="bottom"/>
            <w:hideMark/>
          </w:tcPr>
          <w:p w14:paraId="74663E2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116C0E0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7962051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Expert consensus </w:t>
            </w:r>
          </w:p>
        </w:tc>
      </w:tr>
      <w:tr w:rsidR="00DA5F7E" w:rsidRPr="00EC7A17" w14:paraId="58F9C8AB" w14:textId="77777777" w:rsidTr="006031D2">
        <w:trPr>
          <w:trHeight w:val="895"/>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6C5210C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235A9C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66245EF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Long term follow up</w:t>
            </w:r>
          </w:p>
        </w:tc>
        <w:tc>
          <w:tcPr>
            <w:tcW w:w="3118" w:type="dxa"/>
            <w:tcBorders>
              <w:top w:val="nil"/>
              <w:left w:val="nil"/>
              <w:bottom w:val="single" w:sz="4" w:space="0" w:color="AEAAAA"/>
              <w:right w:val="single" w:sz="4" w:space="0" w:color="AEAAAA"/>
            </w:tcBorders>
            <w:shd w:val="clear" w:color="000000" w:fill="E7E6E6"/>
            <w:vAlign w:val="bottom"/>
            <w:hideMark/>
          </w:tcPr>
          <w:p w14:paraId="1C5B7CA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Inform women of the increased risk of GDM in a subsequent pregnancy and the increased risk for developing type 2 diabetes.</w:t>
            </w:r>
          </w:p>
        </w:tc>
        <w:tc>
          <w:tcPr>
            <w:tcW w:w="1701" w:type="dxa"/>
            <w:tcBorders>
              <w:top w:val="nil"/>
              <w:left w:val="nil"/>
              <w:bottom w:val="single" w:sz="4" w:space="0" w:color="AEAAAA"/>
              <w:right w:val="single" w:sz="4" w:space="0" w:color="AEAAAA"/>
            </w:tcBorders>
            <w:shd w:val="clear" w:color="000000" w:fill="E7E6E6"/>
            <w:vAlign w:val="bottom"/>
            <w:hideMark/>
          </w:tcPr>
          <w:p w14:paraId="7CC8D2A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 (GPP)</w:t>
            </w:r>
          </w:p>
        </w:tc>
        <w:tc>
          <w:tcPr>
            <w:tcW w:w="1163" w:type="dxa"/>
            <w:tcBorders>
              <w:top w:val="nil"/>
              <w:left w:val="nil"/>
              <w:bottom w:val="single" w:sz="4" w:space="0" w:color="AEAAAA"/>
              <w:right w:val="single" w:sz="4" w:space="0" w:color="AEAAAA"/>
            </w:tcBorders>
            <w:shd w:val="clear" w:color="000000" w:fill="E7E6E6"/>
            <w:vAlign w:val="bottom"/>
            <w:hideMark/>
          </w:tcPr>
          <w:p w14:paraId="3F452F6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5C39204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1697CF5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Expert consensus </w:t>
            </w:r>
          </w:p>
        </w:tc>
      </w:tr>
      <w:tr w:rsidR="00DA5F7E" w:rsidRPr="00EC7A17" w14:paraId="5A00460E"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01942B5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2C4EFBE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6D21895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Lifestyle management</w:t>
            </w:r>
          </w:p>
        </w:tc>
        <w:tc>
          <w:tcPr>
            <w:tcW w:w="3118" w:type="dxa"/>
            <w:tcBorders>
              <w:top w:val="nil"/>
              <w:left w:val="nil"/>
              <w:bottom w:val="single" w:sz="4" w:space="0" w:color="AEAAAA"/>
              <w:right w:val="single" w:sz="4" w:space="0" w:color="AEAAAA"/>
            </w:tcBorders>
            <w:shd w:val="clear" w:color="000000" w:fill="E7E6E6"/>
            <w:vAlign w:val="bottom"/>
            <w:hideMark/>
          </w:tcPr>
          <w:p w14:paraId="3A9F4A4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Provide women diagnosed with gestational diabetes with lifestyle and dietary advice and advise on how to maintain a healthy weight.</w:t>
            </w:r>
          </w:p>
        </w:tc>
        <w:tc>
          <w:tcPr>
            <w:tcW w:w="1701" w:type="dxa"/>
            <w:tcBorders>
              <w:top w:val="nil"/>
              <w:left w:val="nil"/>
              <w:bottom w:val="single" w:sz="4" w:space="0" w:color="AEAAAA"/>
              <w:right w:val="single" w:sz="4" w:space="0" w:color="AEAAAA"/>
            </w:tcBorders>
            <w:shd w:val="clear" w:color="000000" w:fill="E7E6E6"/>
            <w:vAlign w:val="bottom"/>
            <w:hideMark/>
          </w:tcPr>
          <w:p w14:paraId="0BF067E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20CF871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547DC28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E7E6E6"/>
            <w:vAlign w:val="bottom"/>
            <w:hideMark/>
          </w:tcPr>
          <w:p w14:paraId="779CEB6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RCT(4), SR(1)</w:t>
            </w:r>
          </w:p>
        </w:tc>
      </w:tr>
      <w:tr w:rsidR="00DA5F7E" w:rsidRPr="00EC7A17" w14:paraId="20BDCAEB" w14:textId="77777777" w:rsidTr="006031D2">
        <w:trPr>
          <w:trHeight w:val="1266"/>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78C6D5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414C604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2A1749C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5A7749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Consider metformin in women (with previous gestational diabetes) who have HbA1c 41–49 mmol/mol and who are not successful with lifestyle modification.</w:t>
            </w:r>
          </w:p>
        </w:tc>
        <w:tc>
          <w:tcPr>
            <w:tcW w:w="1701" w:type="dxa"/>
            <w:tcBorders>
              <w:top w:val="nil"/>
              <w:left w:val="nil"/>
              <w:bottom w:val="single" w:sz="4" w:space="0" w:color="AEAAAA"/>
              <w:right w:val="single" w:sz="4" w:space="0" w:color="AEAAAA"/>
            </w:tcBorders>
            <w:shd w:val="clear" w:color="000000" w:fill="E7E6E6"/>
            <w:vAlign w:val="bottom"/>
            <w:hideMark/>
          </w:tcPr>
          <w:p w14:paraId="2D5A72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01E51E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4DDEA90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E7E6E6"/>
            <w:vAlign w:val="bottom"/>
            <w:hideMark/>
          </w:tcPr>
          <w:p w14:paraId="7207651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RCT(1), NICE 2008</w:t>
            </w:r>
          </w:p>
        </w:tc>
      </w:tr>
      <w:tr w:rsidR="00DA5F7E" w:rsidRPr="00EC7A17" w14:paraId="64C1B316" w14:textId="77777777" w:rsidTr="006031D2">
        <w:trPr>
          <w:trHeight w:val="155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2C1E6F9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FIGO Initiative on Gestational Diabetes Mellitus: A Pragmatic Guide for Diagnosis, Management and Care 2015</w:t>
            </w:r>
          </w:p>
        </w:tc>
        <w:tc>
          <w:tcPr>
            <w:tcW w:w="1387" w:type="dxa"/>
            <w:tcBorders>
              <w:top w:val="nil"/>
              <w:left w:val="nil"/>
              <w:bottom w:val="single" w:sz="4" w:space="0" w:color="AEAAAA"/>
              <w:right w:val="single" w:sz="4" w:space="0" w:color="AEAAAA"/>
            </w:tcBorders>
            <w:shd w:val="clear" w:color="auto" w:fill="auto"/>
            <w:vAlign w:val="bottom"/>
            <w:hideMark/>
          </w:tcPr>
          <w:p w14:paraId="26ACB68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GRADE</w:t>
            </w:r>
          </w:p>
        </w:tc>
        <w:tc>
          <w:tcPr>
            <w:tcW w:w="1843" w:type="dxa"/>
            <w:tcBorders>
              <w:top w:val="nil"/>
              <w:left w:val="nil"/>
              <w:bottom w:val="single" w:sz="4" w:space="0" w:color="AEAAAA"/>
              <w:right w:val="single" w:sz="4" w:space="0" w:color="AEAAAA"/>
            </w:tcBorders>
            <w:shd w:val="clear" w:color="auto" w:fill="auto"/>
            <w:vAlign w:val="bottom"/>
            <w:hideMark/>
          </w:tcPr>
          <w:p w14:paraId="4AE2058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Postpartum glucose screening </w:t>
            </w:r>
          </w:p>
        </w:tc>
        <w:tc>
          <w:tcPr>
            <w:tcW w:w="3118" w:type="dxa"/>
            <w:tcBorders>
              <w:top w:val="nil"/>
              <w:left w:val="nil"/>
              <w:bottom w:val="single" w:sz="4" w:space="0" w:color="AEAAAA"/>
              <w:right w:val="single" w:sz="4" w:space="0" w:color="AEAAAA"/>
            </w:tcBorders>
            <w:shd w:val="clear" w:color="auto" w:fill="auto"/>
            <w:vAlign w:val="bottom"/>
            <w:hideMark/>
          </w:tcPr>
          <w:p w14:paraId="5BFAA1E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roofErr w:type="spellStart"/>
            <w:r w:rsidRPr="00EC7A17">
              <w:rPr>
                <w:rFonts w:ascii="Times New Roman" w:eastAsia="Times New Roman" w:hAnsi="Times New Roman" w:cs="Times New Roman"/>
                <w:color w:val="000000"/>
                <w:lang w:eastAsia="en-NZ"/>
              </w:rPr>
              <w:t>Glycemic</w:t>
            </w:r>
            <w:proofErr w:type="spellEnd"/>
            <w:r w:rsidRPr="00EC7A17">
              <w:rPr>
                <w:rFonts w:ascii="Times New Roman" w:eastAsia="Times New Roman" w:hAnsi="Times New Roman" w:cs="Times New Roman"/>
                <w:color w:val="000000"/>
                <w:lang w:eastAsia="en-NZ"/>
              </w:rPr>
              <w:t xml:space="preserve"> status should be re-evaluated with a 75g OGTT at 6-12 weeks after delivery and interpreted based on currently recommended WHO criteria for diabetes, IFG and IGT in the non-pregnant state </w:t>
            </w:r>
          </w:p>
        </w:tc>
        <w:tc>
          <w:tcPr>
            <w:tcW w:w="1701" w:type="dxa"/>
            <w:tcBorders>
              <w:top w:val="nil"/>
              <w:left w:val="nil"/>
              <w:bottom w:val="single" w:sz="4" w:space="0" w:color="AEAAAA"/>
              <w:right w:val="single" w:sz="4" w:space="0" w:color="AEAAAA"/>
            </w:tcBorders>
            <w:shd w:val="clear" w:color="auto" w:fill="auto"/>
            <w:vAlign w:val="bottom"/>
            <w:hideMark/>
          </w:tcPr>
          <w:p w14:paraId="3922B61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03AFBA7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0792211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auto" w:fill="auto"/>
            <w:vAlign w:val="bottom"/>
            <w:hideMark/>
          </w:tcPr>
          <w:p w14:paraId="0C0CDE8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ADA 2018, Fifth International Workshop-Conference on GDM 2007</w:t>
            </w:r>
          </w:p>
        </w:tc>
      </w:tr>
      <w:tr w:rsidR="00DA5F7E" w:rsidRPr="00EC7A17" w14:paraId="54AC73BD" w14:textId="77777777" w:rsidTr="006031D2">
        <w:trPr>
          <w:trHeight w:val="75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6004F3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04EC1DB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713BDD0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auto" w:fill="auto"/>
            <w:vAlign w:val="bottom"/>
            <w:hideMark/>
          </w:tcPr>
          <w:p w14:paraId="209A30B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Mothers should be encouraged and supported in initiating and maintaining breastfeeding. </w:t>
            </w:r>
          </w:p>
        </w:tc>
        <w:tc>
          <w:tcPr>
            <w:tcW w:w="1701" w:type="dxa"/>
            <w:tcBorders>
              <w:top w:val="nil"/>
              <w:left w:val="nil"/>
              <w:bottom w:val="single" w:sz="4" w:space="0" w:color="AEAAAA"/>
              <w:right w:val="single" w:sz="4" w:space="0" w:color="AEAAAA"/>
            </w:tcBorders>
            <w:shd w:val="clear" w:color="auto" w:fill="auto"/>
            <w:vAlign w:val="bottom"/>
            <w:hideMark/>
          </w:tcPr>
          <w:p w14:paraId="564B2BD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1CDE287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11C2D75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auto" w:fill="auto"/>
            <w:vAlign w:val="bottom"/>
            <w:hideMark/>
          </w:tcPr>
          <w:p w14:paraId="7ACAE47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SR(1), PC(2), RC(1), R(1)</w:t>
            </w:r>
          </w:p>
        </w:tc>
      </w:tr>
      <w:tr w:rsidR="00DA5F7E" w:rsidRPr="00EC7A17" w14:paraId="4545F1BD" w14:textId="77777777" w:rsidTr="006031D2">
        <w:trPr>
          <w:trHeight w:val="1257"/>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6E0FB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auto" w:fill="auto"/>
            <w:vAlign w:val="bottom"/>
            <w:hideMark/>
          </w:tcPr>
          <w:p w14:paraId="302C38B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2B87904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auto" w:fill="FFFFFF" w:themeFill="background1"/>
            <w:vAlign w:val="bottom"/>
            <w:hideMark/>
          </w:tcPr>
          <w:p w14:paraId="0AB6D38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with GDM and diabetes should be encouraged to space their pregnancies to maintain and achieve optimal health between pregnancies. </w:t>
            </w:r>
          </w:p>
        </w:tc>
        <w:tc>
          <w:tcPr>
            <w:tcW w:w="1701" w:type="dxa"/>
            <w:tcBorders>
              <w:top w:val="nil"/>
              <w:left w:val="nil"/>
              <w:bottom w:val="single" w:sz="4" w:space="0" w:color="AEAAAA"/>
              <w:right w:val="single" w:sz="4" w:space="0" w:color="AEAAAA"/>
            </w:tcBorders>
            <w:shd w:val="clear" w:color="auto" w:fill="auto"/>
            <w:vAlign w:val="bottom"/>
            <w:hideMark/>
          </w:tcPr>
          <w:p w14:paraId="22DEA74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52C5486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75788FC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auto" w:fill="auto"/>
            <w:vAlign w:val="bottom"/>
            <w:hideMark/>
          </w:tcPr>
          <w:p w14:paraId="2D30D41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R(1), CS(1), </w:t>
            </w:r>
          </w:p>
        </w:tc>
      </w:tr>
      <w:tr w:rsidR="00DA5F7E" w:rsidRPr="00EC7A17" w14:paraId="61583E13" w14:textId="77777777" w:rsidTr="006031D2">
        <w:trPr>
          <w:trHeight w:val="274"/>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2757C90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6DC73A6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0F1851B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auto" w:fill="auto"/>
            <w:vAlign w:val="bottom"/>
            <w:hideMark/>
          </w:tcPr>
          <w:p w14:paraId="3304B51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They should be advised to maintain a healthy lifestyle with an appropriate diet, regular exercise, and normal bodyweight to reduce the risk of future T2DM.</w:t>
            </w:r>
          </w:p>
        </w:tc>
        <w:tc>
          <w:tcPr>
            <w:tcW w:w="1701" w:type="dxa"/>
            <w:tcBorders>
              <w:top w:val="nil"/>
              <w:left w:val="nil"/>
              <w:bottom w:val="single" w:sz="4" w:space="0" w:color="AEAAAA"/>
              <w:right w:val="single" w:sz="4" w:space="0" w:color="AEAAAA"/>
            </w:tcBorders>
            <w:shd w:val="clear" w:color="auto" w:fill="auto"/>
            <w:vAlign w:val="bottom"/>
            <w:hideMark/>
          </w:tcPr>
          <w:p w14:paraId="56A3659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557CCA2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2F6385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auto" w:fill="auto"/>
            <w:vAlign w:val="bottom"/>
            <w:hideMark/>
          </w:tcPr>
          <w:p w14:paraId="180DB7F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RCT(1), PC(2),</w:t>
            </w:r>
            <w:r w:rsidRPr="00EC7A17">
              <w:rPr>
                <w:rFonts w:ascii="Times New Roman" w:eastAsia="Times New Roman" w:hAnsi="Times New Roman" w:cs="Times New Roman"/>
                <w:b/>
                <w:bCs/>
                <w:color w:val="000000"/>
                <w:lang w:eastAsia="en-NZ"/>
              </w:rPr>
              <w:t xml:space="preserve"> </w:t>
            </w:r>
            <w:r w:rsidRPr="00EC7A17">
              <w:rPr>
                <w:rFonts w:ascii="Times New Roman" w:eastAsia="Times New Roman" w:hAnsi="Times New Roman" w:cs="Times New Roman"/>
                <w:color w:val="000000"/>
                <w:lang w:eastAsia="en-NZ"/>
              </w:rPr>
              <w:t>SR(1)</w:t>
            </w:r>
          </w:p>
        </w:tc>
      </w:tr>
      <w:tr w:rsidR="00DA5F7E" w:rsidRPr="00EC7A17" w14:paraId="5AFCC825"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1523E97"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Diabetes and Pregnancy. Diabetes Canada 2018</w:t>
            </w:r>
          </w:p>
        </w:tc>
        <w:tc>
          <w:tcPr>
            <w:tcW w:w="1387" w:type="dxa"/>
            <w:tcBorders>
              <w:top w:val="nil"/>
              <w:left w:val="nil"/>
              <w:bottom w:val="single" w:sz="4" w:space="0" w:color="AEAAAA"/>
              <w:right w:val="single" w:sz="4" w:space="0" w:color="AEAAAA"/>
            </w:tcBorders>
            <w:shd w:val="clear" w:color="000000" w:fill="E7E6E6"/>
            <w:vAlign w:val="bottom"/>
            <w:hideMark/>
          </w:tcPr>
          <w:p w14:paraId="1B37D89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Canadian Task Force on Preventive Health Care</w:t>
            </w:r>
          </w:p>
        </w:tc>
        <w:tc>
          <w:tcPr>
            <w:tcW w:w="1843" w:type="dxa"/>
            <w:tcBorders>
              <w:top w:val="nil"/>
              <w:left w:val="nil"/>
              <w:bottom w:val="single" w:sz="4" w:space="0" w:color="AEAAAA"/>
              <w:right w:val="single" w:sz="4" w:space="0" w:color="AEAAAA"/>
            </w:tcBorders>
            <w:shd w:val="clear" w:color="000000" w:fill="E7E6E6"/>
            <w:vAlign w:val="bottom"/>
            <w:hideMark/>
          </w:tcPr>
          <w:p w14:paraId="487DA38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hideMark/>
          </w:tcPr>
          <w:p w14:paraId="16F737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should be screened with a 75 g OGTT between 6 weeks to 6 months postpartum to detect prediabetes and diabetes.</w:t>
            </w:r>
          </w:p>
        </w:tc>
        <w:tc>
          <w:tcPr>
            <w:tcW w:w="1701" w:type="dxa"/>
            <w:tcBorders>
              <w:top w:val="nil"/>
              <w:left w:val="nil"/>
              <w:bottom w:val="single" w:sz="4" w:space="0" w:color="AEAAAA"/>
              <w:right w:val="single" w:sz="4" w:space="0" w:color="AEAAAA"/>
            </w:tcBorders>
            <w:shd w:val="clear" w:color="000000" w:fill="E7E6E6"/>
            <w:vAlign w:val="bottom"/>
            <w:hideMark/>
          </w:tcPr>
          <w:p w14:paraId="250AB29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2672679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Consensus</w:t>
            </w:r>
          </w:p>
        </w:tc>
        <w:tc>
          <w:tcPr>
            <w:tcW w:w="1247" w:type="dxa"/>
            <w:tcBorders>
              <w:top w:val="nil"/>
              <w:left w:val="nil"/>
              <w:bottom w:val="single" w:sz="4" w:space="0" w:color="AEAAAA"/>
              <w:right w:val="single" w:sz="4" w:space="0" w:color="AEAAAA"/>
            </w:tcBorders>
            <w:shd w:val="clear" w:color="000000" w:fill="E7E6E6"/>
            <w:vAlign w:val="bottom"/>
            <w:hideMark/>
          </w:tcPr>
          <w:p w14:paraId="0DFD7ED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000000" w:fill="E7E6E6"/>
            <w:vAlign w:val="bottom"/>
            <w:hideMark/>
          </w:tcPr>
          <w:p w14:paraId="50F826F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2DF686CB" w14:textId="77777777" w:rsidTr="006031D2">
        <w:trPr>
          <w:trHeight w:val="1074"/>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E97268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77AE093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6AA5878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6B4E527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Methods to improve postpartum testing, such as phone calls or email reminders to women should be employed to improve screening rates.</w:t>
            </w:r>
          </w:p>
        </w:tc>
        <w:tc>
          <w:tcPr>
            <w:tcW w:w="1701" w:type="dxa"/>
            <w:tcBorders>
              <w:top w:val="nil"/>
              <w:left w:val="nil"/>
              <w:bottom w:val="single" w:sz="4" w:space="0" w:color="AEAAAA"/>
              <w:right w:val="single" w:sz="4" w:space="0" w:color="AEAAAA"/>
            </w:tcBorders>
            <w:shd w:val="clear" w:color="000000" w:fill="E7E6E6"/>
            <w:vAlign w:val="bottom"/>
            <w:hideMark/>
          </w:tcPr>
          <w:p w14:paraId="36BF619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670F080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3</w:t>
            </w:r>
          </w:p>
        </w:tc>
        <w:tc>
          <w:tcPr>
            <w:tcW w:w="1247" w:type="dxa"/>
            <w:tcBorders>
              <w:top w:val="nil"/>
              <w:left w:val="nil"/>
              <w:bottom w:val="single" w:sz="4" w:space="0" w:color="AEAAAA"/>
              <w:right w:val="single" w:sz="4" w:space="0" w:color="AEAAAA"/>
            </w:tcBorders>
            <w:shd w:val="clear" w:color="000000" w:fill="E7E6E6"/>
            <w:vAlign w:val="bottom"/>
            <w:hideMark/>
          </w:tcPr>
          <w:p w14:paraId="46B5287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000000" w:fill="E7E6E6"/>
            <w:vAlign w:val="bottom"/>
            <w:hideMark/>
          </w:tcPr>
          <w:p w14:paraId="2EDEA1E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R(1)</w:t>
            </w:r>
          </w:p>
        </w:tc>
      </w:tr>
      <w:tr w:rsidR="00DA5F7E" w:rsidRPr="00EC7A17" w14:paraId="4DB0D075"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659DEC1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7677201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53172E9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hideMark/>
          </w:tcPr>
          <w:p w14:paraId="3B62D95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should be encouraged to continue breastfeeding for at least 3-4 months postpartum to prevent: childhood obesity;</w:t>
            </w:r>
          </w:p>
          <w:p w14:paraId="5A3845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diabetes in offspring;</w:t>
            </w:r>
          </w:p>
          <w:p w14:paraId="3BC0E61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reduce risk of type 2 diabetes and hypertension in the mother.</w:t>
            </w:r>
          </w:p>
        </w:tc>
        <w:tc>
          <w:tcPr>
            <w:tcW w:w="1701" w:type="dxa"/>
            <w:tcBorders>
              <w:top w:val="nil"/>
              <w:left w:val="nil"/>
              <w:bottom w:val="single" w:sz="4" w:space="0" w:color="AEAAAA"/>
              <w:right w:val="single" w:sz="4" w:space="0" w:color="AEAAAA"/>
            </w:tcBorders>
            <w:shd w:val="clear" w:color="000000" w:fill="E7E6E6"/>
            <w:vAlign w:val="bottom"/>
            <w:hideMark/>
          </w:tcPr>
          <w:p w14:paraId="7248F2A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7391BDC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3;</w:t>
            </w:r>
          </w:p>
          <w:p w14:paraId="392A04F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4;</w:t>
            </w:r>
          </w:p>
          <w:p w14:paraId="1C0D157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3</w:t>
            </w:r>
          </w:p>
        </w:tc>
        <w:tc>
          <w:tcPr>
            <w:tcW w:w="1247" w:type="dxa"/>
            <w:tcBorders>
              <w:top w:val="nil"/>
              <w:left w:val="nil"/>
              <w:bottom w:val="single" w:sz="4" w:space="0" w:color="AEAAAA"/>
              <w:right w:val="single" w:sz="4" w:space="0" w:color="AEAAAA"/>
            </w:tcBorders>
            <w:shd w:val="clear" w:color="000000" w:fill="E7E6E6"/>
            <w:vAlign w:val="bottom"/>
            <w:hideMark/>
          </w:tcPr>
          <w:p w14:paraId="3CFDC76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p w14:paraId="6ED8A63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p w14:paraId="086CA0D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000000" w:fill="E7E6E6"/>
            <w:vAlign w:val="bottom"/>
            <w:hideMark/>
          </w:tcPr>
          <w:p w14:paraId="4A62EF1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MA(1)</w:t>
            </w:r>
          </w:p>
          <w:p w14:paraId="507BD5F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MA(1)</w:t>
            </w:r>
          </w:p>
          <w:p w14:paraId="39CB776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MA(2), PC(2)</w:t>
            </w:r>
          </w:p>
        </w:tc>
      </w:tr>
      <w:tr w:rsidR="00DA5F7E" w:rsidRPr="00EC7A17" w14:paraId="725E4843" w14:textId="77777777" w:rsidTr="006031D2">
        <w:trPr>
          <w:trHeight w:val="1395"/>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33A06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3409C98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7683FF1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000000" w:fill="E7E6E6"/>
            <w:vAlign w:val="bottom"/>
            <w:hideMark/>
          </w:tcPr>
          <w:p w14:paraId="40DE6CD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with prior GDM should receive counselling regarding healthy behaviour interventions to reduce the recurrence rate in subsequent pregnancies and reduce their increased risk of type 2 diabetes.</w:t>
            </w:r>
          </w:p>
        </w:tc>
        <w:tc>
          <w:tcPr>
            <w:tcW w:w="1701" w:type="dxa"/>
            <w:tcBorders>
              <w:top w:val="nil"/>
              <w:left w:val="nil"/>
              <w:bottom w:val="single" w:sz="4" w:space="0" w:color="AEAAAA"/>
              <w:right w:val="single" w:sz="4" w:space="0" w:color="AEAAAA"/>
            </w:tcBorders>
            <w:shd w:val="clear" w:color="000000" w:fill="E7E6E6"/>
            <w:vAlign w:val="bottom"/>
            <w:hideMark/>
          </w:tcPr>
          <w:p w14:paraId="3002A9F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713EEFC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3</w:t>
            </w:r>
          </w:p>
        </w:tc>
        <w:tc>
          <w:tcPr>
            <w:tcW w:w="1247" w:type="dxa"/>
            <w:tcBorders>
              <w:top w:val="nil"/>
              <w:left w:val="nil"/>
              <w:bottom w:val="single" w:sz="4" w:space="0" w:color="AEAAAA"/>
              <w:right w:val="single" w:sz="4" w:space="0" w:color="AEAAAA"/>
            </w:tcBorders>
            <w:shd w:val="clear" w:color="000000" w:fill="E7E6E6"/>
            <w:vAlign w:val="bottom"/>
            <w:hideMark/>
          </w:tcPr>
          <w:p w14:paraId="16815B9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000000" w:fill="E7E6E6"/>
            <w:vAlign w:val="bottom"/>
            <w:hideMark/>
          </w:tcPr>
          <w:p w14:paraId="7BA48A6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PC(1), SR(1)</w:t>
            </w:r>
          </w:p>
        </w:tc>
      </w:tr>
      <w:tr w:rsidR="00DA5F7E" w:rsidRPr="00EC7A17" w14:paraId="472414B2"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607310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7CF152D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5103751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0CAEF64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In women who have IGT on postpartum screening, healthy behaviour interventions with or without metformin can be used to prevent/delay the onset of diabetes.</w:t>
            </w:r>
          </w:p>
        </w:tc>
        <w:tc>
          <w:tcPr>
            <w:tcW w:w="1701" w:type="dxa"/>
            <w:tcBorders>
              <w:top w:val="nil"/>
              <w:left w:val="nil"/>
              <w:bottom w:val="single" w:sz="4" w:space="0" w:color="AEAAAA"/>
              <w:right w:val="single" w:sz="4" w:space="0" w:color="AEAAAA"/>
            </w:tcBorders>
            <w:shd w:val="clear" w:color="000000" w:fill="E7E6E6"/>
            <w:vAlign w:val="bottom"/>
            <w:hideMark/>
          </w:tcPr>
          <w:p w14:paraId="2F2BBBB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3BCE44B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2</w:t>
            </w:r>
          </w:p>
        </w:tc>
        <w:tc>
          <w:tcPr>
            <w:tcW w:w="1247" w:type="dxa"/>
            <w:tcBorders>
              <w:top w:val="nil"/>
              <w:left w:val="nil"/>
              <w:bottom w:val="single" w:sz="4" w:space="0" w:color="AEAAAA"/>
              <w:right w:val="single" w:sz="4" w:space="0" w:color="AEAAAA"/>
            </w:tcBorders>
            <w:shd w:val="clear" w:color="000000" w:fill="E7E6E6"/>
            <w:vAlign w:val="bottom"/>
            <w:hideMark/>
          </w:tcPr>
          <w:p w14:paraId="732EC80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E7E6E6"/>
            <w:vAlign w:val="bottom"/>
            <w:hideMark/>
          </w:tcPr>
          <w:p w14:paraId="64BD243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PC(1), RCT1)</w:t>
            </w:r>
          </w:p>
        </w:tc>
      </w:tr>
      <w:tr w:rsidR="00DA5F7E" w:rsidRPr="00EC7A17" w14:paraId="2653DFCB"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4E3AD70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Diabetes and Pregnancy: An Endocrine Society Clinical Practice Guideline (2013)</w:t>
            </w:r>
          </w:p>
        </w:tc>
        <w:tc>
          <w:tcPr>
            <w:tcW w:w="1387" w:type="dxa"/>
            <w:tcBorders>
              <w:top w:val="nil"/>
              <w:left w:val="nil"/>
              <w:bottom w:val="single" w:sz="4" w:space="0" w:color="AEAAAA"/>
              <w:right w:val="single" w:sz="4" w:space="0" w:color="AEAAAA"/>
            </w:tcBorders>
            <w:shd w:val="clear" w:color="auto" w:fill="auto"/>
            <w:vAlign w:val="bottom"/>
            <w:hideMark/>
          </w:tcPr>
          <w:p w14:paraId="425792F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GRADE</w:t>
            </w:r>
          </w:p>
        </w:tc>
        <w:tc>
          <w:tcPr>
            <w:tcW w:w="1843" w:type="dxa"/>
            <w:tcBorders>
              <w:top w:val="nil"/>
              <w:left w:val="nil"/>
              <w:bottom w:val="single" w:sz="4" w:space="0" w:color="AEAAAA"/>
              <w:right w:val="single" w:sz="4" w:space="0" w:color="AEAAAA"/>
            </w:tcBorders>
            <w:shd w:val="clear" w:color="auto" w:fill="auto"/>
            <w:vAlign w:val="bottom"/>
            <w:hideMark/>
          </w:tcPr>
          <w:p w14:paraId="34ACDCE7"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auto" w:fill="auto"/>
            <w:vAlign w:val="bottom"/>
            <w:hideMark/>
          </w:tcPr>
          <w:p w14:paraId="66A349F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 recommend that a 2-hour, 75-g OGTT should be undertaken 6 to 12 weeks after delivery to rule out prediabetes or diabetes. </w:t>
            </w:r>
          </w:p>
        </w:tc>
        <w:tc>
          <w:tcPr>
            <w:tcW w:w="1701" w:type="dxa"/>
            <w:tcBorders>
              <w:top w:val="nil"/>
              <w:left w:val="nil"/>
              <w:bottom w:val="single" w:sz="4" w:space="0" w:color="AEAAAA"/>
              <w:right w:val="single" w:sz="4" w:space="0" w:color="AEAAAA"/>
            </w:tcBorders>
            <w:shd w:val="clear" w:color="auto" w:fill="auto"/>
            <w:vAlign w:val="bottom"/>
            <w:hideMark/>
          </w:tcPr>
          <w:p w14:paraId="215A07A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15E3CFC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247" w:type="dxa"/>
            <w:tcBorders>
              <w:top w:val="nil"/>
              <w:left w:val="nil"/>
              <w:bottom w:val="single" w:sz="4" w:space="0" w:color="AEAAAA"/>
              <w:right w:val="single" w:sz="4" w:space="0" w:color="AEAAAA"/>
            </w:tcBorders>
            <w:shd w:val="clear" w:color="auto" w:fill="auto"/>
            <w:vAlign w:val="bottom"/>
            <w:hideMark/>
          </w:tcPr>
          <w:p w14:paraId="5FA7F8A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Moderate </w:t>
            </w:r>
          </w:p>
        </w:tc>
        <w:tc>
          <w:tcPr>
            <w:tcW w:w="1559" w:type="dxa"/>
            <w:tcBorders>
              <w:top w:val="nil"/>
              <w:left w:val="nil"/>
              <w:bottom w:val="single" w:sz="4" w:space="0" w:color="AEAAAA"/>
              <w:right w:val="single" w:sz="4" w:space="0" w:color="AEAAAA"/>
            </w:tcBorders>
            <w:shd w:val="clear" w:color="auto" w:fill="auto"/>
            <w:vAlign w:val="bottom"/>
            <w:hideMark/>
          </w:tcPr>
          <w:p w14:paraId="49FA672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PC(1), RC (1), CS(2), R(2)</w:t>
            </w:r>
          </w:p>
        </w:tc>
      </w:tr>
      <w:tr w:rsidR="00DA5F7E" w:rsidRPr="00EC7A17" w14:paraId="5BD46E72"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ABD310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470FDCC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469566F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auto" w:fill="auto"/>
            <w:vAlign w:val="bottom"/>
            <w:hideMark/>
          </w:tcPr>
          <w:p w14:paraId="6C9C76D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If results are normal, we recommend OGTT or other diagnostic tests for diabetes should be repeated periodically as well as before future pregnancies.</w:t>
            </w:r>
          </w:p>
        </w:tc>
        <w:tc>
          <w:tcPr>
            <w:tcW w:w="1701" w:type="dxa"/>
            <w:tcBorders>
              <w:top w:val="nil"/>
              <w:left w:val="nil"/>
              <w:bottom w:val="single" w:sz="4" w:space="0" w:color="AEAAAA"/>
              <w:right w:val="single" w:sz="4" w:space="0" w:color="AEAAAA"/>
            </w:tcBorders>
            <w:shd w:val="clear" w:color="auto" w:fill="auto"/>
            <w:vAlign w:val="bottom"/>
            <w:hideMark/>
          </w:tcPr>
          <w:p w14:paraId="4988C14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1E6C3F5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247" w:type="dxa"/>
            <w:tcBorders>
              <w:top w:val="nil"/>
              <w:left w:val="nil"/>
              <w:bottom w:val="single" w:sz="4" w:space="0" w:color="AEAAAA"/>
              <w:right w:val="single" w:sz="4" w:space="0" w:color="AEAAAA"/>
            </w:tcBorders>
            <w:shd w:val="clear" w:color="auto" w:fill="auto"/>
            <w:vAlign w:val="bottom"/>
            <w:hideMark/>
          </w:tcPr>
          <w:p w14:paraId="39C62E4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auto" w:fill="auto"/>
            <w:vAlign w:val="bottom"/>
            <w:hideMark/>
          </w:tcPr>
          <w:p w14:paraId="02E9BBC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PC(6), RC(2), R(2)</w:t>
            </w:r>
          </w:p>
        </w:tc>
      </w:tr>
      <w:tr w:rsidR="00DA5F7E" w:rsidRPr="00EC7A17" w14:paraId="51DCF3DF" w14:textId="77777777" w:rsidTr="006031D2">
        <w:trPr>
          <w:trHeight w:val="1395"/>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F9DE00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66A7A05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47BF0DE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auto" w:fill="auto"/>
            <w:vAlign w:val="bottom"/>
            <w:hideMark/>
          </w:tcPr>
          <w:p w14:paraId="07866BF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 recommend that postpartum care should include measurement of fasting plasma glucose or fasting self-monitored blood glucose for 24 to 72 hours after delivery to rule out ongoing </w:t>
            </w:r>
            <w:proofErr w:type="spellStart"/>
            <w:r w:rsidRPr="00EC7A17">
              <w:rPr>
                <w:rFonts w:ascii="Times New Roman" w:eastAsia="Times New Roman" w:hAnsi="Times New Roman" w:cs="Times New Roman"/>
                <w:color w:val="000000"/>
                <w:lang w:eastAsia="en-NZ"/>
              </w:rPr>
              <w:t>hyperglycemia</w:t>
            </w:r>
            <w:proofErr w:type="spellEnd"/>
            <w:r w:rsidRPr="00EC7A17">
              <w:rPr>
                <w:rFonts w:ascii="Times New Roman" w:eastAsia="Times New Roman" w:hAnsi="Times New Roman" w:cs="Times New Roman"/>
                <w:color w:val="000000"/>
                <w:lang w:eastAsia="en-NZ"/>
              </w:rPr>
              <w:t xml:space="preserve">. </w:t>
            </w:r>
          </w:p>
        </w:tc>
        <w:tc>
          <w:tcPr>
            <w:tcW w:w="1701" w:type="dxa"/>
            <w:tcBorders>
              <w:top w:val="nil"/>
              <w:left w:val="nil"/>
              <w:bottom w:val="single" w:sz="4" w:space="0" w:color="AEAAAA"/>
              <w:right w:val="single" w:sz="4" w:space="0" w:color="AEAAAA"/>
            </w:tcBorders>
            <w:shd w:val="clear" w:color="auto" w:fill="auto"/>
            <w:vAlign w:val="bottom"/>
            <w:hideMark/>
          </w:tcPr>
          <w:p w14:paraId="4AE9541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744B393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247" w:type="dxa"/>
            <w:tcBorders>
              <w:top w:val="nil"/>
              <w:left w:val="nil"/>
              <w:bottom w:val="single" w:sz="4" w:space="0" w:color="AEAAAA"/>
              <w:right w:val="single" w:sz="4" w:space="0" w:color="AEAAAA"/>
            </w:tcBorders>
            <w:shd w:val="clear" w:color="auto" w:fill="auto"/>
            <w:vAlign w:val="bottom"/>
            <w:hideMark/>
          </w:tcPr>
          <w:p w14:paraId="04DEC46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auto" w:fill="auto"/>
            <w:vAlign w:val="bottom"/>
            <w:hideMark/>
          </w:tcPr>
          <w:p w14:paraId="7122748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evidence reported</w:t>
            </w:r>
          </w:p>
        </w:tc>
      </w:tr>
      <w:tr w:rsidR="00DA5F7E" w:rsidRPr="00EC7A17" w14:paraId="1D1674C6" w14:textId="77777777" w:rsidTr="006031D2">
        <w:trPr>
          <w:trHeight w:val="1542"/>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24849F0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0ED5DAC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3D36310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auto" w:fill="auto"/>
            <w:vAlign w:val="bottom"/>
            <w:hideMark/>
          </w:tcPr>
          <w:p w14:paraId="63047AC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 suggest blood glucose-lowering medication should be discontinued immediately after delivery unless overt diabetes is suspected, in which case the decision to continue such medication should be made on a case-by-case basis. </w:t>
            </w:r>
          </w:p>
        </w:tc>
        <w:tc>
          <w:tcPr>
            <w:tcW w:w="1701" w:type="dxa"/>
            <w:tcBorders>
              <w:top w:val="nil"/>
              <w:left w:val="nil"/>
              <w:bottom w:val="single" w:sz="4" w:space="0" w:color="AEAAAA"/>
              <w:right w:val="single" w:sz="4" w:space="0" w:color="AEAAAA"/>
            </w:tcBorders>
            <w:shd w:val="clear" w:color="auto" w:fill="auto"/>
            <w:vAlign w:val="bottom"/>
            <w:hideMark/>
          </w:tcPr>
          <w:p w14:paraId="3DE6902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auto" w:fill="auto"/>
            <w:vAlign w:val="bottom"/>
            <w:hideMark/>
          </w:tcPr>
          <w:p w14:paraId="51346DE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247" w:type="dxa"/>
            <w:tcBorders>
              <w:top w:val="nil"/>
              <w:left w:val="nil"/>
              <w:bottom w:val="single" w:sz="4" w:space="0" w:color="AEAAAA"/>
              <w:right w:val="single" w:sz="4" w:space="0" w:color="AEAAAA"/>
            </w:tcBorders>
            <w:shd w:val="clear" w:color="auto" w:fill="auto"/>
            <w:vAlign w:val="bottom"/>
            <w:hideMark/>
          </w:tcPr>
          <w:p w14:paraId="6367F81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auto" w:fill="auto"/>
            <w:vAlign w:val="bottom"/>
            <w:hideMark/>
          </w:tcPr>
          <w:p w14:paraId="26A4D89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evidence reported</w:t>
            </w:r>
          </w:p>
        </w:tc>
      </w:tr>
      <w:tr w:rsidR="00DA5F7E" w:rsidRPr="00EC7A17" w14:paraId="6EB61B96"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018A87D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auto" w:fill="auto"/>
            <w:vAlign w:val="bottom"/>
            <w:hideMark/>
          </w:tcPr>
          <w:p w14:paraId="3A8996D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4B6BE91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auto" w:fill="auto"/>
            <w:vAlign w:val="bottom"/>
            <w:hideMark/>
          </w:tcPr>
          <w:p w14:paraId="05D9941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 recommend breastfeeding whenever possible.</w:t>
            </w:r>
          </w:p>
        </w:tc>
        <w:tc>
          <w:tcPr>
            <w:tcW w:w="1701" w:type="dxa"/>
            <w:tcBorders>
              <w:top w:val="nil"/>
              <w:left w:val="nil"/>
              <w:bottom w:val="single" w:sz="4" w:space="0" w:color="AEAAAA"/>
              <w:right w:val="single" w:sz="4" w:space="0" w:color="AEAAAA"/>
            </w:tcBorders>
            <w:shd w:val="clear" w:color="auto" w:fill="auto"/>
            <w:vAlign w:val="bottom"/>
            <w:hideMark/>
          </w:tcPr>
          <w:p w14:paraId="0711DD9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536EB10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auto" w:fill="auto"/>
            <w:vAlign w:val="bottom"/>
            <w:hideMark/>
          </w:tcPr>
          <w:p w14:paraId="588A958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auto" w:fill="auto"/>
            <w:vAlign w:val="bottom"/>
            <w:hideMark/>
          </w:tcPr>
          <w:p w14:paraId="57979ED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PC(4), RC(3), R(1), CS(1), CC(2)</w:t>
            </w:r>
          </w:p>
        </w:tc>
      </w:tr>
      <w:tr w:rsidR="00DA5F7E" w:rsidRPr="00EC7A17" w14:paraId="7C1F5DFB" w14:textId="77777777" w:rsidTr="006031D2">
        <w:trPr>
          <w:trHeight w:val="274"/>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5B4D362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3C22C53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1CF59DE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auto" w:fill="auto"/>
            <w:vAlign w:val="bottom"/>
            <w:hideMark/>
          </w:tcPr>
          <w:p w14:paraId="15B7CAF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 recommend that women receive </w:t>
            </w:r>
            <w:proofErr w:type="spellStart"/>
            <w:r w:rsidRPr="00EC7A17">
              <w:rPr>
                <w:rFonts w:ascii="Times New Roman" w:eastAsia="Times New Roman" w:hAnsi="Times New Roman" w:cs="Times New Roman"/>
                <w:color w:val="000000"/>
                <w:lang w:eastAsia="en-NZ"/>
              </w:rPr>
              <w:t>counseling</w:t>
            </w:r>
            <w:proofErr w:type="spellEnd"/>
            <w:r w:rsidRPr="00EC7A17">
              <w:rPr>
                <w:rFonts w:ascii="Times New Roman" w:eastAsia="Times New Roman" w:hAnsi="Times New Roman" w:cs="Times New Roman"/>
                <w:color w:val="000000"/>
                <w:lang w:eastAsia="en-NZ"/>
              </w:rPr>
              <w:t xml:space="preserve"> on lifestyle measures to reduce the risk of type 2 diabetes, </w:t>
            </w:r>
          </w:p>
        </w:tc>
        <w:tc>
          <w:tcPr>
            <w:tcW w:w="1701" w:type="dxa"/>
            <w:tcBorders>
              <w:top w:val="nil"/>
              <w:left w:val="nil"/>
              <w:bottom w:val="single" w:sz="4" w:space="0" w:color="AEAAAA"/>
              <w:right w:val="single" w:sz="4" w:space="0" w:color="AEAAAA"/>
            </w:tcBorders>
            <w:shd w:val="clear" w:color="auto" w:fill="auto"/>
            <w:vAlign w:val="bottom"/>
            <w:hideMark/>
          </w:tcPr>
          <w:p w14:paraId="46F1241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2C035EF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247" w:type="dxa"/>
            <w:tcBorders>
              <w:top w:val="nil"/>
              <w:left w:val="nil"/>
              <w:bottom w:val="single" w:sz="4" w:space="0" w:color="AEAAAA"/>
              <w:right w:val="single" w:sz="4" w:space="0" w:color="AEAAAA"/>
            </w:tcBorders>
            <w:shd w:val="clear" w:color="auto" w:fill="auto"/>
            <w:vAlign w:val="bottom"/>
            <w:hideMark/>
          </w:tcPr>
          <w:p w14:paraId="185E78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Very low</w:t>
            </w:r>
          </w:p>
        </w:tc>
        <w:tc>
          <w:tcPr>
            <w:tcW w:w="1559" w:type="dxa"/>
            <w:tcBorders>
              <w:top w:val="nil"/>
              <w:left w:val="nil"/>
              <w:bottom w:val="single" w:sz="4" w:space="0" w:color="AEAAAA"/>
              <w:right w:val="single" w:sz="4" w:space="0" w:color="AEAAAA"/>
            </w:tcBorders>
            <w:shd w:val="clear" w:color="auto" w:fill="auto"/>
            <w:vAlign w:val="bottom"/>
            <w:hideMark/>
          </w:tcPr>
          <w:p w14:paraId="7B335A6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PC(5), CC(1)</w:t>
            </w:r>
          </w:p>
        </w:tc>
      </w:tr>
      <w:tr w:rsidR="00DA5F7E" w:rsidRPr="00EC7A17" w14:paraId="0EEFDCD4" w14:textId="77777777" w:rsidTr="006031D2">
        <w:trPr>
          <w:trHeight w:val="738"/>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5A65541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7C58554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63CBFA27"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auto" w:fill="auto"/>
            <w:vAlign w:val="bottom"/>
            <w:hideMark/>
          </w:tcPr>
          <w:p w14:paraId="23488C1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 recommend that the choice of a contraceptive method should not be influenced by virtue of having a history of GDM. </w:t>
            </w:r>
          </w:p>
        </w:tc>
        <w:tc>
          <w:tcPr>
            <w:tcW w:w="1701" w:type="dxa"/>
            <w:tcBorders>
              <w:top w:val="nil"/>
              <w:left w:val="nil"/>
              <w:bottom w:val="single" w:sz="4" w:space="0" w:color="AEAAAA"/>
              <w:right w:val="single" w:sz="4" w:space="0" w:color="AEAAAA"/>
            </w:tcBorders>
            <w:shd w:val="clear" w:color="auto" w:fill="auto"/>
            <w:vAlign w:val="bottom"/>
            <w:hideMark/>
          </w:tcPr>
          <w:p w14:paraId="3133846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206C58A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Moderate </w:t>
            </w:r>
          </w:p>
        </w:tc>
        <w:tc>
          <w:tcPr>
            <w:tcW w:w="1247" w:type="dxa"/>
            <w:tcBorders>
              <w:top w:val="nil"/>
              <w:left w:val="nil"/>
              <w:bottom w:val="single" w:sz="4" w:space="0" w:color="AEAAAA"/>
              <w:right w:val="single" w:sz="4" w:space="0" w:color="AEAAAA"/>
            </w:tcBorders>
            <w:shd w:val="clear" w:color="auto" w:fill="auto"/>
            <w:vAlign w:val="bottom"/>
            <w:hideMark/>
          </w:tcPr>
          <w:p w14:paraId="7791358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auto" w:fill="FFFFFF" w:themeFill="background1"/>
            <w:vAlign w:val="bottom"/>
            <w:hideMark/>
          </w:tcPr>
          <w:p w14:paraId="18BFBE2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br/>
              <w:t>RCT(1), PC(7), RC(2), CS(1), CC(2)</w:t>
            </w:r>
          </w:p>
        </w:tc>
      </w:tr>
      <w:tr w:rsidR="00DA5F7E" w:rsidRPr="00EC7A17" w14:paraId="78E2CFA1" w14:textId="77777777" w:rsidTr="006031D2">
        <w:trPr>
          <w:trHeight w:val="21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2F77CF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Screening, Diagnosis and Management of Diabetes in</w:t>
            </w:r>
            <w:r w:rsidRPr="00EC7A17">
              <w:rPr>
                <w:rFonts w:ascii="Times New Roman" w:eastAsia="Times New Roman" w:hAnsi="Times New Roman" w:cs="Times New Roman"/>
                <w:b/>
                <w:bCs/>
                <w:color w:val="000000"/>
                <w:lang w:eastAsia="en-NZ"/>
              </w:rPr>
              <w:br/>
              <w:t>Pregnant Women: National Guideline, Sri Lanka (2014)</w:t>
            </w:r>
          </w:p>
        </w:tc>
        <w:tc>
          <w:tcPr>
            <w:tcW w:w="1387" w:type="dxa"/>
            <w:tcBorders>
              <w:top w:val="nil"/>
              <w:left w:val="nil"/>
              <w:bottom w:val="single" w:sz="4" w:space="0" w:color="AEAAAA"/>
              <w:right w:val="single" w:sz="4" w:space="0" w:color="AEAAAA"/>
            </w:tcBorders>
            <w:shd w:val="clear" w:color="000000" w:fill="E7E6E6"/>
            <w:vAlign w:val="bottom"/>
            <w:hideMark/>
          </w:tcPr>
          <w:p w14:paraId="0B82FD2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grading system reported</w:t>
            </w:r>
          </w:p>
        </w:tc>
        <w:tc>
          <w:tcPr>
            <w:tcW w:w="1843" w:type="dxa"/>
            <w:tcBorders>
              <w:top w:val="nil"/>
              <w:left w:val="nil"/>
              <w:bottom w:val="single" w:sz="4" w:space="0" w:color="AEAAAA"/>
              <w:right w:val="single" w:sz="4" w:space="0" w:color="AEAAAA"/>
            </w:tcBorders>
            <w:shd w:val="clear" w:color="000000" w:fill="E7E6E6"/>
            <w:vAlign w:val="bottom"/>
            <w:hideMark/>
          </w:tcPr>
          <w:p w14:paraId="3B36BC0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hideMark/>
          </w:tcPr>
          <w:p w14:paraId="3DD9145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At 6 to 8 weeks postpartum, women with GDM who became normoglycemic postpartum should be referred for screening for type 2 DM by OGTT. Fluid blood sugar is an alternative if resources are limited. Women whose fasting venous plasma glucose is above 100 mg/dl (5.5 mmol/l) must be referred for further evaluation.</w:t>
            </w:r>
          </w:p>
        </w:tc>
        <w:tc>
          <w:tcPr>
            <w:tcW w:w="1701" w:type="dxa"/>
            <w:tcBorders>
              <w:top w:val="nil"/>
              <w:left w:val="nil"/>
              <w:bottom w:val="single" w:sz="4" w:space="0" w:color="AEAAAA"/>
              <w:right w:val="single" w:sz="4" w:space="0" w:color="AEAAAA"/>
            </w:tcBorders>
            <w:shd w:val="clear" w:color="000000" w:fill="E7E6E6"/>
            <w:vAlign w:val="bottom"/>
            <w:hideMark/>
          </w:tcPr>
          <w:p w14:paraId="4BEF253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3073FC0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6C99AB0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5E442F9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r>
      <w:tr w:rsidR="00DA5F7E" w:rsidRPr="00EC7A17" w14:paraId="10B370CD" w14:textId="77777777" w:rsidTr="006031D2">
        <w:trPr>
          <w:trHeight w:val="1313"/>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3044458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462C379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295C824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E7E6E6"/>
            <w:vAlign w:val="bottom"/>
            <w:hideMark/>
          </w:tcPr>
          <w:p w14:paraId="5CFDC38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who screen negative at the 6-week review should receive lifestyle advice emphasising BMI control. </w:t>
            </w:r>
          </w:p>
        </w:tc>
        <w:tc>
          <w:tcPr>
            <w:tcW w:w="1701" w:type="dxa"/>
            <w:tcBorders>
              <w:top w:val="nil"/>
              <w:left w:val="nil"/>
              <w:bottom w:val="single" w:sz="4" w:space="0" w:color="AEAAAA"/>
              <w:right w:val="single" w:sz="4" w:space="0" w:color="AEAAAA"/>
            </w:tcBorders>
            <w:shd w:val="clear" w:color="000000" w:fill="E7E6E6"/>
            <w:vAlign w:val="bottom"/>
            <w:hideMark/>
          </w:tcPr>
          <w:p w14:paraId="0E4278D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000000" w:fill="E7E6E6"/>
            <w:vAlign w:val="bottom"/>
            <w:hideMark/>
          </w:tcPr>
          <w:p w14:paraId="2723B54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1FEEAD2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22757FC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r>
      <w:tr w:rsidR="00DA5F7E" w:rsidRPr="00EC7A17" w14:paraId="10E60DBD" w14:textId="77777777" w:rsidTr="006031D2">
        <w:trPr>
          <w:trHeight w:val="1313"/>
        </w:trPr>
        <w:tc>
          <w:tcPr>
            <w:tcW w:w="1727" w:type="dxa"/>
            <w:tcBorders>
              <w:top w:val="nil"/>
              <w:left w:val="single" w:sz="4" w:space="0" w:color="AEAAAA"/>
              <w:bottom w:val="single" w:sz="4" w:space="0" w:color="AEAAAA"/>
              <w:right w:val="single" w:sz="4" w:space="0" w:color="AEAAAA"/>
            </w:tcBorders>
            <w:shd w:val="clear" w:color="000000" w:fill="E7E6E6"/>
            <w:vAlign w:val="bottom"/>
          </w:tcPr>
          <w:p w14:paraId="4EFB1FD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p>
        </w:tc>
        <w:tc>
          <w:tcPr>
            <w:tcW w:w="1387" w:type="dxa"/>
            <w:tcBorders>
              <w:top w:val="nil"/>
              <w:left w:val="nil"/>
              <w:bottom w:val="single" w:sz="4" w:space="0" w:color="AEAAAA"/>
              <w:right w:val="single" w:sz="4" w:space="0" w:color="AEAAAA"/>
            </w:tcBorders>
            <w:shd w:val="clear" w:color="000000" w:fill="E7E6E6"/>
            <w:vAlign w:val="bottom"/>
          </w:tcPr>
          <w:p w14:paraId="1301843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000000" w:fill="E7E6E6"/>
            <w:vAlign w:val="bottom"/>
          </w:tcPr>
          <w:p w14:paraId="3C3A67F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Long-term follow up</w:t>
            </w:r>
          </w:p>
        </w:tc>
        <w:tc>
          <w:tcPr>
            <w:tcW w:w="3118" w:type="dxa"/>
            <w:tcBorders>
              <w:top w:val="nil"/>
              <w:left w:val="nil"/>
              <w:bottom w:val="single" w:sz="4" w:space="0" w:color="AEAAAA"/>
              <w:right w:val="single" w:sz="4" w:space="0" w:color="AEAAAA"/>
            </w:tcBorders>
            <w:shd w:val="clear" w:color="000000" w:fill="E7E6E6"/>
            <w:vAlign w:val="bottom"/>
          </w:tcPr>
          <w:p w14:paraId="27B3E9E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who screen negative at the 6-week review should receive screening for noninsulin dependent diabetes mellitus annually with FBG. </w:t>
            </w:r>
          </w:p>
        </w:tc>
        <w:tc>
          <w:tcPr>
            <w:tcW w:w="1701" w:type="dxa"/>
            <w:tcBorders>
              <w:top w:val="nil"/>
              <w:left w:val="nil"/>
              <w:bottom w:val="single" w:sz="4" w:space="0" w:color="AEAAAA"/>
              <w:right w:val="single" w:sz="4" w:space="0" w:color="AEAAAA"/>
            </w:tcBorders>
            <w:shd w:val="clear" w:color="000000" w:fill="E7E6E6"/>
            <w:vAlign w:val="bottom"/>
          </w:tcPr>
          <w:p w14:paraId="3C20A44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000000" w:fill="E7E6E6"/>
            <w:vAlign w:val="bottom"/>
          </w:tcPr>
          <w:p w14:paraId="4B4AE01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tcPr>
          <w:p w14:paraId="12843B0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tcPr>
          <w:p w14:paraId="75D8955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r>
      <w:tr w:rsidR="00DA5F7E" w:rsidRPr="00EC7A17" w14:paraId="3CD8F4DF" w14:textId="77777777" w:rsidTr="006031D2">
        <w:trPr>
          <w:trHeight w:val="21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64A9CB1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60E25EB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6757A4D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000000" w:fill="E7E6E6"/>
            <w:vAlign w:val="bottom"/>
            <w:hideMark/>
          </w:tcPr>
          <w:p w14:paraId="285C6FB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If mother is given insulin in the antenatal period, the dose needs adjustments to pre-pregnant doses or with diet alone in the first 48 hours after delivery. The decision should be based on her postpartum blood glucose value. If fasting blood glucose (FBG) exceeds 126 mg/dl or RBS exceeds 200 mg/dl, insulin or metformin may be required.</w:t>
            </w:r>
          </w:p>
        </w:tc>
        <w:tc>
          <w:tcPr>
            <w:tcW w:w="1701" w:type="dxa"/>
            <w:tcBorders>
              <w:top w:val="nil"/>
              <w:left w:val="nil"/>
              <w:bottom w:val="single" w:sz="4" w:space="0" w:color="AEAAAA"/>
              <w:right w:val="single" w:sz="4" w:space="0" w:color="AEAAAA"/>
            </w:tcBorders>
            <w:shd w:val="clear" w:color="000000" w:fill="E7E6E6"/>
            <w:vAlign w:val="bottom"/>
            <w:hideMark/>
          </w:tcPr>
          <w:p w14:paraId="7D370A4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43936D7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09DA3B8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142A7B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r>
      <w:tr w:rsidR="00DA5F7E" w:rsidRPr="00EC7A17" w14:paraId="32832A6F" w14:textId="77777777" w:rsidTr="006031D2">
        <w:trPr>
          <w:trHeight w:val="15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6A36DD3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55D238E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7CDE34F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000000" w:fill="E7E6E6"/>
            <w:vAlign w:val="bottom"/>
            <w:hideMark/>
          </w:tcPr>
          <w:p w14:paraId="73A3886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All reliable methods of family planning can be used as</w:t>
            </w:r>
            <w:r w:rsidRPr="00EC7A17">
              <w:rPr>
                <w:rFonts w:ascii="Times New Roman" w:eastAsia="Times New Roman" w:hAnsi="Times New Roman" w:cs="Times New Roman"/>
                <w:color w:val="000000"/>
                <w:lang w:eastAsia="en-NZ"/>
              </w:rPr>
              <w:br/>
              <w:t>appropriate for the needs of the individual woman. For women with BMI &gt;25 kg/m2, depot medroxyprogesterone acetate (DMPA) is best avoided.</w:t>
            </w:r>
          </w:p>
        </w:tc>
        <w:tc>
          <w:tcPr>
            <w:tcW w:w="1701" w:type="dxa"/>
            <w:tcBorders>
              <w:top w:val="nil"/>
              <w:left w:val="nil"/>
              <w:bottom w:val="single" w:sz="4" w:space="0" w:color="AEAAAA"/>
              <w:right w:val="single" w:sz="4" w:space="0" w:color="AEAAAA"/>
            </w:tcBorders>
            <w:shd w:val="clear" w:color="000000" w:fill="E7E6E6"/>
            <w:vAlign w:val="bottom"/>
            <w:hideMark/>
          </w:tcPr>
          <w:p w14:paraId="63B5B88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4D75FC4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hideMark/>
          </w:tcPr>
          <w:p w14:paraId="425BD75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5861944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4961F19A" w14:textId="77777777" w:rsidTr="006031D2">
        <w:trPr>
          <w:trHeight w:val="1500"/>
        </w:trPr>
        <w:tc>
          <w:tcPr>
            <w:tcW w:w="1727" w:type="dxa"/>
            <w:tcBorders>
              <w:top w:val="nil"/>
              <w:left w:val="single" w:sz="4" w:space="0" w:color="AEAAAA"/>
              <w:bottom w:val="single" w:sz="4" w:space="0" w:color="AEAAAA"/>
              <w:right w:val="single" w:sz="4" w:space="0" w:color="AEAAAA"/>
            </w:tcBorders>
            <w:shd w:val="clear" w:color="000000" w:fill="E7E6E6"/>
            <w:vAlign w:val="bottom"/>
          </w:tcPr>
          <w:p w14:paraId="6CFFC3B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387" w:type="dxa"/>
            <w:tcBorders>
              <w:top w:val="nil"/>
              <w:left w:val="nil"/>
              <w:bottom w:val="single" w:sz="4" w:space="0" w:color="AEAAAA"/>
              <w:right w:val="single" w:sz="4" w:space="0" w:color="AEAAAA"/>
            </w:tcBorders>
            <w:shd w:val="clear" w:color="000000" w:fill="E7E6E6"/>
            <w:vAlign w:val="bottom"/>
          </w:tcPr>
          <w:p w14:paraId="2B03D95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000000" w:fill="E7E6E6"/>
            <w:vAlign w:val="bottom"/>
          </w:tcPr>
          <w:p w14:paraId="4DB679C2"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tcPr>
          <w:p w14:paraId="6C69F16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Initiate breastfeeding as</w:t>
            </w:r>
          </w:p>
          <w:p w14:paraId="375FB64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early as possible (within first half to 1 hour) to prevent hypoglycaemia in </w:t>
            </w:r>
            <w:proofErr w:type="spellStart"/>
            <w:r w:rsidRPr="00EC7A17">
              <w:rPr>
                <w:rFonts w:ascii="Times New Roman" w:eastAsia="Times New Roman" w:hAnsi="Times New Roman" w:cs="Times New Roman"/>
                <w:color w:val="000000"/>
                <w:lang w:eastAsia="en-NZ"/>
              </w:rPr>
              <w:t>newborn</w:t>
            </w:r>
            <w:proofErr w:type="spellEnd"/>
          </w:p>
        </w:tc>
        <w:tc>
          <w:tcPr>
            <w:tcW w:w="1701" w:type="dxa"/>
            <w:tcBorders>
              <w:top w:val="nil"/>
              <w:left w:val="nil"/>
              <w:bottom w:val="single" w:sz="4" w:space="0" w:color="AEAAAA"/>
              <w:right w:val="single" w:sz="4" w:space="0" w:color="AEAAAA"/>
            </w:tcBorders>
            <w:shd w:val="clear" w:color="000000" w:fill="E7E6E6"/>
            <w:vAlign w:val="bottom"/>
          </w:tcPr>
          <w:p w14:paraId="6DE1310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tcPr>
          <w:p w14:paraId="732325A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247" w:type="dxa"/>
            <w:tcBorders>
              <w:top w:val="nil"/>
              <w:left w:val="nil"/>
              <w:bottom w:val="single" w:sz="4" w:space="0" w:color="AEAAAA"/>
              <w:right w:val="single" w:sz="4" w:space="0" w:color="AEAAAA"/>
            </w:tcBorders>
            <w:shd w:val="clear" w:color="000000" w:fill="E7E6E6"/>
            <w:vAlign w:val="bottom"/>
          </w:tcPr>
          <w:p w14:paraId="2668230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tcPr>
          <w:p w14:paraId="04158A2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7C81694F" w14:textId="77777777" w:rsidTr="006031D2">
        <w:trPr>
          <w:trHeight w:val="1692"/>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4D7E8F5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Malaysia 2017 Management of Diabetes in pregnancy</w:t>
            </w:r>
          </w:p>
        </w:tc>
        <w:tc>
          <w:tcPr>
            <w:tcW w:w="1387" w:type="dxa"/>
            <w:tcBorders>
              <w:top w:val="nil"/>
              <w:left w:val="nil"/>
              <w:bottom w:val="single" w:sz="4" w:space="0" w:color="AEAAAA"/>
              <w:right w:val="single" w:sz="4" w:space="0" w:color="AEAAAA"/>
            </w:tcBorders>
            <w:shd w:val="clear" w:color="auto" w:fill="auto"/>
            <w:vAlign w:val="bottom"/>
            <w:hideMark/>
          </w:tcPr>
          <w:p w14:paraId="0B4CDF4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US Preventive Services Task Force 2001 </w:t>
            </w:r>
          </w:p>
        </w:tc>
        <w:tc>
          <w:tcPr>
            <w:tcW w:w="1843" w:type="dxa"/>
            <w:tcBorders>
              <w:top w:val="nil"/>
              <w:left w:val="nil"/>
              <w:bottom w:val="single" w:sz="4" w:space="0" w:color="AEAAAA"/>
              <w:right w:val="single" w:sz="4" w:space="0" w:color="AEAAAA"/>
            </w:tcBorders>
            <w:shd w:val="clear" w:color="auto" w:fill="auto"/>
            <w:vAlign w:val="bottom"/>
            <w:hideMark/>
          </w:tcPr>
          <w:p w14:paraId="1F1DAFB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auto" w:fill="auto"/>
            <w:vAlign w:val="bottom"/>
            <w:hideMark/>
          </w:tcPr>
          <w:p w14:paraId="50EB811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In women with history of gestational diabetes mellitus, OGTT should be performed at 6 weeks postpartum to detect diabetes and prediabetes. </w:t>
            </w:r>
          </w:p>
        </w:tc>
        <w:tc>
          <w:tcPr>
            <w:tcW w:w="1701" w:type="dxa"/>
            <w:tcBorders>
              <w:top w:val="nil"/>
              <w:left w:val="nil"/>
              <w:bottom w:val="single" w:sz="4" w:space="0" w:color="AEAAAA"/>
              <w:right w:val="single" w:sz="4" w:space="0" w:color="AEAAAA"/>
            </w:tcBorders>
            <w:shd w:val="clear" w:color="auto" w:fill="auto"/>
            <w:vAlign w:val="bottom"/>
            <w:hideMark/>
          </w:tcPr>
          <w:p w14:paraId="75C3EEE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78B0D97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III</w:t>
            </w:r>
          </w:p>
        </w:tc>
        <w:tc>
          <w:tcPr>
            <w:tcW w:w="1247" w:type="dxa"/>
            <w:tcBorders>
              <w:top w:val="nil"/>
              <w:left w:val="nil"/>
              <w:bottom w:val="single" w:sz="4" w:space="0" w:color="AEAAAA"/>
              <w:right w:val="single" w:sz="4" w:space="0" w:color="AEAAAA"/>
            </w:tcBorders>
            <w:shd w:val="clear" w:color="auto" w:fill="auto"/>
            <w:vAlign w:val="bottom"/>
            <w:hideMark/>
          </w:tcPr>
          <w:p w14:paraId="3393003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Low </w:t>
            </w:r>
          </w:p>
        </w:tc>
        <w:tc>
          <w:tcPr>
            <w:tcW w:w="1559" w:type="dxa"/>
            <w:tcBorders>
              <w:top w:val="nil"/>
              <w:left w:val="nil"/>
              <w:bottom w:val="single" w:sz="4" w:space="0" w:color="AEAAAA"/>
              <w:right w:val="single" w:sz="4" w:space="0" w:color="AEAAAA"/>
            </w:tcBorders>
            <w:shd w:val="clear" w:color="auto" w:fill="FFFFFF" w:themeFill="background1"/>
            <w:vAlign w:val="bottom"/>
            <w:hideMark/>
          </w:tcPr>
          <w:p w14:paraId="297B5BE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MA(1), PC(2), RC(1), Management of Type 2 Diabetes Mellitus, Ministry of Health Malaysia, 2015,   NICE 2015</w:t>
            </w:r>
          </w:p>
        </w:tc>
      </w:tr>
      <w:tr w:rsidR="00DA5F7E" w:rsidRPr="00EC7A17" w14:paraId="1C1F8162"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0BB1E4F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lastRenderedPageBreak/>
              <w:t> </w:t>
            </w:r>
          </w:p>
        </w:tc>
        <w:tc>
          <w:tcPr>
            <w:tcW w:w="1387" w:type="dxa"/>
            <w:tcBorders>
              <w:top w:val="nil"/>
              <w:left w:val="nil"/>
              <w:bottom w:val="single" w:sz="4" w:space="0" w:color="AEAAAA"/>
              <w:right w:val="single" w:sz="4" w:space="0" w:color="AEAAAA"/>
            </w:tcBorders>
            <w:shd w:val="clear" w:color="auto" w:fill="auto"/>
            <w:vAlign w:val="bottom"/>
            <w:hideMark/>
          </w:tcPr>
          <w:p w14:paraId="42AA063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0FBE2D9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auto" w:fill="auto"/>
            <w:vAlign w:val="bottom"/>
            <w:hideMark/>
          </w:tcPr>
          <w:p w14:paraId="0DE72AF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If negative, annual screening should be performed.</w:t>
            </w:r>
          </w:p>
        </w:tc>
        <w:tc>
          <w:tcPr>
            <w:tcW w:w="1701" w:type="dxa"/>
            <w:tcBorders>
              <w:top w:val="nil"/>
              <w:left w:val="nil"/>
              <w:bottom w:val="single" w:sz="4" w:space="0" w:color="AEAAAA"/>
              <w:right w:val="single" w:sz="4" w:space="0" w:color="AEAAAA"/>
            </w:tcBorders>
            <w:shd w:val="clear" w:color="auto" w:fill="auto"/>
            <w:vAlign w:val="bottom"/>
            <w:hideMark/>
          </w:tcPr>
          <w:p w14:paraId="7867C89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4086ABD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097BE58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71210DE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Management of Type 2 Diabetes Mellitus, Ministry of Health Malaysia, 2015  </w:t>
            </w:r>
          </w:p>
        </w:tc>
      </w:tr>
      <w:tr w:rsidR="00DA5F7E" w:rsidRPr="00EC7A17" w14:paraId="1080290E"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FB3491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1C07016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53CE439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auto" w:fill="auto"/>
            <w:vAlign w:val="bottom"/>
            <w:hideMark/>
          </w:tcPr>
          <w:p w14:paraId="2B04741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Most women diagnosed with GDM should be able to discontinue their insulin immediately after delivery</w:t>
            </w:r>
          </w:p>
        </w:tc>
        <w:tc>
          <w:tcPr>
            <w:tcW w:w="1701" w:type="dxa"/>
            <w:tcBorders>
              <w:top w:val="nil"/>
              <w:left w:val="nil"/>
              <w:bottom w:val="single" w:sz="4" w:space="0" w:color="AEAAAA"/>
              <w:right w:val="single" w:sz="4" w:space="0" w:color="AEAAAA"/>
            </w:tcBorders>
            <w:shd w:val="clear" w:color="auto" w:fill="auto"/>
            <w:vAlign w:val="bottom"/>
            <w:hideMark/>
          </w:tcPr>
          <w:p w14:paraId="64E5731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517CF4B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41C44B7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auto" w:fill="auto"/>
            <w:vAlign w:val="bottom"/>
            <w:hideMark/>
          </w:tcPr>
          <w:p w14:paraId="22902FA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Management of Type 2 Diabetes Mellitus, Ministry of Health Malaysia, 2015  </w:t>
            </w:r>
          </w:p>
        </w:tc>
      </w:tr>
      <w:tr w:rsidR="00DA5F7E" w:rsidRPr="00EC7A17" w14:paraId="5DD83E98" w14:textId="77777777" w:rsidTr="006031D2">
        <w:trPr>
          <w:trHeight w:val="67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1FB3B15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4BA7135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639F094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auto" w:fill="auto"/>
            <w:vAlign w:val="bottom"/>
            <w:hideMark/>
          </w:tcPr>
          <w:p w14:paraId="673342C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Breastfeeding of at least 3 months or longer should be encouraged to reduce the risk of diabetes</w:t>
            </w:r>
          </w:p>
        </w:tc>
        <w:tc>
          <w:tcPr>
            <w:tcW w:w="1701" w:type="dxa"/>
            <w:tcBorders>
              <w:top w:val="nil"/>
              <w:left w:val="nil"/>
              <w:bottom w:val="single" w:sz="4" w:space="0" w:color="AEAAAA"/>
              <w:right w:val="single" w:sz="4" w:space="0" w:color="AEAAAA"/>
            </w:tcBorders>
            <w:shd w:val="clear" w:color="auto" w:fill="auto"/>
            <w:vAlign w:val="bottom"/>
            <w:hideMark/>
          </w:tcPr>
          <w:p w14:paraId="3496AF2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auto" w:fill="auto"/>
            <w:vAlign w:val="bottom"/>
            <w:hideMark/>
          </w:tcPr>
          <w:p w14:paraId="13CA4E9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II-2</w:t>
            </w:r>
          </w:p>
        </w:tc>
        <w:tc>
          <w:tcPr>
            <w:tcW w:w="1247" w:type="dxa"/>
            <w:tcBorders>
              <w:top w:val="nil"/>
              <w:left w:val="nil"/>
              <w:bottom w:val="single" w:sz="4" w:space="0" w:color="AEAAAA"/>
              <w:right w:val="single" w:sz="4" w:space="0" w:color="AEAAAA"/>
            </w:tcBorders>
            <w:shd w:val="clear" w:color="auto" w:fill="auto"/>
            <w:vAlign w:val="bottom"/>
            <w:hideMark/>
          </w:tcPr>
          <w:p w14:paraId="53361ED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auto" w:fill="auto"/>
            <w:vAlign w:val="bottom"/>
            <w:hideMark/>
          </w:tcPr>
          <w:p w14:paraId="5E4A277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PC(2), RC(1)</w:t>
            </w:r>
          </w:p>
        </w:tc>
      </w:tr>
      <w:tr w:rsidR="00DA5F7E" w:rsidRPr="00EC7A17" w14:paraId="66BBF4EB" w14:textId="77777777" w:rsidTr="006031D2">
        <w:trPr>
          <w:trHeight w:val="670"/>
        </w:trPr>
        <w:tc>
          <w:tcPr>
            <w:tcW w:w="1727" w:type="dxa"/>
            <w:tcBorders>
              <w:top w:val="nil"/>
              <w:left w:val="single" w:sz="4" w:space="0" w:color="AEAAAA"/>
              <w:bottom w:val="single" w:sz="4" w:space="0" w:color="AEAAAA"/>
              <w:right w:val="single" w:sz="4" w:space="0" w:color="AEAAAA"/>
            </w:tcBorders>
            <w:shd w:val="clear" w:color="auto" w:fill="auto"/>
            <w:vAlign w:val="bottom"/>
          </w:tcPr>
          <w:p w14:paraId="4BE6229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387" w:type="dxa"/>
            <w:tcBorders>
              <w:top w:val="nil"/>
              <w:left w:val="nil"/>
              <w:bottom w:val="single" w:sz="4" w:space="0" w:color="AEAAAA"/>
              <w:right w:val="single" w:sz="4" w:space="0" w:color="AEAAAA"/>
            </w:tcBorders>
            <w:shd w:val="clear" w:color="auto" w:fill="auto"/>
            <w:vAlign w:val="bottom"/>
          </w:tcPr>
          <w:p w14:paraId="56C8C3E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auto" w:fill="auto"/>
            <w:vAlign w:val="bottom"/>
          </w:tcPr>
          <w:p w14:paraId="6F0F793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auto" w:fill="auto"/>
            <w:vAlign w:val="bottom"/>
          </w:tcPr>
          <w:p w14:paraId="3FA9EAB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There is limited data to demonstrate that Levonorgestrel-intrauterine system does not negatively affect glucose tolerance, i.e. IFG and IGT, compared with copper intrauterine device or tubal sterilisation in women with history of GDM</w:t>
            </w:r>
          </w:p>
        </w:tc>
        <w:tc>
          <w:tcPr>
            <w:tcW w:w="1701" w:type="dxa"/>
            <w:tcBorders>
              <w:top w:val="nil"/>
              <w:left w:val="nil"/>
              <w:bottom w:val="single" w:sz="4" w:space="0" w:color="AEAAAA"/>
              <w:right w:val="single" w:sz="4" w:space="0" w:color="AEAAAA"/>
            </w:tcBorders>
            <w:shd w:val="clear" w:color="auto" w:fill="auto"/>
            <w:vAlign w:val="bottom"/>
          </w:tcPr>
          <w:p w14:paraId="749EC0C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auto" w:fill="auto"/>
            <w:vAlign w:val="bottom"/>
          </w:tcPr>
          <w:p w14:paraId="0957738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III</w:t>
            </w:r>
          </w:p>
        </w:tc>
        <w:tc>
          <w:tcPr>
            <w:tcW w:w="1247" w:type="dxa"/>
            <w:tcBorders>
              <w:top w:val="nil"/>
              <w:left w:val="nil"/>
              <w:bottom w:val="single" w:sz="4" w:space="0" w:color="AEAAAA"/>
              <w:right w:val="single" w:sz="4" w:space="0" w:color="AEAAAA"/>
            </w:tcBorders>
            <w:shd w:val="clear" w:color="auto" w:fill="auto"/>
            <w:vAlign w:val="bottom"/>
          </w:tcPr>
          <w:p w14:paraId="7AF6FF9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auto" w:fill="auto"/>
            <w:vAlign w:val="bottom"/>
          </w:tcPr>
          <w:p w14:paraId="70B83AF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CS(1)</w:t>
            </w:r>
          </w:p>
        </w:tc>
      </w:tr>
      <w:tr w:rsidR="00DA5F7E" w:rsidRPr="00EC7A17" w14:paraId="7ED52F32" w14:textId="77777777" w:rsidTr="006031D2">
        <w:trPr>
          <w:trHeight w:val="112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53AFC2B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18CD130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0E5F269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auto" w:fill="auto"/>
            <w:vAlign w:val="bottom"/>
            <w:hideMark/>
          </w:tcPr>
          <w:p w14:paraId="73585A2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In women with history of GDM, metformin and intensive lifestyle intervention during postpartum period should be considered to prevent diabetes</w:t>
            </w:r>
          </w:p>
        </w:tc>
        <w:tc>
          <w:tcPr>
            <w:tcW w:w="1701" w:type="dxa"/>
            <w:tcBorders>
              <w:top w:val="nil"/>
              <w:left w:val="nil"/>
              <w:bottom w:val="single" w:sz="4" w:space="0" w:color="AEAAAA"/>
              <w:right w:val="single" w:sz="4" w:space="0" w:color="AEAAAA"/>
            </w:tcBorders>
            <w:shd w:val="clear" w:color="auto" w:fill="auto"/>
            <w:vAlign w:val="bottom"/>
            <w:hideMark/>
          </w:tcPr>
          <w:p w14:paraId="1F87683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28B56B3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I</w:t>
            </w:r>
          </w:p>
        </w:tc>
        <w:tc>
          <w:tcPr>
            <w:tcW w:w="1247" w:type="dxa"/>
            <w:tcBorders>
              <w:top w:val="nil"/>
              <w:left w:val="nil"/>
              <w:bottom w:val="single" w:sz="4" w:space="0" w:color="AEAAAA"/>
              <w:right w:val="single" w:sz="4" w:space="0" w:color="AEAAAA"/>
            </w:tcBorders>
            <w:shd w:val="clear" w:color="auto" w:fill="auto"/>
            <w:vAlign w:val="bottom"/>
            <w:hideMark/>
          </w:tcPr>
          <w:p w14:paraId="52DF963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auto" w:fill="auto"/>
            <w:vAlign w:val="bottom"/>
            <w:hideMark/>
          </w:tcPr>
          <w:p w14:paraId="6691B4E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SR:RCT(1), RCT(3), NRCT(1)</w:t>
            </w:r>
          </w:p>
        </w:tc>
      </w:tr>
      <w:tr w:rsidR="00DA5F7E" w:rsidRPr="00EC7A17" w14:paraId="33794ABD" w14:textId="77777777" w:rsidTr="006031D2">
        <w:trPr>
          <w:trHeight w:val="15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3807CF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lastRenderedPageBreak/>
              <w:t>Guidelines for Screening, Diagnosis, and</w:t>
            </w:r>
            <w:r w:rsidRPr="00EC7A17">
              <w:rPr>
                <w:rFonts w:ascii="Times New Roman" w:eastAsia="Times New Roman" w:hAnsi="Times New Roman" w:cs="Times New Roman"/>
                <w:b/>
                <w:bCs/>
                <w:color w:val="000000"/>
                <w:lang w:eastAsia="en-NZ"/>
              </w:rPr>
              <w:br/>
              <w:t>Management of Gestational Diabetes Mellitus. Iranian Endocrine Society (2020)</w:t>
            </w:r>
          </w:p>
        </w:tc>
        <w:tc>
          <w:tcPr>
            <w:tcW w:w="1387" w:type="dxa"/>
            <w:tcBorders>
              <w:top w:val="nil"/>
              <w:left w:val="nil"/>
              <w:bottom w:val="single" w:sz="4" w:space="0" w:color="AEAAAA"/>
              <w:right w:val="single" w:sz="4" w:space="0" w:color="AEAAAA"/>
            </w:tcBorders>
            <w:shd w:val="clear" w:color="000000" w:fill="E7E6E6"/>
            <w:vAlign w:val="bottom"/>
            <w:hideMark/>
          </w:tcPr>
          <w:p w14:paraId="0347B81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The American College of Physicians’ Guideline Grading System (ACP) </w:t>
            </w:r>
          </w:p>
        </w:tc>
        <w:tc>
          <w:tcPr>
            <w:tcW w:w="1843" w:type="dxa"/>
            <w:tcBorders>
              <w:top w:val="nil"/>
              <w:left w:val="nil"/>
              <w:bottom w:val="single" w:sz="4" w:space="0" w:color="AEAAAA"/>
              <w:right w:val="single" w:sz="4" w:space="0" w:color="AEAAAA"/>
            </w:tcBorders>
            <w:shd w:val="clear" w:color="000000" w:fill="E7E6E6"/>
            <w:vAlign w:val="bottom"/>
            <w:hideMark/>
          </w:tcPr>
          <w:p w14:paraId="716D734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hideMark/>
          </w:tcPr>
          <w:p w14:paraId="0EECB52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All women should be evaluated using standard 2-hour 75 g OGTT at 4 - 12 weeks after delivery. The interpretation of the results is similar to non-pregnant cases </w:t>
            </w:r>
          </w:p>
        </w:tc>
        <w:tc>
          <w:tcPr>
            <w:tcW w:w="1701" w:type="dxa"/>
            <w:tcBorders>
              <w:top w:val="nil"/>
              <w:left w:val="nil"/>
              <w:bottom w:val="single" w:sz="4" w:space="0" w:color="AEAAAA"/>
              <w:right w:val="single" w:sz="4" w:space="0" w:color="AEAAAA"/>
            </w:tcBorders>
            <w:shd w:val="clear" w:color="000000" w:fill="E7E6E6"/>
            <w:vAlign w:val="bottom"/>
            <w:hideMark/>
          </w:tcPr>
          <w:p w14:paraId="29EF614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5F73CA2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247" w:type="dxa"/>
            <w:tcBorders>
              <w:top w:val="nil"/>
              <w:left w:val="nil"/>
              <w:bottom w:val="single" w:sz="4" w:space="0" w:color="AEAAAA"/>
              <w:right w:val="single" w:sz="4" w:space="0" w:color="AEAAAA"/>
            </w:tcBorders>
            <w:shd w:val="clear" w:color="000000" w:fill="E7E6E6"/>
            <w:vAlign w:val="bottom"/>
            <w:hideMark/>
          </w:tcPr>
          <w:p w14:paraId="781EAFC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000000" w:fill="E7E6E6"/>
            <w:vAlign w:val="bottom"/>
            <w:hideMark/>
          </w:tcPr>
          <w:p w14:paraId="4C494F7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R(2), RC(1)</w:t>
            </w:r>
          </w:p>
        </w:tc>
      </w:tr>
      <w:tr w:rsidR="00DA5F7E" w:rsidRPr="00EC7A17" w14:paraId="108F3B23" w14:textId="77777777" w:rsidTr="006031D2">
        <w:trPr>
          <w:trHeight w:val="699"/>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4F35005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3F5ACE9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9B5420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59B34DC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In women with normal OGTT after delivery, the annual measurement of FPG is recommended </w:t>
            </w:r>
          </w:p>
        </w:tc>
        <w:tc>
          <w:tcPr>
            <w:tcW w:w="1701" w:type="dxa"/>
            <w:tcBorders>
              <w:top w:val="nil"/>
              <w:left w:val="nil"/>
              <w:bottom w:val="single" w:sz="4" w:space="0" w:color="AEAAAA"/>
              <w:right w:val="single" w:sz="4" w:space="0" w:color="AEAAAA"/>
            </w:tcBorders>
            <w:shd w:val="clear" w:color="000000" w:fill="E7E6E6"/>
            <w:vAlign w:val="bottom"/>
            <w:hideMark/>
          </w:tcPr>
          <w:p w14:paraId="4EBBA47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0FA0FC3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247" w:type="dxa"/>
            <w:tcBorders>
              <w:top w:val="nil"/>
              <w:left w:val="nil"/>
              <w:bottom w:val="single" w:sz="4" w:space="0" w:color="AEAAAA"/>
              <w:right w:val="single" w:sz="4" w:space="0" w:color="AEAAAA"/>
            </w:tcBorders>
            <w:shd w:val="clear" w:color="000000" w:fill="E7E6E6"/>
            <w:vAlign w:val="bottom"/>
            <w:hideMark/>
          </w:tcPr>
          <w:p w14:paraId="2DF7958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000000" w:fill="E7E6E6"/>
            <w:vAlign w:val="bottom"/>
            <w:hideMark/>
          </w:tcPr>
          <w:p w14:paraId="0E3133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R(2), RC(1)</w:t>
            </w:r>
          </w:p>
        </w:tc>
      </w:tr>
      <w:tr w:rsidR="00DA5F7E" w:rsidRPr="00EC7A17" w14:paraId="2FCBC785" w14:textId="77777777" w:rsidTr="006031D2">
        <w:trPr>
          <w:trHeight w:val="1134"/>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61DC735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6141072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6BD22E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Lifestyle management</w:t>
            </w:r>
          </w:p>
        </w:tc>
        <w:tc>
          <w:tcPr>
            <w:tcW w:w="3118" w:type="dxa"/>
            <w:tcBorders>
              <w:top w:val="nil"/>
              <w:left w:val="nil"/>
              <w:bottom w:val="single" w:sz="4" w:space="0" w:color="AEAAAA"/>
              <w:right w:val="single" w:sz="4" w:space="0" w:color="AEAAAA"/>
            </w:tcBorders>
            <w:shd w:val="clear" w:color="000000" w:fill="E7E6E6"/>
            <w:vAlign w:val="bottom"/>
            <w:hideMark/>
          </w:tcPr>
          <w:p w14:paraId="70F03AA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For all prediabetic women diagnosed after delivery, lifestyle modiﬁcations (exercise and diet), with or without metformin therapy, are recommended </w:t>
            </w:r>
          </w:p>
        </w:tc>
        <w:tc>
          <w:tcPr>
            <w:tcW w:w="1701" w:type="dxa"/>
            <w:tcBorders>
              <w:top w:val="nil"/>
              <w:left w:val="nil"/>
              <w:bottom w:val="single" w:sz="4" w:space="0" w:color="AEAAAA"/>
              <w:right w:val="single" w:sz="4" w:space="0" w:color="AEAAAA"/>
            </w:tcBorders>
            <w:shd w:val="clear" w:color="000000" w:fill="E7E6E6"/>
            <w:vAlign w:val="bottom"/>
            <w:hideMark/>
          </w:tcPr>
          <w:p w14:paraId="4B05F60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000000" w:fill="E7E6E6"/>
            <w:vAlign w:val="bottom"/>
            <w:hideMark/>
          </w:tcPr>
          <w:p w14:paraId="3EBB2AC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247" w:type="dxa"/>
            <w:tcBorders>
              <w:top w:val="nil"/>
              <w:left w:val="nil"/>
              <w:bottom w:val="single" w:sz="4" w:space="0" w:color="AEAAAA"/>
              <w:right w:val="single" w:sz="4" w:space="0" w:color="AEAAAA"/>
            </w:tcBorders>
            <w:shd w:val="clear" w:color="000000" w:fill="E7E6E6"/>
            <w:vAlign w:val="bottom"/>
            <w:hideMark/>
          </w:tcPr>
          <w:p w14:paraId="2D65DB4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E7E6E6"/>
            <w:vAlign w:val="bottom"/>
            <w:hideMark/>
          </w:tcPr>
          <w:p w14:paraId="379A26B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PC(1), R(2) </w:t>
            </w:r>
          </w:p>
        </w:tc>
      </w:tr>
      <w:tr w:rsidR="00DA5F7E" w:rsidRPr="00EC7A17" w14:paraId="68BA22AC" w14:textId="77777777" w:rsidTr="006031D2">
        <w:trPr>
          <w:trHeight w:val="15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37B2040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Indonesian Clinical Practice Guidelines for Diabetes in Pregnancy (2013)</w:t>
            </w:r>
          </w:p>
        </w:tc>
        <w:tc>
          <w:tcPr>
            <w:tcW w:w="1387" w:type="dxa"/>
            <w:tcBorders>
              <w:top w:val="nil"/>
              <w:left w:val="nil"/>
              <w:bottom w:val="single" w:sz="4" w:space="0" w:color="AEAAAA"/>
              <w:right w:val="single" w:sz="4" w:space="0" w:color="AEAAAA"/>
            </w:tcBorders>
            <w:shd w:val="clear" w:color="auto" w:fill="auto"/>
            <w:vAlign w:val="bottom"/>
            <w:hideMark/>
          </w:tcPr>
          <w:p w14:paraId="4351115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grading system reported</w:t>
            </w:r>
          </w:p>
        </w:tc>
        <w:tc>
          <w:tcPr>
            <w:tcW w:w="1843" w:type="dxa"/>
            <w:tcBorders>
              <w:top w:val="nil"/>
              <w:left w:val="nil"/>
              <w:bottom w:val="single" w:sz="4" w:space="0" w:color="AEAAAA"/>
              <w:right w:val="single" w:sz="4" w:space="0" w:color="AEAAAA"/>
            </w:tcBorders>
            <w:shd w:val="clear" w:color="auto" w:fill="auto"/>
            <w:vAlign w:val="bottom"/>
            <w:hideMark/>
          </w:tcPr>
          <w:p w14:paraId="1812915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auto" w:fill="FFFFFF" w:themeFill="background1"/>
            <w:vAlign w:val="bottom"/>
            <w:hideMark/>
          </w:tcPr>
          <w:p w14:paraId="1B5F926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If the result (of early postpartum test) is normal, subsequent monitoring can be done at approximately 6-12 weeks post-partum by performing an OGTT. </w:t>
            </w:r>
          </w:p>
        </w:tc>
        <w:tc>
          <w:tcPr>
            <w:tcW w:w="1701" w:type="dxa"/>
            <w:tcBorders>
              <w:top w:val="nil"/>
              <w:left w:val="nil"/>
              <w:bottom w:val="single" w:sz="4" w:space="0" w:color="AEAAAA"/>
              <w:right w:val="single" w:sz="4" w:space="0" w:color="AEAAAA"/>
            </w:tcBorders>
            <w:shd w:val="clear" w:color="auto" w:fill="auto"/>
            <w:vAlign w:val="bottom"/>
            <w:hideMark/>
          </w:tcPr>
          <w:p w14:paraId="3C8119D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auto" w:fill="auto"/>
            <w:vAlign w:val="bottom"/>
            <w:hideMark/>
          </w:tcPr>
          <w:p w14:paraId="3FC845E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012FC7F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auto" w:fill="auto"/>
            <w:vAlign w:val="bottom"/>
            <w:hideMark/>
          </w:tcPr>
          <w:p w14:paraId="2116A53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R(1), </w:t>
            </w:r>
          </w:p>
          <w:p w14:paraId="7CCD3D6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Summary and recommendation of the </w:t>
            </w:r>
            <w:r>
              <w:rPr>
                <w:rFonts w:ascii="Times New Roman" w:eastAsia="Times New Roman" w:hAnsi="Times New Roman" w:cs="Times New Roman"/>
                <w:color w:val="000000"/>
                <w:lang w:eastAsia="en-NZ"/>
              </w:rPr>
              <w:t>5th</w:t>
            </w:r>
            <w:r w:rsidRPr="00EC7A17">
              <w:rPr>
                <w:rFonts w:ascii="Times New Roman" w:eastAsia="Times New Roman" w:hAnsi="Times New Roman" w:cs="Times New Roman"/>
                <w:color w:val="000000"/>
                <w:lang w:eastAsia="en-NZ"/>
              </w:rPr>
              <w:t xml:space="preserve"> International Workshop-conference on Gestational Diabetes Mellitus 2007</w:t>
            </w:r>
          </w:p>
        </w:tc>
      </w:tr>
      <w:tr w:rsidR="00DA5F7E" w:rsidRPr="00EC7A17" w14:paraId="3907D12E" w14:textId="77777777" w:rsidTr="006031D2">
        <w:trPr>
          <w:trHeight w:val="983"/>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47D11F3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3CA6543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53F8E13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auto" w:fill="auto"/>
            <w:vAlign w:val="bottom"/>
            <w:hideMark/>
          </w:tcPr>
          <w:p w14:paraId="0DE61AF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Considering that the physiological conditions of insulin resistance is expected to have fully recovered one year after giving birth, then this </w:t>
            </w:r>
            <w:r w:rsidRPr="00EC7A17">
              <w:rPr>
                <w:rFonts w:ascii="Times New Roman" w:eastAsia="Times New Roman" w:hAnsi="Times New Roman" w:cs="Times New Roman"/>
                <w:color w:val="000000"/>
                <w:lang w:eastAsia="en-NZ"/>
              </w:rPr>
              <w:lastRenderedPageBreak/>
              <w:t xml:space="preserve">period is also recommended for monitoring. If the results remain normal, subsequent monitoring can be carried out every three years by doing OGTT. In the high-risk group, monitoring can be done more frequently. </w:t>
            </w:r>
          </w:p>
        </w:tc>
        <w:tc>
          <w:tcPr>
            <w:tcW w:w="1701" w:type="dxa"/>
            <w:tcBorders>
              <w:top w:val="nil"/>
              <w:left w:val="nil"/>
              <w:bottom w:val="single" w:sz="4" w:space="0" w:color="AEAAAA"/>
              <w:right w:val="single" w:sz="4" w:space="0" w:color="AEAAAA"/>
            </w:tcBorders>
            <w:shd w:val="clear" w:color="auto" w:fill="auto"/>
            <w:vAlign w:val="bottom"/>
            <w:hideMark/>
          </w:tcPr>
          <w:p w14:paraId="4FA5FB0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Weak</w:t>
            </w:r>
          </w:p>
        </w:tc>
        <w:tc>
          <w:tcPr>
            <w:tcW w:w="1163" w:type="dxa"/>
            <w:tcBorders>
              <w:top w:val="nil"/>
              <w:left w:val="nil"/>
              <w:bottom w:val="single" w:sz="4" w:space="0" w:color="AEAAAA"/>
              <w:right w:val="single" w:sz="4" w:space="0" w:color="AEAAAA"/>
            </w:tcBorders>
            <w:shd w:val="clear" w:color="auto" w:fill="auto"/>
            <w:vAlign w:val="bottom"/>
            <w:hideMark/>
          </w:tcPr>
          <w:p w14:paraId="2D9B3DD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379F365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auto" w:fill="auto"/>
            <w:vAlign w:val="bottom"/>
            <w:hideMark/>
          </w:tcPr>
          <w:p w14:paraId="71F4A96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R(1), </w:t>
            </w:r>
          </w:p>
          <w:p w14:paraId="5212DF2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Summary and recommendations of the fifth International </w:t>
            </w:r>
            <w:r w:rsidRPr="00EC7A17">
              <w:rPr>
                <w:rFonts w:ascii="Times New Roman" w:eastAsia="Times New Roman" w:hAnsi="Times New Roman" w:cs="Times New Roman"/>
                <w:color w:val="000000"/>
                <w:lang w:eastAsia="en-NZ"/>
              </w:rPr>
              <w:lastRenderedPageBreak/>
              <w:t>Workshop-conference on Gestational Diabetes Mellitus 2007</w:t>
            </w:r>
          </w:p>
        </w:tc>
      </w:tr>
      <w:tr w:rsidR="00DA5F7E" w:rsidRPr="00EC7A17" w14:paraId="458E4B48" w14:textId="77777777" w:rsidTr="006031D2">
        <w:trPr>
          <w:trHeight w:val="18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BF0AEC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auto" w:fill="auto"/>
            <w:vAlign w:val="bottom"/>
            <w:hideMark/>
          </w:tcPr>
          <w:p w14:paraId="5B6DAC5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197920F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auto" w:fill="auto"/>
            <w:vAlign w:val="bottom"/>
            <w:hideMark/>
          </w:tcPr>
          <w:p w14:paraId="56F215F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Examination of blood glucose should be routinely performed before women leave the hospital as early monitoring. Examination of fasting blood glucose ≥126 mg/dL or blood glucose 2h post prandial ≥200 mg/dL confirm the diagnosis of DM.</w:t>
            </w:r>
          </w:p>
        </w:tc>
        <w:tc>
          <w:tcPr>
            <w:tcW w:w="1701" w:type="dxa"/>
            <w:tcBorders>
              <w:top w:val="nil"/>
              <w:left w:val="nil"/>
              <w:bottom w:val="single" w:sz="4" w:space="0" w:color="AEAAAA"/>
              <w:right w:val="single" w:sz="4" w:space="0" w:color="AEAAAA"/>
            </w:tcBorders>
            <w:shd w:val="clear" w:color="auto" w:fill="auto"/>
            <w:vAlign w:val="bottom"/>
            <w:hideMark/>
          </w:tcPr>
          <w:p w14:paraId="2040AE9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hideMark/>
          </w:tcPr>
          <w:p w14:paraId="6C75DF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0114770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auto" w:fill="auto"/>
            <w:vAlign w:val="bottom"/>
            <w:hideMark/>
          </w:tcPr>
          <w:p w14:paraId="092711A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R(1), </w:t>
            </w:r>
          </w:p>
          <w:p w14:paraId="3ADCD96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Summary and recommendations of the </w:t>
            </w:r>
            <w:r>
              <w:rPr>
                <w:rFonts w:ascii="Times New Roman" w:eastAsia="Times New Roman" w:hAnsi="Times New Roman" w:cs="Times New Roman"/>
                <w:color w:val="000000"/>
                <w:lang w:eastAsia="en-NZ"/>
              </w:rPr>
              <w:t>5th</w:t>
            </w:r>
            <w:r w:rsidRPr="00EC7A17">
              <w:rPr>
                <w:rFonts w:ascii="Times New Roman" w:eastAsia="Times New Roman" w:hAnsi="Times New Roman" w:cs="Times New Roman"/>
                <w:color w:val="000000"/>
                <w:lang w:eastAsia="en-NZ"/>
              </w:rPr>
              <w:t xml:space="preserve"> International Workshop-conference on Gestational Diabetes Mellitus 2007</w:t>
            </w:r>
          </w:p>
        </w:tc>
      </w:tr>
      <w:tr w:rsidR="00DA5F7E" w:rsidRPr="00EC7A17" w14:paraId="2377E5EB"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EEAE41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143E405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33383E8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auto" w:fill="auto"/>
            <w:vAlign w:val="bottom"/>
            <w:hideMark/>
          </w:tcPr>
          <w:p w14:paraId="0FC3757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are advised to breastfeed their babies. </w:t>
            </w:r>
          </w:p>
        </w:tc>
        <w:tc>
          <w:tcPr>
            <w:tcW w:w="1701" w:type="dxa"/>
            <w:tcBorders>
              <w:top w:val="nil"/>
              <w:left w:val="nil"/>
              <w:bottom w:val="single" w:sz="4" w:space="0" w:color="AEAAAA"/>
              <w:right w:val="single" w:sz="4" w:space="0" w:color="AEAAAA"/>
            </w:tcBorders>
            <w:shd w:val="clear" w:color="auto" w:fill="auto"/>
            <w:vAlign w:val="bottom"/>
            <w:hideMark/>
          </w:tcPr>
          <w:p w14:paraId="587F424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auto" w:fill="auto"/>
            <w:vAlign w:val="bottom"/>
            <w:hideMark/>
          </w:tcPr>
          <w:p w14:paraId="251F9AE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48857CD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auto" w:fill="auto"/>
            <w:vAlign w:val="bottom"/>
            <w:hideMark/>
          </w:tcPr>
          <w:p w14:paraId="4412E21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R(1) </w:t>
            </w:r>
          </w:p>
        </w:tc>
      </w:tr>
      <w:tr w:rsidR="00DA5F7E" w:rsidRPr="00EC7A17" w14:paraId="765370FA"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auto" w:fill="auto"/>
            <w:vAlign w:val="bottom"/>
          </w:tcPr>
          <w:p w14:paraId="49BC3B3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387" w:type="dxa"/>
            <w:tcBorders>
              <w:top w:val="nil"/>
              <w:left w:val="nil"/>
              <w:bottom w:val="single" w:sz="4" w:space="0" w:color="AEAAAA"/>
              <w:right w:val="single" w:sz="4" w:space="0" w:color="AEAAAA"/>
            </w:tcBorders>
            <w:shd w:val="clear" w:color="auto" w:fill="auto"/>
            <w:vAlign w:val="bottom"/>
          </w:tcPr>
          <w:p w14:paraId="55398F5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auto" w:fill="auto"/>
            <w:vAlign w:val="bottom"/>
          </w:tcPr>
          <w:p w14:paraId="1C3BEF7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auto" w:fill="auto"/>
            <w:vAlign w:val="bottom"/>
          </w:tcPr>
          <w:p w14:paraId="425D93C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After delivery, the physician should provide advice on appropriate use of contraception.</w:t>
            </w:r>
          </w:p>
        </w:tc>
        <w:tc>
          <w:tcPr>
            <w:tcW w:w="1701" w:type="dxa"/>
            <w:tcBorders>
              <w:top w:val="nil"/>
              <w:left w:val="nil"/>
              <w:bottom w:val="single" w:sz="4" w:space="0" w:color="AEAAAA"/>
              <w:right w:val="single" w:sz="4" w:space="0" w:color="AEAAAA"/>
            </w:tcBorders>
            <w:shd w:val="clear" w:color="auto" w:fill="auto"/>
            <w:vAlign w:val="bottom"/>
          </w:tcPr>
          <w:p w14:paraId="1AFBD97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auto" w:fill="auto"/>
            <w:vAlign w:val="bottom"/>
          </w:tcPr>
          <w:p w14:paraId="4AD29AB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tcPr>
          <w:p w14:paraId="0C85912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 </w:t>
            </w:r>
          </w:p>
        </w:tc>
        <w:tc>
          <w:tcPr>
            <w:tcW w:w="1559" w:type="dxa"/>
            <w:tcBorders>
              <w:top w:val="nil"/>
              <w:left w:val="nil"/>
              <w:bottom w:val="single" w:sz="4" w:space="0" w:color="AEAAAA"/>
              <w:right w:val="single" w:sz="4" w:space="0" w:color="AEAAAA"/>
            </w:tcBorders>
            <w:shd w:val="clear" w:color="auto" w:fill="auto"/>
            <w:vAlign w:val="bottom"/>
          </w:tcPr>
          <w:p w14:paraId="7B1E73F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p w14:paraId="5A547D3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Summary and recommendations of the </w:t>
            </w:r>
            <w:r>
              <w:rPr>
                <w:rFonts w:ascii="Times New Roman" w:eastAsia="Times New Roman" w:hAnsi="Times New Roman" w:cs="Times New Roman"/>
                <w:color w:val="000000"/>
                <w:lang w:eastAsia="en-NZ"/>
              </w:rPr>
              <w:t>5th</w:t>
            </w:r>
            <w:r w:rsidRPr="00EC7A17">
              <w:rPr>
                <w:rFonts w:ascii="Times New Roman" w:eastAsia="Times New Roman" w:hAnsi="Times New Roman" w:cs="Times New Roman"/>
                <w:color w:val="000000"/>
                <w:lang w:eastAsia="en-NZ"/>
              </w:rPr>
              <w:t xml:space="preserve"> International Workshop-conference on Gestational Diabetes Mellitus 2007</w:t>
            </w:r>
          </w:p>
        </w:tc>
      </w:tr>
      <w:tr w:rsidR="00DA5F7E" w:rsidRPr="00EC7A17" w14:paraId="79E6C708" w14:textId="77777777" w:rsidTr="006031D2">
        <w:trPr>
          <w:trHeight w:val="841"/>
        </w:trPr>
        <w:tc>
          <w:tcPr>
            <w:tcW w:w="1727" w:type="dxa"/>
            <w:tcBorders>
              <w:top w:val="nil"/>
              <w:left w:val="single" w:sz="4" w:space="0" w:color="AEAAAA"/>
              <w:bottom w:val="single" w:sz="4" w:space="0" w:color="AEAAAA"/>
              <w:right w:val="single" w:sz="4" w:space="0" w:color="AEAAAA"/>
            </w:tcBorders>
            <w:shd w:val="clear" w:color="auto" w:fill="auto"/>
            <w:vAlign w:val="bottom"/>
            <w:hideMark/>
          </w:tcPr>
          <w:p w14:paraId="7A221F2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auto" w:fill="auto"/>
            <w:vAlign w:val="bottom"/>
            <w:hideMark/>
          </w:tcPr>
          <w:p w14:paraId="0A12109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auto" w:fill="auto"/>
            <w:vAlign w:val="bottom"/>
            <w:hideMark/>
          </w:tcPr>
          <w:p w14:paraId="7212EFE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auto" w:fill="auto"/>
            <w:vAlign w:val="bottom"/>
            <w:hideMark/>
          </w:tcPr>
          <w:p w14:paraId="5B897D1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are advised to undergo dietary planning with or without drugs to maintain optimal glycaemic control and adequate nutrition status.</w:t>
            </w:r>
          </w:p>
        </w:tc>
        <w:tc>
          <w:tcPr>
            <w:tcW w:w="1701" w:type="dxa"/>
            <w:tcBorders>
              <w:top w:val="nil"/>
              <w:left w:val="nil"/>
              <w:bottom w:val="single" w:sz="4" w:space="0" w:color="AEAAAA"/>
              <w:right w:val="single" w:sz="4" w:space="0" w:color="AEAAAA"/>
            </w:tcBorders>
            <w:shd w:val="clear" w:color="auto" w:fill="auto"/>
            <w:vAlign w:val="bottom"/>
            <w:hideMark/>
          </w:tcPr>
          <w:p w14:paraId="4490494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Weak </w:t>
            </w:r>
          </w:p>
        </w:tc>
        <w:tc>
          <w:tcPr>
            <w:tcW w:w="1163" w:type="dxa"/>
            <w:tcBorders>
              <w:top w:val="nil"/>
              <w:left w:val="nil"/>
              <w:bottom w:val="single" w:sz="4" w:space="0" w:color="AEAAAA"/>
              <w:right w:val="single" w:sz="4" w:space="0" w:color="AEAAAA"/>
            </w:tcBorders>
            <w:shd w:val="clear" w:color="auto" w:fill="auto"/>
            <w:vAlign w:val="bottom"/>
            <w:hideMark/>
          </w:tcPr>
          <w:p w14:paraId="6E58CB1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auto" w:fill="auto"/>
            <w:vAlign w:val="bottom"/>
            <w:hideMark/>
          </w:tcPr>
          <w:p w14:paraId="5F73189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auto" w:fill="auto"/>
            <w:vAlign w:val="bottom"/>
            <w:hideMark/>
          </w:tcPr>
          <w:p w14:paraId="5D82B1A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R(1)</w:t>
            </w:r>
          </w:p>
        </w:tc>
      </w:tr>
      <w:tr w:rsidR="00DA5F7E" w:rsidRPr="00EC7A17" w14:paraId="33F2C3EF" w14:textId="77777777" w:rsidTr="006031D2">
        <w:trPr>
          <w:trHeight w:val="2642"/>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56E7CE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lastRenderedPageBreak/>
              <w:t>Diabetes Mellitus Management Guidelines. Ministry of Health, Sultanate of Oman (2015)</w:t>
            </w:r>
          </w:p>
        </w:tc>
        <w:tc>
          <w:tcPr>
            <w:tcW w:w="1387" w:type="dxa"/>
            <w:tcBorders>
              <w:top w:val="nil"/>
              <w:left w:val="nil"/>
              <w:bottom w:val="single" w:sz="4" w:space="0" w:color="AEAAAA"/>
              <w:right w:val="single" w:sz="4" w:space="0" w:color="AEAAAA"/>
            </w:tcBorders>
            <w:shd w:val="clear" w:color="000000" w:fill="E7E6E6"/>
            <w:vAlign w:val="bottom"/>
            <w:hideMark/>
          </w:tcPr>
          <w:p w14:paraId="1ABACBF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grading system reported</w:t>
            </w:r>
          </w:p>
        </w:tc>
        <w:tc>
          <w:tcPr>
            <w:tcW w:w="1843" w:type="dxa"/>
            <w:tcBorders>
              <w:top w:val="nil"/>
              <w:left w:val="nil"/>
              <w:bottom w:val="single" w:sz="4" w:space="0" w:color="AEAAAA"/>
              <w:right w:val="single" w:sz="4" w:space="0" w:color="AEAAAA"/>
            </w:tcBorders>
            <w:shd w:val="clear" w:color="000000" w:fill="E7E6E6"/>
            <w:vAlign w:val="bottom"/>
            <w:hideMark/>
          </w:tcPr>
          <w:p w14:paraId="0B307E7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Postpartum glucose screening </w:t>
            </w:r>
          </w:p>
        </w:tc>
        <w:tc>
          <w:tcPr>
            <w:tcW w:w="3118" w:type="dxa"/>
            <w:tcBorders>
              <w:top w:val="nil"/>
              <w:left w:val="nil"/>
              <w:bottom w:val="single" w:sz="4" w:space="0" w:color="AEAAAA"/>
              <w:right w:val="single" w:sz="4" w:space="0" w:color="AEAAAA"/>
            </w:tcBorders>
            <w:shd w:val="clear" w:color="000000" w:fill="E7E6E6"/>
            <w:vAlign w:val="bottom"/>
            <w:hideMark/>
          </w:tcPr>
          <w:p w14:paraId="5E70F8C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All women should undergo a 2h 75-gram OGTT 6 to 12 weeks after delivery. </w:t>
            </w:r>
            <w:r w:rsidRPr="00EC7A17">
              <w:rPr>
                <w:rFonts w:ascii="Times New Roman" w:eastAsia="Times New Roman" w:hAnsi="Times New Roman" w:cs="Times New Roman"/>
                <w:color w:val="000000"/>
                <w:lang w:eastAsia="en-NZ"/>
              </w:rPr>
              <w:br/>
            </w:r>
            <w:r w:rsidRPr="00EC7A17">
              <w:rPr>
                <w:rFonts w:ascii="Times New Roman" w:eastAsia="Times New Roman" w:hAnsi="Times New Roman" w:cs="Times New Roman"/>
                <w:b/>
                <w:bCs/>
                <w:color w:val="000000"/>
                <w:lang w:eastAsia="en-NZ"/>
              </w:rPr>
              <w:t xml:space="preserve">A. </w:t>
            </w:r>
            <w:r w:rsidRPr="00EC7A17">
              <w:rPr>
                <w:rFonts w:ascii="Times New Roman" w:eastAsia="Times New Roman" w:hAnsi="Times New Roman" w:cs="Times New Roman"/>
                <w:color w:val="000000"/>
                <w:lang w:eastAsia="en-NZ"/>
              </w:rPr>
              <w:t>Diagnose diabetes, if FBG ≥7 mmol/L (126 mg/dl) and/or 2h post glucose level is ≥11.1 mmol/L (200mg/dl),</w:t>
            </w:r>
            <w:r w:rsidRPr="00EC7A17">
              <w:rPr>
                <w:rFonts w:ascii="Times New Roman" w:eastAsia="Times New Roman" w:hAnsi="Times New Roman" w:cs="Times New Roman"/>
                <w:color w:val="000000"/>
                <w:lang w:eastAsia="en-NZ"/>
              </w:rPr>
              <w:br/>
            </w:r>
            <w:r w:rsidRPr="00EC7A17">
              <w:rPr>
                <w:rFonts w:ascii="Times New Roman" w:eastAsia="Times New Roman" w:hAnsi="Times New Roman" w:cs="Times New Roman"/>
                <w:b/>
                <w:bCs/>
                <w:color w:val="000000"/>
                <w:lang w:eastAsia="en-NZ"/>
              </w:rPr>
              <w:t xml:space="preserve">B. </w:t>
            </w:r>
            <w:r w:rsidRPr="00EC7A17">
              <w:rPr>
                <w:rFonts w:ascii="Times New Roman" w:eastAsia="Times New Roman" w:hAnsi="Times New Roman" w:cs="Times New Roman"/>
                <w:color w:val="000000"/>
                <w:lang w:eastAsia="en-NZ"/>
              </w:rPr>
              <w:t>Diagnose IFG, if FBG is 5.5-6.9 mmol/L (100-125 mg/dl) and</w:t>
            </w:r>
            <w:r w:rsidRPr="00EC7A17">
              <w:rPr>
                <w:rFonts w:ascii="Times New Roman" w:eastAsia="Times New Roman" w:hAnsi="Times New Roman" w:cs="Times New Roman"/>
                <w:color w:val="000000"/>
                <w:lang w:eastAsia="en-NZ"/>
              </w:rPr>
              <w:br/>
            </w:r>
            <w:r w:rsidRPr="00EC7A17">
              <w:rPr>
                <w:rFonts w:ascii="Times New Roman" w:eastAsia="Times New Roman" w:hAnsi="Times New Roman" w:cs="Times New Roman"/>
                <w:b/>
                <w:bCs/>
                <w:color w:val="000000"/>
                <w:lang w:eastAsia="en-NZ"/>
              </w:rPr>
              <w:t xml:space="preserve">C. </w:t>
            </w:r>
            <w:r w:rsidRPr="00EC7A17">
              <w:rPr>
                <w:rFonts w:ascii="Times New Roman" w:eastAsia="Times New Roman" w:hAnsi="Times New Roman" w:cs="Times New Roman"/>
                <w:color w:val="000000"/>
                <w:lang w:eastAsia="en-NZ"/>
              </w:rPr>
              <w:t>Diagnose IGT if the 2h post glucose load ranges from 7.8-11 mmol/L (140-200 mg/dl)</w:t>
            </w:r>
          </w:p>
        </w:tc>
        <w:tc>
          <w:tcPr>
            <w:tcW w:w="1701" w:type="dxa"/>
            <w:tcBorders>
              <w:top w:val="nil"/>
              <w:left w:val="nil"/>
              <w:bottom w:val="single" w:sz="4" w:space="0" w:color="AEAAAA"/>
              <w:right w:val="single" w:sz="4" w:space="0" w:color="AEAAAA"/>
            </w:tcBorders>
            <w:shd w:val="clear" w:color="000000" w:fill="E7E6E6"/>
            <w:vAlign w:val="bottom"/>
            <w:hideMark/>
          </w:tcPr>
          <w:p w14:paraId="2F0561D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7C87EDC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05BA596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59051B3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2AC3DBF3" w14:textId="77777777" w:rsidTr="006031D2">
        <w:trPr>
          <w:trHeight w:val="1417"/>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03537A5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3488751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7201541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3802F70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Those with IGT should be counselled about their risk for developing overt diabetes and referred for proper management.  They should have annual assessment of their glycaemic status. </w:t>
            </w:r>
          </w:p>
        </w:tc>
        <w:tc>
          <w:tcPr>
            <w:tcW w:w="1701" w:type="dxa"/>
            <w:tcBorders>
              <w:top w:val="nil"/>
              <w:left w:val="nil"/>
              <w:bottom w:val="single" w:sz="4" w:space="0" w:color="AEAAAA"/>
              <w:right w:val="single" w:sz="4" w:space="0" w:color="AEAAAA"/>
            </w:tcBorders>
            <w:shd w:val="clear" w:color="000000" w:fill="E7E6E6"/>
            <w:vAlign w:val="bottom"/>
            <w:hideMark/>
          </w:tcPr>
          <w:p w14:paraId="64CC96B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17BE16D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E7E6E6"/>
            <w:vAlign w:val="bottom"/>
            <w:hideMark/>
          </w:tcPr>
          <w:p w14:paraId="727FDAD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2DFBAA5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2AC8BF84" w14:textId="77777777" w:rsidTr="006031D2">
        <w:trPr>
          <w:trHeight w:val="1678"/>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36D9C02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5AADB84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5583CF17"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3CAC87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with normal glucose tolerance should be counselled regarding their risk of developing GDM in subsequent pregnancies and type-2 diabetes in the future. Reassessment of glycaemic status should be undertaken every two years</w:t>
            </w:r>
          </w:p>
        </w:tc>
        <w:tc>
          <w:tcPr>
            <w:tcW w:w="1701" w:type="dxa"/>
            <w:tcBorders>
              <w:top w:val="nil"/>
              <w:left w:val="nil"/>
              <w:bottom w:val="single" w:sz="4" w:space="0" w:color="AEAAAA"/>
              <w:right w:val="single" w:sz="4" w:space="0" w:color="AEAAAA"/>
            </w:tcBorders>
            <w:shd w:val="clear" w:color="000000" w:fill="E7E6E6"/>
            <w:vAlign w:val="bottom"/>
            <w:hideMark/>
          </w:tcPr>
          <w:p w14:paraId="41E5E3D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2B62507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75B51F1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4076DB5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r>
      <w:tr w:rsidR="00DA5F7E" w:rsidRPr="00EC7A17" w14:paraId="50E6976B" w14:textId="77777777" w:rsidTr="006031D2">
        <w:trPr>
          <w:trHeight w:val="3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726805E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1BB7CF7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759F63B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hideMark/>
          </w:tcPr>
          <w:p w14:paraId="7EC07E7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Encourage women to breastfeed post delivery</w:t>
            </w:r>
          </w:p>
        </w:tc>
        <w:tc>
          <w:tcPr>
            <w:tcW w:w="1701" w:type="dxa"/>
            <w:tcBorders>
              <w:top w:val="nil"/>
              <w:left w:val="nil"/>
              <w:bottom w:val="single" w:sz="4" w:space="0" w:color="AEAAAA"/>
              <w:right w:val="single" w:sz="4" w:space="0" w:color="AEAAAA"/>
            </w:tcBorders>
            <w:shd w:val="clear" w:color="000000" w:fill="E7E6E6"/>
            <w:vAlign w:val="bottom"/>
            <w:hideMark/>
          </w:tcPr>
          <w:p w14:paraId="39C0EDD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3971B4D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E7E6E6"/>
            <w:vAlign w:val="bottom"/>
            <w:hideMark/>
          </w:tcPr>
          <w:p w14:paraId="5A3269A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5B0B05B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0A36F831" w14:textId="77777777" w:rsidTr="006031D2">
        <w:trPr>
          <w:trHeight w:val="93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394BB33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282752E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07A3F61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000000" w:fill="E7E6E6"/>
            <w:vAlign w:val="bottom"/>
            <w:hideMark/>
          </w:tcPr>
          <w:p w14:paraId="382443C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A FBG done 24 hours (ideally 72 hours) post-delivery and post withdrawal of all anti hyperglycaemic agents can </w:t>
            </w:r>
            <w:r w:rsidRPr="00EC7A17">
              <w:rPr>
                <w:rFonts w:ascii="Times New Roman" w:eastAsia="Times New Roman" w:hAnsi="Times New Roman" w:cs="Times New Roman"/>
                <w:color w:val="000000"/>
                <w:lang w:eastAsia="en-NZ"/>
              </w:rPr>
              <w:lastRenderedPageBreak/>
              <w:t xml:space="preserve">diagnose persistent </w:t>
            </w:r>
            <w:proofErr w:type="spellStart"/>
            <w:r w:rsidRPr="00EC7A17">
              <w:rPr>
                <w:rFonts w:ascii="Times New Roman" w:eastAsia="Times New Roman" w:hAnsi="Times New Roman" w:cs="Times New Roman"/>
                <w:color w:val="000000"/>
                <w:lang w:eastAsia="en-NZ"/>
              </w:rPr>
              <w:t>dysglyc</w:t>
            </w:r>
            <w:r>
              <w:rPr>
                <w:rFonts w:ascii="Times New Roman" w:eastAsia="Times New Roman" w:hAnsi="Times New Roman" w:cs="Times New Roman"/>
                <w:color w:val="000000"/>
                <w:lang w:eastAsia="en-NZ"/>
              </w:rPr>
              <w:t>a</w:t>
            </w:r>
            <w:r w:rsidRPr="00EC7A17">
              <w:rPr>
                <w:rFonts w:ascii="Times New Roman" w:eastAsia="Times New Roman" w:hAnsi="Times New Roman" w:cs="Times New Roman"/>
                <w:color w:val="000000"/>
                <w:lang w:eastAsia="en-NZ"/>
              </w:rPr>
              <w:t>emia</w:t>
            </w:r>
            <w:proofErr w:type="spellEnd"/>
            <w:r w:rsidRPr="00EC7A17">
              <w:rPr>
                <w:rFonts w:ascii="Times New Roman" w:eastAsia="Times New Roman" w:hAnsi="Times New Roman" w:cs="Times New Roman"/>
                <w:color w:val="000000"/>
                <w:lang w:eastAsia="en-NZ"/>
              </w:rPr>
              <w:t>.</w:t>
            </w:r>
          </w:p>
        </w:tc>
        <w:tc>
          <w:tcPr>
            <w:tcW w:w="1701" w:type="dxa"/>
            <w:tcBorders>
              <w:top w:val="nil"/>
              <w:left w:val="nil"/>
              <w:bottom w:val="single" w:sz="4" w:space="0" w:color="AEAAAA"/>
              <w:right w:val="single" w:sz="4" w:space="0" w:color="AEAAAA"/>
            </w:tcBorders>
            <w:shd w:val="clear" w:color="000000" w:fill="E7E6E6"/>
            <w:vAlign w:val="bottom"/>
            <w:hideMark/>
          </w:tcPr>
          <w:p w14:paraId="6248A29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Weak</w:t>
            </w:r>
          </w:p>
        </w:tc>
        <w:tc>
          <w:tcPr>
            <w:tcW w:w="1163" w:type="dxa"/>
            <w:tcBorders>
              <w:top w:val="nil"/>
              <w:left w:val="nil"/>
              <w:bottom w:val="single" w:sz="4" w:space="0" w:color="AEAAAA"/>
              <w:right w:val="single" w:sz="4" w:space="0" w:color="AEAAAA"/>
            </w:tcBorders>
            <w:shd w:val="clear" w:color="000000" w:fill="E7E6E6"/>
            <w:vAlign w:val="bottom"/>
            <w:hideMark/>
          </w:tcPr>
          <w:p w14:paraId="1793A79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1691596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611F561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6342D917" w14:textId="77777777" w:rsidTr="006031D2">
        <w:trPr>
          <w:trHeight w:val="1393"/>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79DC33F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0FC32FA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4E06E85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000000" w:fill="E7E6E6"/>
            <w:vAlign w:val="bottom"/>
            <w:hideMark/>
          </w:tcPr>
          <w:p w14:paraId="7A0B211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Any type of contraception is acceptable. Low-dose oestrogen-progestin oral contraceptives may be used in women with a history of GDM as long as there is no medical contraindication.</w:t>
            </w:r>
          </w:p>
        </w:tc>
        <w:tc>
          <w:tcPr>
            <w:tcW w:w="1701" w:type="dxa"/>
            <w:tcBorders>
              <w:top w:val="nil"/>
              <w:left w:val="nil"/>
              <w:bottom w:val="single" w:sz="4" w:space="0" w:color="AEAAAA"/>
              <w:right w:val="single" w:sz="4" w:space="0" w:color="AEAAAA"/>
            </w:tcBorders>
            <w:shd w:val="clear" w:color="000000" w:fill="E7E6E6"/>
            <w:vAlign w:val="bottom"/>
            <w:hideMark/>
          </w:tcPr>
          <w:p w14:paraId="1800B1D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6DB35A2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149643D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63B64A0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40E17A8B" w14:textId="77777777" w:rsidTr="006031D2">
        <w:trPr>
          <w:trHeight w:val="1266"/>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68F2C7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0DA879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34792B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E7E6E6"/>
            <w:vAlign w:val="bottom"/>
            <w:hideMark/>
          </w:tcPr>
          <w:p w14:paraId="3BD4EFF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Patients with IGT, IFG, or an HbA1c of 5.7–6.4% should be encouraged to lose 5–10% of their body weight and increase their physical activity to at least 150 mins/week of moderate activity.</w:t>
            </w:r>
          </w:p>
        </w:tc>
        <w:tc>
          <w:tcPr>
            <w:tcW w:w="1701" w:type="dxa"/>
            <w:tcBorders>
              <w:top w:val="nil"/>
              <w:left w:val="nil"/>
              <w:bottom w:val="single" w:sz="4" w:space="0" w:color="AEAAAA"/>
              <w:right w:val="single" w:sz="4" w:space="0" w:color="AEAAAA"/>
            </w:tcBorders>
            <w:shd w:val="clear" w:color="000000" w:fill="E7E6E6"/>
            <w:vAlign w:val="bottom"/>
            <w:hideMark/>
          </w:tcPr>
          <w:p w14:paraId="7307B7D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0A259C4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E7E6E6"/>
            <w:vAlign w:val="bottom"/>
            <w:hideMark/>
          </w:tcPr>
          <w:p w14:paraId="5FE87D4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751BA6F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5808EDB7" w14:textId="77777777" w:rsidTr="006031D2">
        <w:trPr>
          <w:trHeight w:val="2424"/>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2527097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German Diabetes Association Clinical Practice Guidelines: Gestational Diabetes Mellitus (GDM), Diagnostics, Therapy and Follow-up Care 2018</w:t>
            </w:r>
          </w:p>
        </w:tc>
        <w:tc>
          <w:tcPr>
            <w:tcW w:w="1387" w:type="dxa"/>
            <w:tcBorders>
              <w:top w:val="nil"/>
              <w:left w:val="nil"/>
              <w:bottom w:val="single" w:sz="4" w:space="0" w:color="AEAAAA"/>
              <w:right w:val="single" w:sz="4" w:space="0" w:color="AEAAAA"/>
            </w:tcBorders>
            <w:shd w:val="clear" w:color="auto" w:fill="FFFFFF" w:themeFill="background1"/>
            <w:vAlign w:val="bottom"/>
            <w:hideMark/>
          </w:tcPr>
          <w:p w14:paraId="65A3652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SIGN (1996)</w:t>
            </w:r>
          </w:p>
        </w:tc>
        <w:tc>
          <w:tcPr>
            <w:tcW w:w="1843" w:type="dxa"/>
            <w:tcBorders>
              <w:top w:val="nil"/>
              <w:left w:val="nil"/>
              <w:bottom w:val="single" w:sz="4" w:space="0" w:color="AEAAAA"/>
              <w:right w:val="single" w:sz="4" w:space="0" w:color="AEAAAA"/>
            </w:tcBorders>
            <w:shd w:val="clear" w:color="000000" w:fill="FFFFFF"/>
            <w:vAlign w:val="bottom"/>
            <w:hideMark/>
          </w:tcPr>
          <w:p w14:paraId="486BC50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FFFFFF"/>
            <w:vAlign w:val="bottom"/>
            <w:hideMark/>
          </w:tcPr>
          <w:p w14:paraId="6973A60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Perform 75g OGTT 6-12 weeks after birth. If normal, screen usually with a fasting glucose and HbA1c, if necessary OGTT every 2 years. </w:t>
            </w:r>
          </w:p>
        </w:tc>
        <w:tc>
          <w:tcPr>
            <w:tcW w:w="1701" w:type="dxa"/>
            <w:tcBorders>
              <w:top w:val="nil"/>
              <w:left w:val="nil"/>
              <w:bottom w:val="single" w:sz="4" w:space="0" w:color="AEAAAA"/>
              <w:right w:val="single" w:sz="4" w:space="0" w:color="AEAAAA"/>
            </w:tcBorders>
            <w:shd w:val="clear" w:color="000000" w:fill="FFFFFF"/>
            <w:vAlign w:val="bottom"/>
            <w:hideMark/>
          </w:tcPr>
          <w:p w14:paraId="14B4D1E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77E64F3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roofErr w:type="spellStart"/>
            <w:r w:rsidRPr="00EC7A17">
              <w:rPr>
                <w:rFonts w:ascii="Times New Roman" w:eastAsia="Times New Roman" w:hAnsi="Times New Roman" w:cs="Times New Roman"/>
                <w:color w:val="000000"/>
                <w:lang w:eastAsia="en-NZ"/>
              </w:rPr>
              <w:t>LoE</w:t>
            </w:r>
            <w:proofErr w:type="spellEnd"/>
            <w:r w:rsidRPr="00EC7A17">
              <w:rPr>
                <w:rFonts w:ascii="Times New Roman" w:eastAsia="Times New Roman" w:hAnsi="Times New Roman" w:cs="Times New Roman"/>
                <w:color w:val="000000"/>
                <w:lang w:eastAsia="en-NZ"/>
              </w:rPr>
              <w:t xml:space="preserve"> 2+</w:t>
            </w:r>
          </w:p>
        </w:tc>
        <w:tc>
          <w:tcPr>
            <w:tcW w:w="1247" w:type="dxa"/>
            <w:tcBorders>
              <w:top w:val="nil"/>
              <w:left w:val="nil"/>
              <w:bottom w:val="single" w:sz="4" w:space="0" w:color="AEAAAA"/>
              <w:right w:val="single" w:sz="4" w:space="0" w:color="AEAAAA"/>
            </w:tcBorders>
            <w:shd w:val="clear" w:color="000000" w:fill="FFFFFF"/>
            <w:vAlign w:val="bottom"/>
            <w:hideMark/>
          </w:tcPr>
          <w:p w14:paraId="5979837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Low </w:t>
            </w:r>
          </w:p>
        </w:tc>
        <w:tc>
          <w:tcPr>
            <w:tcW w:w="1559" w:type="dxa"/>
            <w:tcBorders>
              <w:top w:val="nil"/>
              <w:left w:val="nil"/>
              <w:bottom w:val="single" w:sz="4" w:space="0" w:color="AEAAAA"/>
              <w:right w:val="single" w:sz="4" w:space="0" w:color="AEAAAA"/>
            </w:tcBorders>
            <w:shd w:val="clear" w:color="000000" w:fill="FFFFFF"/>
            <w:vAlign w:val="bottom"/>
            <w:hideMark/>
          </w:tcPr>
          <w:p w14:paraId="25B6272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SR(1), R(1)</w:t>
            </w:r>
          </w:p>
        </w:tc>
      </w:tr>
      <w:tr w:rsidR="00DA5F7E" w:rsidRPr="00EC7A17" w14:paraId="251ECF94"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FFFFFF"/>
            <w:hideMark/>
          </w:tcPr>
          <w:p w14:paraId="69946A8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7DC8CB0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1B22F9D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FFFFFF"/>
            <w:vAlign w:val="bottom"/>
            <w:hideMark/>
          </w:tcPr>
          <w:p w14:paraId="27D826B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After postpartum diagnosis of IFG/IGT, a yearly OGTT is recommended.</w:t>
            </w:r>
          </w:p>
        </w:tc>
        <w:tc>
          <w:tcPr>
            <w:tcW w:w="1701" w:type="dxa"/>
            <w:tcBorders>
              <w:top w:val="nil"/>
              <w:left w:val="nil"/>
              <w:bottom w:val="single" w:sz="4" w:space="0" w:color="AEAAAA"/>
              <w:right w:val="single" w:sz="4" w:space="0" w:color="AEAAAA"/>
            </w:tcBorders>
            <w:shd w:val="clear" w:color="000000" w:fill="FFFFFF"/>
            <w:vAlign w:val="bottom"/>
            <w:hideMark/>
          </w:tcPr>
          <w:p w14:paraId="2A512FD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07A609C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roofErr w:type="spellStart"/>
            <w:r w:rsidRPr="00EC7A17">
              <w:rPr>
                <w:rFonts w:ascii="Times New Roman" w:eastAsia="Times New Roman" w:hAnsi="Times New Roman" w:cs="Times New Roman"/>
                <w:color w:val="000000"/>
                <w:lang w:eastAsia="en-NZ"/>
              </w:rPr>
              <w:t>LoE</w:t>
            </w:r>
            <w:proofErr w:type="spellEnd"/>
            <w:r w:rsidRPr="00EC7A17">
              <w:rPr>
                <w:rFonts w:ascii="Times New Roman" w:eastAsia="Times New Roman" w:hAnsi="Times New Roman" w:cs="Times New Roman"/>
                <w:color w:val="000000"/>
                <w:lang w:eastAsia="en-NZ"/>
              </w:rPr>
              <w:t xml:space="preserve"> 1+</w:t>
            </w:r>
          </w:p>
        </w:tc>
        <w:tc>
          <w:tcPr>
            <w:tcW w:w="1247" w:type="dxa"/>
            <w:tcBorders>
              <w:top w:val="nil"/>
              <w:left w:val="nil"/>
              <w:bottom w:val="single" w:sz="4" w:space="0" w:color="AEAAAA"/>
              <w:right w:val="single" w:sz="4" w:space="0" w:color="AEAAAA"/>
            </w:tcBorders>
            <w:shd w:val="clear" w:color="000000" w:fill="FFFFFF"/>
            <w:vAlign w:val="bottom"/>
            <w:hideMark/>
          </w:tcPr>
          <w:p w14:paraId="07D1DEA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FFFFFF"/>
            <w:vAlign w:val="bottom"/>
            <w:hideMark/>
          </w:tcPr>
          <w:p w14:paraId="195676F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PC(1), SR(1)</w:t>
            </w:r>
          </w:p>
        </w:tc>
      </w:tr>
      <w:tr w:rsidR="00DA5F7E" w:rsidRPr="00EC7A17" w14:paraId="0189F82E" w14:textId="77777777" w:rsidTr="006031D2">
        <w:trPr>
          <w:trHeight w:val="1765"/>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2A0E1F2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FFFFFF"/>
            <w:vAlign w:val="bottom"/>
            <w:hideMark/>
          </w:tcPr>
          <w:p w14:paraId="7ACF0D4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743E9B9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FFFFFF"/>
            <w:vAlign w:val="bottom"/>
            <w:hideMark/>
          </w:tcPr>
          <w:p w14:paraId="20E3CE7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All pregnant women with GDM should be informed about the advantages of breastfeeding for mother and child by a breastfeeding counselling service before delivery and strategies for a successful start of breastfeeding should be pointed out.</w:t>
            </w:r>
          </w:p>
        </w:tc>
        <w:tc>
          <w:tcPr>
            <w:tcW w:w="1701" w:type="dxa"/>
            <w:tcBorders>
              <w:top w:val="nil"/>
              <w:left w:val="nil"/>
              <w:bottom w:val="single" w:sz="4" w:space="0" w:color="AEAAAA"/>
              <w:right w:val="single" w:sz="4" w:space="0" w:color="AEAAAA"/>
            </w:tcBorders>
            <w:shd w:val="clear" w:color="000000" w:fill="FFFFFF"/>
            <w:vAlign w:val="bottom"/>
            <w:hideMark/>
          </w:tcPr>
          <w:p w14:paraId="5E757B2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C01AC8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roofErr w:type="spellStart"/>
            <w:r w:rsidRPr="00EC7A17">
              <w:rPr>
                <w:rFonts w:ascii="Times New Roman" w:eastAsia="Times New Roman" w:hAnsi="Times New Roman" w:cs="Times New Roman"/>
                <w:color w:val="000000"/>
                <w:lang w:eastAsia="en-NZ"/>
              </w:rPr>
              <w:t>LoE</w:t>
            </w:r>
            <w:proofErr w:type="spellEnd"/>
            <w:r w:rsidRPr="00EC7A17">
              <w:rPr>
                <w:rFonts w:ascii="Times New Roman" w:eastAsia="Times New Roman" w:hAnsi="Times New Roman" w:cs="Times New Roman"/>
                <w:color w:val="000000"/>
                <w:lang w:eastAsia="en-NZ"/>
              </w:rPr>
              <w:t xml:space="preserve"> 2++</w:t>
            </w:r>
          </w:p>
        </w:tc>
        <w:tc>
          <w:tcPr>
            <w:tcW w:w="1247" w:type="dxa"/>
            <w:tcBorders>
              <w:top w:val="nil"/>
              <w:left w:val="nil"/>
              <w:bottom w:val="single" w:sz="4" w:space="0" w:color="AEAAAA"/>
              <w:right w:val="single" w:sz="4" w:space="0" w:color="AEAAAA"/>
            </w:tcBorders>
            <w:shd w:val="clear" w:color="000000" w:fill="FFFFFF"/>
            <w:vAlign w:val="bottom"/>
            <w:hideMark/>
          </w:tcPr>
          <w:p w14:paraId="4743B2F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FFFFFF"/>
            <w:vAlign w:val="bottom"/>
            <w:hideMark/>
          </w:tcPr>
          <w:p w14:paraId="0B34BED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RC(1), CS(1), PC(4)</w:t>
            </w:r>
          </w:p>
        </w:tc>
      </w:tr>
      <w:tr w:rsidR="00DA5F7E" w:rsidRPr="00EC7A17" w14:paraId="58C3656D"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2502A76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71DDA23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EA5F8D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FFFFFF"/>
            <w:vAlign w:val="bottom"/>
            <w:hideMark/>
          </w:tcPr>
          <w:p w14:paraId="2048C10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Exclusive breastfeeding is encouraged for at least 4-6 months</w:t>
            </w:r>
          </w:p>
        </w:tc>
        <w:tc>
          <w:tcPr>
            <w:tcW w:w="1701" w:type="dxa"/>
            <w:tcBorders>
              <w:top w:val="nil"/>
              <w:left w:val="nil"/>
              <w:bottom w:val="single" w:sz="4" w:space="0" w:color="AEAAAA"/>
              <w:right w:val="single" w:sz="4" w:space="0" w:color="AEAAAA"/>
            </w:tcBorders>
            <w:shd w:val="clear" w:color="000000" w:fill="FFFFFF"/>
            <w:vAlign w:val="bottom"/>
            <w:hideMark/>
          </w:tcPr>
          <w:p w14:paraId="2220F5D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6585097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roofErr w:type="spellStart"/>
            <w:r w:rsidRPr="00EC7A17">
              <w:rPr>
                <w:rFonts w:ascii="Times New Roman" w:eastAsia="Times New Roman" w:hAnsi="Times New Roman" w:cs="Times New Roman"/>
                <w:color w:val="000000"/>
                <w:lang w:eastAsia="en-NZ"/>
              </w:rPr>
              <w:t>LoE</w:t>
            </w:r>
            <w:proofErr w:type="spellEnd"/>
            <w:r w:rsidRPr="00EC7A17">
              <w:rPr>
                <w:rFonts w:ascii="Times New Roman" w:eastAsia="Times New Roman" w:hAnsi="Times New Roman" w:cs="Times New Roman"/>
                <w:color w:val="000000"/>
                <w:lang w:eastAsia="en-NZ"/>
              </w:rPr>
              <w:t xml:space="preserve"> 2++</w:t>
            </w:r>
          </w:p>
        </w:tc>
        <w:tc>
          <w:tcPr>
            <w:tcW w:w="1247" w:type="dxa"/>
            <w:tcBorders>
              <w:top w:val="nil"/>
              <w:left w:val="nil"/>
              <w:bottom w:val="single" w:sz="4" w:space="0" w:color="AEAAAA"/>
              <w:right w:val="single" w:sz="4" w:space="0" w:color="AEAAAA"/>
            </w:tcBorders>
            <w:shd w:val="clear" w:color="000000" w:fill="FFFFFF"/>
            <w:vAlign w:val="bottom"/>
            <w:hideMark/>
          </w:tcPr>
          <w:p w14:paraId="3BC8B61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FFFFFF"/>
            <w:vAlign w:val="bottom"/>
            <w:hideMark/>
          </w:tcPr>
          <w:p w14:paraId="1DFEF32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CS(1), RC(1), PC(3)</w:t>
            </w:r>
          </w:p>
        </w:tc>
      </w:tr>
      <w:tr w:rsidR="00DA5F7E" w:rsidRPr="00EC7A17" w14:paraId="5F21DE92" w14:textId="77777777" w:rsidTr="006031D2">
        <w:trPr>
          <w:trHeight w:val="274"/>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5B16F84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1B3F113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D84FE0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FFFFFF"/>
            <w:vAlign w:val="bottom"/>
            <w:hideMark/>
          </w:tcPr>
          <w:p w14:paraId="5212BE4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Obese pregnant women with GDM should be particularly motivated and supported to breastfeed</w:t>
            </w:r>
          </w:p>
        </w:tc>
        <w:tc>
          <w:tcPr>
            <w:tcW w:w="1701" w:type="dxa"/>
            <w:tcBorders>
              <w:top w:val="nil"/>
              <w:left w:val="nil"/>
              <w:bottom w:val="single" w:sz="4" w:space="0" w:color="AEAAAA"/>
              <w:right w:val="single" w:sz="4" w:space="0" w:color="AEAAAA"/>
            </w:tcBorders>
            <w:shd w:val="clear" w:color="000000" w:fill="FFFFFF"/>
            <w:vAlign w:val="bottom"/>
            <w:hideMark/>
          </w:tcPr>
          <w:p w14:paraId="341A217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698318F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roofErr w:type="spellStart"/>
            <w:r w:rsidRPr="00EC7A17">
              <w:rPr>
                <w:rFonts w:ascii="Times New Roman" w:eastAsia="Times New Roman" w:hAnsi="Times New Roman" w:cs="Times New Roman"/>
                <w:color w:val="000000"/>
                <w:lang w:eastAsia="en-NZ"/>
              </w:rPr>
              <w:t>LoE</w:t>
            </w:r>
            <w:proofErr w:type="spellEnd"/>
            <w:r w:rsidRPr="00EC7A17">
              <w:rPr>
                <w:rFonts w:ascii="Times New Roman" w:eastAsia="Times New Roman" w:hAnsi="Times New Roman" w:cs="Times New Roman"/>
                <w:color w:val="000000"/>
                <w:lang w:eastAsia="en-NZ"/>
              </w:rPr>
              <w:t xml:space="preserve"> 2+</w:t>
            </w:r>
          </w:p>
        </w:tc>
        <w:tc>
          <w:tcPr>
            <w:tcW w:w="1247" w:type="dxa"/>
            <w:tcBorders>
              <w:top w:val="nil"/>
              <w:left w:val="nil"/>
              <w:bottom w:val="single" w:sz="4" w:space="0" w:color="AEAAAA"/>
              <w:right w:val="single" w:sz="4" w:space="0" w:color="AEAAAA"/>
            </w:tcBorders>
            <w:shd w:val="clear" w:color="000000" w:fill="FFFFFF"/>
            <w:vAlign w:val="bottom"/>
            <w:hideMark/>
          </w:tcPr>
          <w:p w14:paraId="6560A44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Low </w:t>
            </w:r>
          </w:p>
        </w:tc>
        <w:tc>
          <w:tcPr>
            <w:tcW w:w="1559" w:type="dxa"/>
            <w:tcBorders>
              <w:top w:val="nil"/>
              <w:left w:val="nil"/>
              <w:bottom w:val="single" w:sz="4" w:space="0" w:color="AEAAAA"/>
              <w:right w:val="single" w:sz="4" w:space="0" w:color="AEAAAA"/>
            </w:tcBorders>
            <w:shd w:val="clear" w:color="000000" w:fill="FFFFFF"/>
            <w:vAlign w:val="bottom"/>
            <w:hideMark/>
          </w:tcPr>
          <w:p w14:paraId="478BF42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CS(2), PC(2)</w:t>
            </w:r>
          </w:p>
        </w:tc>
      </w:tr>
      <w:tr w:rsidR="00DA5F7E" w:rsidRPr="00EC7A17" w14:paraId="7B5FB307"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31646A8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745838B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7785166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Psychosocial care</w:t>
            </w:r>
          </w:p>
        </w:tc>
        <w:tc>
          <w:tcPr>
            <w:tcW w:w="3118" w:type="dxa"/>
            <w:tcBorders>
              <w:top w:val="nil"/>
              <w:left w:val="nil"/>
              <w:bottom w:val="single" w:sz="4" w:space="0" w:color="AEAAAA"/>
              <w:right w:val="single" w:sz="4" w:space="0" w:color="AEAAAA"/>
            </w:tcBorders>
            <w:shd w:val="clear" w:color="000000" w:fill="FFFFFF"/>
            <w:vAlign w:val="bottom"/>
            <w:hideMark/>
          </w:tcPr>
          <w:p w14:paraId="47BA524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For all women after GDM, the well-being questionnaire (EPDS) should be used as a screening tool for depressive mood at the time of the OGTT 6–12 weeks after birth.</w:t>
            </w:r>
          </w:p>
        </w:tc>
        <w:tc>
          <w:tcPr>
            <w:tcW w:w="1701" w:type="dxa"/>
            <w:tcBorders>
              <w:top w:val="nil"/>
              <w:left w:val="nil"/>
              <w:bottom w:val="single" w:sz="4" w:space="0" w:color="AEAAAA"/>
              <w:right w:val="single" w:sz="4" w:space="0" w:color="AEAAAA"/>
            </w:tcBorders>
            <w:shd w:val="clear" w:color="000000" w:fill="FFFFFF"/>
            <w:vAlign w:val="bottom"/>
            <w:hideMark/>
          </w:tcPr>
          <w:p w14:paraId="51F433C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20744BE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roofErr w:type="spellStart"/>
            <w:r w:rsidRPr="00EC7A17">
              <w:rPr>
                <w:rFonts w:ascii="Times New Roman" w:eastAsia="Times New Roman" w:hAnsi="Times New Roman" w:cs="Times New Roman"/>
                <w:color w:val="000000"/>
                <w:lang w:eastAsia="en-NZ"/>
              </w:rPr>
              <w:t>LoE</w:t>
            </w:r>
            <w:proofErr w:type="spellEnd"/>
            <w:r w:rsidRPr="00EC7A17">
              <w:rPr>
                <w:rFonts w:ascii="Times New Roman" w:eastAsia="Times New Roman" w:hAnsi="Times New Roman" w:cs="Times New Roman"/>
                <w:color w:val="000000"/>
                <w:lang w:eastAsia="en-NZ"/>
              </w:rPr>
              <w:t xml:space="preserve"> 1-</w:t>
            </w:r>
          </w:p>
        </w:tc>
        <w:tc>
          <w:tcPr>
            <w:tcW w:w="1247" w:type="dxa"/>
            <w:tcBorders>
              <w:top w:val="nil"/>
              <w:left w:val="nil"/>
              <w:bottom w:val="single" w:sz="4" w:space="0" w:color="AEAAAA"/>
              <w:right w:val="single" w:sz="4" w:space="0" w:color="AEAAAA"/>
            </w:tcBorders>
            <w:shd w:val="clear" w:color="000000" w:fill="FFFFFF"/>
            <w:vAlign w:val="bottom"/>
            <w:hideMark/>
          </w:tcPr>
          <w:p w14:paraId="28902C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FFFFFF"/>
            <w:vAlign w:val="bottom"/>
            <w:hideMark/>
          </w:tcPr>
          <w:p w14:paraId="3E05B0E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RCT(1), RC(1)</w:t>
            </w:r>
          </w:p>
        </w:tc>
      </w:tr>
      <w:tr w:rsidR="00DA5F7E" w:rsidRPr="00EC7A17" w14:paraId="5DDCBD4C"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2164071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15708E1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1A06E91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FFFFFF"/>
            <w:vAlign w:val="bottom"/>
            <w:hideMark/>
          </w:tcPr>
          <w:p w14:paraId="1627B7D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 If the total score on the well-being form is &gt; 10, a depressive mood is suspected. This suspicion should be further clarified by a specialist in order to initiate therapy in a timely manner.</w:t>
            </w:r>
          </w:p>
        </w:tc>
        <w:tc>
          <w:tcPr>
            <w:tcW w:w="1701" w:type="dxa"/>
            <w:tcBorders>
              <w:top w:val="nil"/>
              <w:left w:val="nil"/>
              <w:bottom w:val="single" w:sz="4" w:space="0" w:color="AEAAAA"/>
              <w:right w:val="single" w:sz="4" w:space="0" w:color="AEAAAA"/>
            </w:tcBorders>
            <w:shd w:val="clear" w:color="000000" w:fill="FFFFFF"/>
            <w:vAlign w:val="bottom"/>
            <w:hideMark/>
          </w:tcPr>
          <w:p w14:paraId="0CC4B9A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7214046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EKIII</w:t>
            </w:r>
          </w:p>
        </w:tc>
        <w:tc>
          <w:tcPr>
            <w:tcW w:w="1247" w:type="dxa"/>
            <w:tcBorders>
              <w:top w:val="nil"/>
              <w:left w:val="nil"/>
              <w:bottom w:val="single" w:sz="4" w:space="0" w:color="AEAAAA"/>
              <w:right w:val="single" w:sz="4" w:space="0" w:color="AEAAAA"/>
            </w:tcBorders>
            <w:shd w:val="clear" w:color="000000" w:fill="FFFFFF"/>
            <w:vAlign w:val="bottom"/>
            <w:hideMark/>
          </w:tcPr>
          <w:p w14:paraId="04F8D19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FFFFFF"/>
            <w:vAlign w:val="bottom"/>
            <w:hideMark/>
          </w:tcPr>
          <w:p w14:paraId="588E158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CC(1)</w:t>
            </w:r>
          </w:p>
        </w:tc>
      </w:tr>
      <w:tr w:rsidR="00DA5F7E" w:rsidRPr="00EC7A17" w14:paraId="7C63B74B" w14:textId="77777777" w:rsidTr="006031D2">
        <w:trPr>
          <w:trHeight w:val="1942"/>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785703F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FFFFFF"/>
            <w:vAlign w:val="bottom"/>
            <w:hideMark/>
          </w:tcPr>
          <w:p w14:paraId="3D40287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615E5D1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FFFFFF"/>
            <w:vAlign w:val="bottom"/>
            <w:hideMark/>
          </w:tcPr>
          <w:p w14:paraId="7C2603B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with glucose tolerance disorder after GDM should receive detailed advice and instructions on intervention measures (lifestyle modification). Which includes:</w:t>
            </w:r>
            <w:r w:rsidRPr="00EC7A17">
              <w:rPr>
                <w:rFonts w:ascii="Times New Roman" w:eastAsia="Times New Roman" w:hAnsi="Times New Roman" w:cs="Times New Roman"/>
                <w:color w:val="000000"/>
                <w:lang w:eastAsia="en-NZ"/>
              </w:rPr>
              <w:br/>
              <w:t>• needs-adapted nutrition;</w:t>
            </w:r>
            <w:r w:rsidRPr="00EC7A17">
              <w:rPr>
                <w:rFonts w:ascii="Times New Roman" w:eastAsia="Times New Roman" w:hAnsi="Times New Roman" w:cs="Times New Roman"/>
                <w:color w:val="000000"/>
                <w:lang w:eastAsia="en-NZ"/>
              </w:rPr>
              <w:br/>
              <w:t>• Weight normalization;</w:t>
            </w:r>
            <w:r w:rsidRPr="00EC7A17">
              <w:rPr>
                <w:rFonts w:ascii="Times New Roman" w:eastAsia="Times New Roman" w:hAnsi="Times New Roman" w:cs="Times New Roman"/>
                <w:color w:val="000000"/>
                <w:lang w:eastAsia="en-NZ"/>
              </w:rPr>
              <w:br/>
              <w:t>• physical activity;</w:t>
            </w:r>
            <w:r w:rsidRPr="00EC7A17">
              <w:rPr>
                <w:rFonts w:ascii="Times New Roman" w:eastAsia="Times New Roman" w:hAnsi="Times New Roman" w:cs="Times New Roman"/>
                <w:color w:val="000000"/>
                <w:lang w:eastAsia="en-NZ"/>
              </w:rPr>
              <w:br/>
              <w:t>• Smoking cessation.</w:t>
            </w:r>
          </w:p>
        </w:tc>
        <w:tc>
          <w:tcPr>
            <w:tcW w:w="1701" w:type="dxa"/>
            <w:tcBorders>
              <w:top w:val="nil"/>
              <w:left w:val="nil"/>
              <w:bottom w:val="single" w:sz="4" w:space="0" w:color="AEAAAA"/>
              <w:right w:val="single" w:sz="4" w:space="0" w:color="AEAAAA"/>
            </w:tcBorders>
            <w:shd w:val="clear" w:color="000000" w:fill="FFFFFF"/>
            <w:vAlign w:val="bottom"/>
            <w:hideMark/>
          </w:tcPr>
          <w:p w14:paraId="596A2EF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998BAA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roofErr w:type="spellStart"/>
            <w:r w:rsidRPr="00EC7A17">
              <w:rPr>
                <w:rFonts w:ascii="Times New Roman" w:eastAsia="Times New Roman" w:hAnsi="Times New Roman" w:cs="Times New Roman"/>
                <w:color w:val="000000"/>
                <w:lang w:eastAsia="en-NZ"/>
              </w:rPr>
              <w:t>LoE</w:t>
            </w:r>
            <w:proofErr w:type="spellEnd"/>
            <w:r w:rsidRPr="00EC7A17">
              <w:rPr>
                <w:rFonts w:ascii="Times New Roman" w:eastAsia="Times New Roman" w:hAnsi="Times New Roman" w:cs="Times New Roman"/>
                <w:color w:val="000000"/>
                <w:lang w:eastAsia="en-NZ"/>
              </w:rPr>
              <w:t xml:space="preserve"> 1++</w:t>
            </w:r>
          </w:p>
        </w:tc>
        <w:tc>
          <w:tcPr>
            <w:tcW w:w="1247" w:type="dxa"/>
            <w:tcBorders>
              <w:top w:val="nil"/>
              <w:left w:val="nil"/>
              <w:bottom w:val="single" w:sz="4" w:space="0" w:color="AEAAAA"/>
              <w:right w:val="single" w:sz="4" w:space="0" w:color="AEAAAA"/>
            </w:tcBorders>
            <w:shd w:val="clear" w:color="000000" w:fill="FFFFFF"/>
            <w:vAlign w:val="bottom"/>
            <w:hideMark/>
          </w:tcPr>
          <w:p w14:paraId="533E963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FFFFFF"/>
            <w:vAlign w:val="bottom"/>
            <w:hideMark/>
          </w:tcPr>
          <w:p w14:paraId="23151F6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RCT(1), PC(1), R(1)</w:t>
            </w:r>
          </w:p>
        </w:tc>
      </w:tr>
      <w:tr w:rsidR="00DA5F7E" w:rsidRPr="00EC7A17" w14:paraId="31230B98" w14:textId="77777777" w:rsidTr="006031D2">
        <w:trPr>
          <w:trHeight w:val="1371"/>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87BAD8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Clinical Practice Guidelines: Diabetes Mellitus. Ministry of Health Singapore (2014)</w:t>
            </w:r>
          </w:p>
        </w:tc>
        <w:tc>
          <w:tcPr>
            <w:tcW w:w="1387" w:type="dxa"/>
            <w:tcBorders>
              <w:top w:val="nil"/>
              <w:left w:val="nil"/>
              <w:bottom w:val="single" w:sz="4" w:space="0" w:color="AEAAAA"/>
              <w:right w:val="single" w:sz="4" w:space="0" w:color="AEAAAA"/>
            </w:tcBorders>
            <w:shd w:val="clear" w:color="000000" w:fill="E7E6E6"/>
            <w:vAlign w:val="bottom"/>
            <w:hideMark/>
          </w:tcPr>
          <w:p w14:paraId="5BBC386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GRADE</w:t>
            </w:r>
          </w:p>
        </w:tc>
        <w:tc>
          <w:tcPr>
            <w:tcW w:w="1843" w:type="dxa"/>
            <w:tcBorders>
              <w:top w:val="nil"/>
              <w:left w:val="nil"/>
              <w:bottom w:val="single" w:sz="4" w:space="0" w:color="AEAAAA"/>
              <w:right w:val="single" w:sz="4" w:space="0" w:color="AEAAAA"/>
            </w:tcBorders>
            <w:shd w:val="clear" w:color="000000" w:fill="E7E6E6"/>
            <w:vAlign w:val="bottom"/>
            <w:hideMark/>
          </w:tcPr>
          <w:p w14:paraId="5ECCC20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hideMark/>
          </w:tcPr>
          <w:p w14:paraId="703B5A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For women with GDM, a 75 g 2h OGTT should be performed 6–12 weeks postpartum and the woman reclassified and counselled according to criteria accepted in the non-pregnant state.</w:t>
            </w:r>
          </w:p>
        </w:tc>
        <w:tc>
          <w:tcPr>
            <w:tcW w:w="1701" w:type="dxa"/>
            <w:tcBorders>
              <w:top w:val="nil"/>
              <w:left w:val="nil"/>
              <w:bottom w:val="single" w:sz="4" w:space="0" w:color="AEAAAA"/>
              <w:right w:val="single" w:sz="4" w:space="0" w:color="AEAAAA"/>
            </w:tcBorders>
            <w:shd w:val="clear" w:color="000000" w:fill="E7E6E6"/>
            <w:vAlign w:val="bottom"/>
            <w:hideMark/>
          </w:tcPr>
          <w:p w14:paraId="2FFDA5E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Weak </w:t>
            </w:r>
          </w:p>
        </w:tc>
        <w:tc>
          <w:tcPr>
            <w:tcW w:w="1163" w:type="dxa"/>
            <w:tcBorders>
              <w:top w:val="nil"/>
              <w:left w:val="nil"/>
              <w:bottom w:val="single" w:sz="4" w:space="0" w:color="AEAAAA"/>
              <w:right w:val="single" w:sz="4" w:space="0" w:color="AEAAAA"/>
            </w:tcBorders>
            <w:shd w:val="clear" w:color="000000" w:fill="E7E6E6"/>
            <w:vAlign w:val="bottom"/>
            <w:hideMark/>
          </w:tcPr>
          <w:p w14:paraId="30D2DAA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2+</w:t>
            </w:r>
          </w:p>
        </w:tc>
        <w:tc>
          <w:tcPr>
            <w:tcW w:w="1247" w:type="dxa"/>
            <w:tcBorders>
              <w:top w:val="nil"/>
              <w:left w:val="nil"/>
              <w:bottom w:val="single" w:sz="4" w:space="0" w:color="AEAAAA"/>
              <w:right w:val="single" w:sz="4" w:space="0" w:color="AEAAAA"/>
            </w:tcBorders>
            <w:shd w:val="clear" w:color="000000" w:fill="E7E6E6"/>
            <w:vAlign w:val="bottom"/>
            <w:hideMark/>
          </w:tcPr>
          <w:p w14:paraId="241AE79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Low </w:t>
            </w:r>
          </w:p>
        </w:tc>
        <w:tc>
          <w:tcPr>
            <w:tcW w:w="1559" w:type="dxa"/>
            <w:tcBorders>
              <w:top w:val="nil"/>
              <w:left w:val="nil"/>
              <w:bottom w:val="single" w:sz="4" w:space="0" w:color="AEAAAA"/>
              <w:right w:val="single" w:sz="4" w:space="0" w:color="AEAAAA"/>
            </w:tcBorders>
            <w:shd w:val="clear" w:color="000000" w:fill="E7E6E6"/>
            <w:vAlign w:val="bottom"/>
            <w:hideMark/>
          </w:tcPr>
          <w:p w14:paraId="3732C10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ADA 2013</w:t>
            </w:r>
          </w:p>
        </w:tc>
      </w:tr>
      <w:tr w:rsidR="00DA5F7E" w:rsidRPr="00EC7A17" w14:paraId="5711C358"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880A3F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6A1EAA6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357BCDF7"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69995E6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should have lifelong screening for the development of prediabetes or diabetes at least once every 3 years.</w:t>
            </w:r>
          </w:p>
        </w:tc>
        <w:tc>
          <w:tcPr>
            <w:tcW w:w="1701" w:type="dxa"/>
            <w:tcBorders>
              <w:top w:val="nil"/>
              <w:left w:val="nil"/>
              <w:bottom w:val="single" w:sz="4" w:space="0" w:color="AEAAAA"/>
              <w:right w:val="single" w:sz="4" w:space="0" w:color="AEAAAA"/>
            </w:tcBorders>
            <w:shd w:val="clear" w:color="000000" w:fill="E7E6E6"/>
            <w:vAlign w:val="bottom"/>
            <w:hideMark/>
          </w:tcPr>
          <w:p w14:paraId="3BC8C32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Weak </w:t>
            </w:r>
          </w:p>
        </w:tc>
        <w:tc>
          <w:tcPr>
            <w:tcW w:w="1163" w:type="dxa"/>
            <w:tcBorders>
              <w:top w:val="nil"/>
              <w:left w:val="nil"/>
              <w:bottom w:val="single" w:sz="4" w:space="0" w:color="AEAAAA"/>
              <w:right w:val="single" w:sz="4" w:space="0" w:color="AEAAAA"/>
            </w:tcBorders>
            <w:shd w:val="clear" w:color="000000" w:fill="E7E6E6"/>
            <w:vAlign w:val="bottom"/>
            <w:hideMark/>
          </w:tcPr>
          <w:p w14:paraId="1FF2BE0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 Level 4</w:t>
            </w:r>
          </w:p>
        </w:tc>
        <w:tc>
          <w:tcPr>
            <w:tcW w:w="1247" w:type="dxa"/>
            <w:tcBorders>
              <w:top w:val="nil"/>
              <w:left w:val="nil"/>
              <w:bottom w:val="single" w:sz="4" w:space="0" w:color="AEAAAA"/>
              <w:right w:val="single" w:sz="4" w:space="0" w:color="AEAAAA"/>
            </w:tcBorders>
            <w:shd w:val="clear" w:color="000000" w:fill="E7E6E6"/>
            <w:vAlign w:val="bottom"/>
            <w:hideMark/>
          </w:tcPr>
          <w:p w14:paraId="3E70E1B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hideMark/>
          </w:tcPr>
          <w:p w14:paraId="0B910FA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SIGN 2010</w:t>
            </w:r>
          </w:p>
        </w:tc>
      </w:tr>
      <w:tr w:rsidR="00DA5F7E" w:rsidRPr="00EC7A17" w14:paraId="447076D3"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F7FEC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49A9424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7D61A70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000000" w:fill="E7E6E6"/>
            <w:vAlign w:val="bottom"/>
            <w:hideMark/>
          </w:tcPr>
          <w:p w14:paraId="265127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should discontinue glucose- lowering treatment immediately after birth and their blood glucose levels monitored.</w:t>
            </w:r>
          </w:p>
        </w:tc>
        <w:tc>
          <w:tcPr>
            <w:tcW w:w="1701" w:type="dxa"/>
            <w:tcBorders>
              <w:top w:val="nil"/>
              <w:left w:val="nil"/>
              <w:bottom w:val="single" w:sz="4" w:space="0" w:color="AEAAAA"/>
              <w:right w:val="single" w:sz="4" w:space="0" w:color="AEAAAA"/>
            </w:tcBorders>
            <w:shd w:val="clear" w:color="000000" w:fill="E7E6E6"/>
            <w:vAlign w:val="bottom"/>
            <w:hideMark/>
          </w:tcPr>
          <w:p w14:paraId="1273E4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030F86A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4</w:t>
            </w:r>
          </w:p>
        </w:tc>
        <w:tc>
          <w:tcPr>
            <w:tcW w:w="1247" w:type="dxa"/>
            <w:tcBorders>
              <w:top w:val="nil"/>
              <w:left w:val="nil"/>
              <w:bottom w:val="single" w:sz="4" w:space="0" w:color="AEAAAA"/>
              <w:right w:val="single" w:sz="4" w:space="0" w:color="AEAAAA"/>
            </w:tcBorders>
            <w:shd w:val="clear" w:color="000000" w:fill="E7E6E6"/>
            <w:vAlign w:val="bottom"/>
            <w:hideMark/>
          </w:tcPr>
          <w:p w14:paraId="05ACEEE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hideMark/>
          </w:tcPr>
          <w:p w14:paraId="5656365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SIGN 2010</w:t>
            </w:r>
          </w:p>
        </w:tc>
      </w:tr>
      <w:tr w:rsidR="00DA5F7E" w:rsidRPr="00EC7A17" w14:paraId="25A77CAC"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98B608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6303201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09F3E92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hideMark/>
          </w:tcPr>
          <w:p w14:paraId="6D44573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Breastfeeding is recommended for infants of women with GDM</w:t>
            </w:r>
          </w:p>
        </w:tc>
        <w:tc>
          <w:tcPr>
            <w:tcW w:w="1701" w:type="dxa"/>
            <w:tcBorders>
              <w:top w:val="nil"/>
              <w:left w:val="nil"/>
              <w:bottom w:val="single" w:sz="4" w:space="0" w:color="AEAAAA"/>
              <w:right w:val="single" w:sz="4" w:space="0" w:color="AEAAAA"/>
            </w:tcBorders>
            <w:shd w:val="clear" w:color="000000" w:fill="E7E6E6"/>
            <w:vAlign w:val="bottom"/>
            <w:hideMark/>
          </w:tcPr>
          <w:p w14:paraId="71D3590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Weak </w:t>
            </w:r>
          </w:p>
        </w:tc>
        <w:tc>
          <w:tcPr>
            <w:tcW w:w="1163" w:type="dxa"/>
            <w:tcBorders>
              <w:top w:val="nil"/>
              <w:left w:val="nil"/>
              <w:bottom w:val="single" w:sz="4" w:space="0" w:color="AEAAAA"/>
              <w:right w:val="single" w:sz="4" w:space="0" w:color="AEAAAA"/>
            </w:tcBorders>
            <w:shd w:val="clear" w:color="000000" w:fill="E7E6E6"/>
            <w:vAlign w:val="bottom"/>
            <w:hideMark/>
          </w:tcPr>
          <w:p w14:paraId="540A953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3</w:t>
            </w:r>
          </w:p>
        </w:tc>
        <w:tc>
          <w:tcPr>
            <w:tcW w:w="1247" w:type="dxa"/>
            <w:tcBorders>
              <w:top w:val="nil"/>
              <w:left w:val="nil"/>
              <w:bottom w:val="single" w:sz="4" w:space="0" w:color="AEAAAA"/>
              <w:right w:val="single" w:sz="4" w:space="0" w:color="AEAAAA"/>
            </w:tcBorders>
            <w:shd w:val="clear" w:color="000000" w:fill="E7E6E6"/>
            <w:vAlign w:val="bottom"/>
            <w:hideMark/>
          </w:tcPr>
          <w:p w14:paraId="350A4F3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Low </w:t>
            </w:r>
          </w:p>
        </w:tc>
        <w:tc>
          <w:tcPr>
            <w:tcW w:w="1559" w:type="dxa"/>
            <w:tcBorders>
              <w:top w:val="nil"/>
              <w:left w:val="nil"/>
              <w:bottom w:val="single" w:sz="4" w:space="0" w:color="AEAAAA"/>
              <w:right w:val="single" w:sz="4" w:space="0" w:color="AEAAAA"/>
            </w:tcBorders>
            <w:shd w:val="clear" w:color="000000" w:fill="E7E6E6"/>
            <w:vAlign w:val="bottom"/>
            <w:hideMark/>
          </w:tcPr>
          <w:p w14:paraId="678CF53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PC(2), CS(1)</w:t>
            </w:r>
          </w:p>
        </w:tc>
      </w:tr>
      <w:tr w:rsidR="00DA5F7E" w:rsidRPr="00EC7A17" w14:paraId="556EFE59" w14:textId="77777777" w:rsidTr="006031D2">
        <w:trPr>
          <w:trHeight w:val="1374"/>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5668F7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6A9B0F9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59B2E12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E7E6E6"/>
            <w:vAlign w:val="bottom"/>
            <w:hideMark/>
          </w:tcPr>
          <w:p w14:paraId="3E73D32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should be offered lifestyle advice aimed at diet modification, weight control and increasing physical activity to reduce their risk of subsequent development of diabetes. </w:t>
            </w:r>
          </w:p>
        </w:tc>
        <w:tc>
          <w:tcPr>
            <w:tcW w:w="1701" w:type="dxa"/>
            <w:tcBorders>
              <w:top w:val="nil"/>
              <w:left w:val="nil"/>
              <w:bottom w:val="single" w:sz="4" w:space="0" w:color="AEAAAA"/>
              <w:right w:val="single" w:sz="4" w:space="0" w:color="AEAAAA"/>
            </w:tcBorders>
            <w:shd w:val="clear" w:color="000000" w:fill="E7E6E6"/>
            <w:vAlign w:val="bottom"/>
            <w:hideMark/>
          </w:tcPr>
          <w:p w14:paraId="7C787E6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Weak </w:t>
            </w:r>
          </w:p>
        </w:tc>
        <w:tc>
          <w:tcPr>
            <w:tcW w:w="1163" w:type="dxa"/>
            <w:tcBorders>
              <w:top w:val="nil"/>
              <w:left w:val="nil"/>
              <w:bottom w:val="single" w:sz="4" w:space="0" w:color="AEAAAA"/>
              <w:right w:val="single" w:sz="4" w:space="0" w:color="AEAAAA"/>
            </w:tcBorders>
            <w:shd w:val="clear" w:color="000000" w:fill="E7E6E6"/>
            <w:vAlign w:val="bottom"/>
            <w:hideMark/>
          </w:tcPr>
          <w:p w14:paraId="3595D2D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4</w:t>
            </w:r>
          </w:p>
        </w:tc>
        <w:tc>
          <w:tcPr>
            <w:tcW w:w="1247" w:type="dxa"/>
            <w:tcBorders>
              <w:top w:val="nil"/>
              <w:left w:val="nil"/>
              <w:bottom w:val="single" w:sz="4" w:space="0" w:color="AEAAAA"/>
              <w:right w:val="single" w:sz="4" w:space="0" w:color="AEAAAA"/>
            </w:tcBorders>
            <w:shd w:val="clear" w:color="000000" w:fill="E7E6E6"/>
            <w:vAlign w:val="bottom"/>
            <w:hideMark/>
          </w:tcPr>
          <w:p w14:paraId="4FC750F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hideMark/>
          </w:tcPr>
          <w:p w14:paraId="2C79BDB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R(1), NICE 2008 </w:t>
            </w:r>
          </w:p>
        </w:tc>
      </w:tr>
      <w:tr w:rsidR="00DA5F7E" w:rsidRPr="00EC7A17" w14:paraId="6AAC26CB"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E208E6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6202BDE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E3B6C1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000000" w:fill="E7E6E6"/>
            <w:vAlign w:val="bottom"/>
            <w:hideMark/>
          </w:tcPr>
          <w:p w14:paraId="68AF1BF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Low-dose oestrogen-progestin oral contraceptives and intrauterine devices are not contraindicated in women with previous GDM.</w:t>
            </w:r>
          </w:p>
        </w:tc>
        <w:tc>
          <w:tcPr>
            <w:tcW w:w="1701" w:type="dxa"/>
            <w:tcBorders>
              <w:top w:val="nil"/>
              <w:left w:val="nil"/>
              <w:bottom w:val="single" w:sz="4" w:space="0" w:color="AEAAAA"/>
              <w:right w:val="single" w:sz="4" w:space="0" w:color="AEAAAA"/>
            </w:tcBorders>
            <w:shd w:val="clear" w:color="000000" w:fill="E7E6E6"/>
            <w:vAlign w:val="bottom"/>
            <w:hideMark/>
          </w:tcPr>
          <w:p w14:paraId="20D038C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Weak </w:t>
            </w:r>
          </w:p>
        </w:tc>
        <w:tc>
          <w:tcPr>
            <w:tcW w:w="1163" w:type="dxa"/>
            <w:tcBorders>
              <w:top w:val="nil"/>
              <w:left w:val="nil"/>
              <w:bottom w:val="single" w:sz="4" w:space="0" w:color="AEAAAA"/>
              <w:right w:val="single" w:sz="4" w:space="0" w:color="AEAAAA"/>
            </w:tcBorders>
            <w:shd w:val="clear" w:color="000000" w:fill="E7E6E6"/>
            <w:vAlign w:val="bottom"/>
            <w:hideMark/>
          </w:tcPr>
          <w:p w14:paraId="6F20168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3</w:t>
            </w:r>
          </w:p>
        </w:tc>
        <w:tc>
          <w:tcPr>
            <w:tcW w:w="1247" w:type="dxa"/>
            <w:tcBorders>
              <w:top w:val="nil"/>
              <w:left w:val="nil"/>
              <w:bottom w:val="single" w:sz="4" w:space="0" w:color="AEAAAA"/>
              <w:right w:val="single" w:sz="4" w:space="0" w:color="AEAAAA"/>
            </w:tcBorders>
            <w:shd w:val="clear" w:color="000000" w:fill="E7E6E6"/>
            <w:vAlign w:val="bottom"/>
            <w:hideMark/>
          </w:tcPr>
          <w:p w14:paraId="3D0CC46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Low </w:t>
            </w:r>
          </w:p>
        </w:tc>
        <w:tc>
          <w:tcPr>
            <w:tcW w:w="1559" w:type="dxa"/>
            <w:tcBorders>
              <w:top w:val="nil"/>
              <w:left w:val="nil"/>
              <w:bottom w:val="single" w:sz="4" w:space="0" w:color="AEAAAA"/>
              <w:right w:val="single" w:sz="4" w:space="0" w:color="AEAAAA"/>
            </w:tcBorders>
            <w:shd w:val="clear" w:color="000000" w:fill="E7E6E6"/>
            <w:vAlign w:val="bottom"/>
            <w:hideMark/>
          </w:tcPr>
          <w:p w14:paraId="2DD8A12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R(1)</w:t>
            </w:r>
          </w:p>
        </w:tc>
      </w:tr>
      <w:tr w:rsidR="00DA5F7E" w:rsidRPr="00EC7A17" w14:paraId="588DE0D5"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FFFFFF"/>
            <w:vAlign w:val="center"/>
            <w:hideMark/>
          </w:tcPr>
          <w:p w14:paraId="695925B7"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Clinical practice guidelines on diabetes mellitus and pregnancy: ΙI. Gestational diabetes mellitus. Greece 2020</w:t>
            </w:r>
          </w:p>
        </w:tc>
        <w:tc>
          <w:tcPr>
            <w:tcW w:w="1387" w:type="dxa"/>
            <w:tcBorders>
              <w:top w:val="nil"/>
              <w:left w:val="nil"/>
              <w:bottom w:val="single" w:sz="4" w:space="0" w:color="AEAAAA"/>
              <w:right w:val="single" w:sz="4" w:space="0" w:color="AEAAAA"/>
            </w:tcBorders>
            <w:shd w:val="clear" w:color="000000" w:fill="FFFFFF"/>
            <w:vAlign w:val="bottom"/>
            <w:hideMark/>
          </w:tcPr>
          <w:p w14:paraId="1C08D3D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grading system reported</w:t>
            </w:r>
          </w:p>
        </w:tc>
        <w:tc>
          <w:tcPr>
            <w:tcW w:w="1843" w:type="dxa"/>
            <w:tcBorders>
              <w:top w:val="nil"/>
              <w:left w:val="nil"/>
              <w:bottom w:val="single" w:sz="4" w:space="0" w:color="AEAAAA"/>
              <w:right w:val="single" w:sz="4" w:space="0" w:color="AEAAAA"/>
            </w:tcBorders>
            <w:shd w:val="clear" w:color="000000" w:fill="FFFFFF"/>
            <w:vAlign w:val="bottom"/>
            <w:hideMark/>
          </w:tcPr>
          <w:p w14:paraId="19B4C53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FFFFFF"/>
            <w:vAlign w:val="bottom"/>
            <w:hideMark/>
          </w:tcPr>
          <w:p w14:paraId="46FD9E9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It is recommended to perform an OGTT 2-3 months postpartum for all women with GDM.</w:t>
            </w:r>
          </w:p>
        </w:tc>
        <w:tc>
          <w:tcPr>
            <w:tcW w:w="1701" w:type="dxa"/>
            <w:tcBorders>
              <w:top w:val="nil"/>
              <w:left w:val="nil"/>
              <w:bottom w:val="single" w:sz="4" w:space="0" w:color="AEAAAA"/>
              <w:right w:val="single" w:sz="4" w:space="0" w:color="AEAAAA"/>
            </w:tcBorders>
            <w:shd w:val="clear" w:color="000000" w:fill="FFFFFF"/>
            <w:vAlign w:val="bottom"/>
            <w:hideMark/>
          </w:tcPr>
          <w:p w14:paraId="0ABA3D7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25D47E3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63FB774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411B8A1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43F9F136"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55F73FF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095DD8D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7054C8C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FFFFFF"/>
            <w:vAlign w:val="bottom"/>
            <w:hideMark/>
          </w:tcPr>
          <w:p w14:paraId="7FA88E1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If the OGTT results are within the reference range, an OGTT should be repeated every 1–3years, considering other risk factors</w:t>
            </w:r>
          </w:p>
        </w:tc>
        <w:tc>
          <w:tcPr>
            <w:tcW w:w="1701" w:type="dxa"/>
            <w:tcBorders>
              <w:top w:val="nil"/>
              <w:left w:val="nil"/>
              <w:bottom w:val="single" w:sz="4" w:space="0" w:color="AEAAAA"/>
              <w:right w:val="single" w:sz="4" w:space="0" w:color="AEAAAA"/>
            </w:tcBorders>
            <w:shd w:val="clear" w:color="000000" w:fill="FFFFFF"/>
            <w:vAlign w:val="bottom"/>
            <w:hideMark/>
          </w:tcPr>
          <w:p w14:paraId="005F903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6D2CB76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67846B9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5E21710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087F11B1" w14:textId="77777777" w:rsidTr="006031D2">
        <w:trPr>
          <w:trHeight w:val="975"/>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66A76C0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3FE7FFF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425476A2"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000000" w:fill="FFFFFF"/>
            <w:vAlign w:val="bottom"/>
            <w:hideMark/>
          </w:tcPr>
          <w:p w14:paraId="3D580A0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It is not recommended to routinely measure blood glucose</w:t>
            </w:r>
            <w:r w:rsidRPr="00EC7A17">
              <w:rPr>
                <w:rFonts w:ascii="Times New Roman" w:eastAsia="Times New Roman" w:hAnsi="Times New Roman" w:cs="Times New Roman"/>
                <w:color w:val="000000"/>
                <w:lang w:eastAsia="en-NZ"/>
              </w:rPr>
              <w:br/>
              <w:t xml:space="preserve">concentrations after delivery in women with GDM </w:t>
            </w:r>
          </w:p>
        </w:tc>
        <w:tc>
          <w:tcPr>
            <w:tcW w:w="1701" w:type="dxa"/>
            <w:tcBorders>
              <w:top w:val="nil"/>
              <w:left w:val="nil"/>
              <w:bottom w:val="single" w:sz="4" w:space="0" w:color="AEAAAA"/>
              <w:right w:val="single" w:sz="4" w:space="0" w:color="AEAAAA"/>
            </w:tcBorders>
            <w:shd w:val="clear" w:color="000000" w:fill="FFFFFF"/>
            <w:vAlign w:val="bottom"/>
            <w:hideMark/>
          </w:tcPr>
          <w:p w14:paraId="7584AA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7D8BA85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71C5CBA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4C237CF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r>
      <w:tr w:rsidR="00DA5F7E" w:rsidRPr="00EC7A17" w14:paraId="6032A7C9" w14:textId="77777777" w:rsidTr="006031D2">
        <w:trPr>
          <w:trHeight w:val="615"/>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0DD6589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73126A6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2488FCC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FFFFFF"/>
            <w:vAlign w:val="bottom"/>
            <w:hideMark/>
          </w:tcPr>
          <w:p w14:paraId="36567F2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It is recommended to quit insulin therapy after delivery for</w:t>
            </w:r>
            <w:r w:rsidRPr="00EC7A17">
              <w:rPr>
                <w:rFonts w:ascii="Times New Roman" w:eastAsia="Times New Roman" w:hAnsi="Times New Roman" w:cs="Times New Roman"/>
                <w:color w:val="000000"/>
                <w:lang w:eastAsia="en-NZ"/>
              </w:rPr>
              <w:br/>
              <w:t>women with GDM treated with insulin.</w:t>
            </w:r>
          </w:p>
        </w:tc>
        <w:tc>
          <w:tcPr>
            <w:tcW w:w="1701" w:type="dxa"/>
            <w:tcBorders>
              <w:top w:val="nil"/>
              <w:left w:val="nil"/>
              <w:bottom w:val="single" w:sz="4" w:space="0" w:color="AEAAAA"/>
              <w:right w:val="single" w:sz="4" w:space="0" w:color="AEAAAA"/>
            </w:tcBorders>
            <w:shd w:val="clear" w:color="000000" w:fill="FFFFFF"/>
            <w:vAlign w:val="bottom"/>
            <w:hideMark/>
          </w:tcPr>
          <w:p w14:paraId="2F59476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0F15D9E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5455E47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7E2B5A4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1FF57875" w14:textId="77777777" w:rsidTr="006031D2">
        <w:trPr>
          <w:trHeight w:val="615"/>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125BB62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6367610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10028DE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FFFFFF"/>
            <w:vAlign w:val="bottom"/>
            <w:hideMark/>
          </w:tcPr>
          <w:p w14:paraId="4D0BC05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Breastfeeding is recommended and should be encouraged</w:t>
            </w:r>
            <w:r w:rsidRPr="00EC7A17">
              <w:rPr>
                <w:rFonts w:ascii="Times New Roman" w:eastAsia="Times New Roman" w:hAnsi="Times New Roman" w:cs="Times New Roman"/>
                <w:color w:val="000000"/>
                <w:lang w:eastAsia="en-NZ"/>
              </w:rPr>
              <w:br/>
              <w:t>in women, especially when obese.</w:t>
            </w:r>
          </w:p>
        </w:tc>
        <w:tc>
          <w:tcPr>
            <w:tcW w:w="1701" w:type="dxa"/>
            <w:tcBorders>
              <w:top w:val="nil"/>
              <w:left w:val="nil"/>
              <w:bottom w:val="single" w:sz="4" w:space="0" w:color="AEAAAA"/>
              <w:right w:val="single" w:sz="4" w:space="0" w:color="AEAAAA"/>
            </w:tcBorders>
            <w:shd w:val="clear" w:color="000000" w:fill="FFFFFF"/>
            <w:vAlign w:val="bottom"/>
            <w:hideMark/>
          </w:tcPr>
          <w:p w14:paraId="56DFDF5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6587FCD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2CFBEE6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57F653B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4A822413" w14:textId="77777777" w:rsidTr="006031D2">
        <w:trPr>
          <w:trHeight w:val="99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271ADB1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FFFFFF"/>
            <w:vAlign w:val="bottom"/>
            <w:hideMark/>
          </w:tcPr>
          <w:p w14:paraId="4C54299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3CB978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FFFFFF"/>
            <w:vAlign w:val="bottom"/>
            <w:hideMark/>
          </w:tcPr>
          <w:p w14:paraId="44823AC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It is recommended that the woman adopt a healthy lifestyle with the preservation of ideal body weight, balanced diet, and physical activity.</w:t>
            </w:r>
          </w:p>
        </w:tc>
        <w:tc>
          <w:tcPr>
            <w:tcW w:w="1701" w:type="dxa"/>
            <w:tcBorders>
              <w:top w:val="nil"/>
              <w:left w:val="nil"/>
              <w:bottom w:val="single" w:sz="4" w:space="0" w:color="AEAAAA"/>
              <w:right w:val="single" w:sz="4" w:space="0" w:color="AEAAAA"/>
            </w:tcBorders>
            <w:shd w:val="clear" w:color="000000" w:fill="FFFFFF"/>
            <w:vAlign w:val="bottom"/>
            <w:hideMark/>
          </w:tcPr>
          <w:p w14:paraId="531547A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726B5C7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1BC7FA6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61DF31B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372419E1" w14:textId="77777777" w:rsidTr="006031D2">
        <w:trPr>
          <w:trHeight w:val="177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7DAEBF6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33F1855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39654C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000000" w:fill="FFFFFF"/>
            <w:vAlign w:val="bottom"/>
            <w:hideMark/>
          </w:tcPr>
          <w:p w14:paraId="493ED9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Hormonal contraception with progestogen-only pills is</w:t>
            </w:r>
            <w:r w:rsidRPr="00EC7A17">
              <w:rPr>
                <w:rFonts w:ascii="Times New Roman" w:eastAsia="Times New Roman" w:hAnsi="Times New Roman" w:cs="Times New Roman"/>
                <w:color w:val="000000"/>
                <w:lang w:eastAsia="en-NZ"/>
              </w:rPr>
              <w:br/>
              <w:t>not recommended. Low-dose oestrogen-progestogen combined oral contraception pills are not contraindicated, as they do not increase the risk of diabetes mellitus. The use of intrauterine devices with progestogen (Mirena®) or copper is not contraindicated.</w:t>
            </w:r>
          </w:p>
        </w:tc>
        <w:tc>
          <w:tcPr>
            <w:tcW w:w="1701" w:type="dxa"/>
            <w:tcBorders>
              <w:top w:val="nil"/>
              <w:left w:val="nil"/>
              <w:bottom w:val="single" w:sz="4" w:space="0" w:color="AEAAAA"/>
              <w:right w:val="single" w:sz="4" w:space="0" w:color="AEAAAA"/>
            </w:tcBorders>
            <w:shd w:val="clear" w:color="000000" w:fill="FFFFFF"/>
            <w:vAlign w:val="bottom"/>
            <w:hideMark/>
          </w:tcPr>
          <w:p w14:paraId="0B288FA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2E1BDE1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7E2341A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299AEA8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5D5CA71A" w14:textId="77777777" w:rsidTr="006031D2">
        <w:trPr>
          <w:trHeight w:val="1792"/>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7F01A89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Management of Diabetes: A National Clinical Guideline 2017. Scottish Intercollegiate Network Guideline (SIGN)</w:t>
            </w:r>
          </w:p>
        </w:tc>
        <w:tc>
          <w:tcPr>
            <w:tcW w:w="1387" w:type="dxa"/>
            <w:tcBorders>
              <w:top w:val="nil"/>
              <w:left w:val="nil"/>
              <w:bottom w:val="single" w:sz="4" w:space="0" w:color="AEAAAA"/>
              <w:right w:val="single" w:sz="4" w:space="0" w:color="AEAAAA"/>
            </w:tcBorders>
            <w:shd w:val="clear" w:color="auto" w:fill="E7E6E6" w:themeFill="background2"/>
            <w:vAlign w:val="bottom"/>
            <w:hideMark/>
          </w:tcPr>
          <w:p w14:paraId="7DADE9F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SIGN (1996)</w:t>
            </w:r>
          </w:p>
        </w:tc>
        <w:tc>
          <w:tcPr>
            <w:tcW w:w="1843" w:type="dxa"/>
            <w:tcBorders>
              <w:top w:val="nil"/>
              <w:left w:val="nil"/>
              <w:bottom w:val="single" w:sz="4" w:space="0" w:color="AEAAAA"/>
              <w:right w:val="single" w:sz="4" w:space="0" w:color="AEAAAA"/>
            </w:tcBorders>
            <w:shd w:val="clear" w:color="000000" w:fill="E7E6E6"/>
            <w:vAlign w:val="bottom"/>
            <w:hideMark/>
          </w:tcPr>
          <w:p w14:paraId="13F4C63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hideMark/>
          </w:tcPr>
          <w:p w14:paraId="306471E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Where diabetes is not apparent immediately after delivery, glucose tolerance should be reassessed at least 6 weeks postpartum with a minimum of fasting glucose and with 75g OGTT if clinically indicated. </w:t>
            </w:r>
          </w:p>
        </w:tc>
        <w:tc>
          <w:tcPr>
            <w:tcW w:w="1701" w:type="dxa"/>
            <w:tcBorders>
              <w:top w:val="nil"/>
              <w:left w:val="nil"/>
              <w:bottom w:val="single" w:sz="4" w:space="0" w:color="AEAAAA"/>
              <w:right w:val="single" w:sz="4" w:space="0" w:color="AEAAAA"/>
            </w:tcBorders>
            <w:shd w:val="clear" w:color="000000" w:fill="E7E6E6"/>
            <w:vAlign w:val="bottom"/>
            <w:hideMark/>
          </w:tcPr>
          <w:p w14:paraId="1872DA4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Weak </w:t>
            </w:r>
          </w:p>
        </w:tc>
        <w:tc>
          <w:tcPr>
            <w:tcW w:w="1163" w:type="dxa"/>
            <w:tcBorders>
              <w:top w:val="nil"/>
              <w:left w:val="nil"/>
              <w:bottom w:val="single" w:sz="4" w:space="0" w:color="AEAAAA"/>
              <w:right w:val="single" w:sz="4" w:space="0" w:color="AEAAAA"/>
            </w:tcBorders>
            <w:shd w:val="clear" w:color="000000" w:fill="E7E6E6"/>
            <w:vAlign w:val="bottom"/>
            <w:hideMark/>
          </w:tcPr>
          <w:p w14:paraId="092BA49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GPP</w:t>
            </w:r>
          </w:p>
        </w:tc>
        <w:tc>
          <w:tcPr>
            <w:tcW w:w="1247" w:type="dxa"/>
            <w:tcBorders>
              <w:top w:val="nil"/>
              <w:left w:val="nil"/>
              <w:bottom w:val="single" w:sz="4" w:space="0" w:color="AEAAAA"/>
              <w:right w:val="single" w:sz="4" w:space="0" w:color="AEAAAA"/>
            </w:tcBorders>
            <w:shd w:val="clear" w:color="000000" w:fill="E7E6E6"/>
            <w:vAlign w:val="bottom"/>
            <w:hideMark/>
          </w:tcPr>
          <w:p w14:paraId="6A55F87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hideMark/>
          </w:tcPr>
          <w:p w14:paraId="7F28DAB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46CD71D9"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468388D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3F260F6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322AA89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299229C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An annual assessment of glycaemia using fasting glucose or HbA1c should be carried out </w:t>
            </w:r>
          </w:p>
        </w:tc>
        <w:tc>
          <w:tcPr>
            <w:tcW w:w="1701" w:type="dxa"/>
            <w:tcBorders>
              <w:top w:val="nil"/>
              <w:left w:val="nil"/>
              <w:bottom w:val="single" w:sz="4" w:space="0" w:color="AEAAAA"/>
              <w:right w:val="single" w:sz="4" w:space="0" w:color="AEAAAA"/>
            </w:tcBorders>
            <w:shd w:val="clear" w:color="000000" w:fill="E7E6E6"/>
            <w:vAlign w:val="bottom"/>
            <w:hideMark/>
          </w:tcPr>
          <w:p w14:paraId="6758B1D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50AB986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GPP</w:t>
            </w:r>
          </w:p>
        </w:tc>
        <w:tc>
          <w:tcPr>
            <w:tcW w:w="1247" w:type="dxa"/>
            <w:tcBorders>
              <w:top w:val="nil"/>
              <w:left w:val="nil"/>
              <w:bottom w:val="single" w:sz="4" w:space="0" w:color="AEAAAA"/>
              <w:right w:val="single" w:sz="4" w:space="0" w:color="AEAAAA"/>
            </w:tcBorders>
            <w:shd w:val="clear" w:color="000000" w:fill="E7E6E6"/>
            <w:vAlign w:val="bottom"/>
            <w:hideMark/>
          </w:tcPr>
          <w:p w14:paraId="6202F86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hideMark/>
          </w:tcPr>
          <w:p w14:paraId="2700050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2C023692"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E7E6E6"/>
            <w:vAlign w:val="bottom"/>
          </w:tcPr>
          <w:p w14:paraId="5295744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p>
        </w:tc>
        <w:tc>
          <w:tcPr>
            <w:tcW w:w="1387" w:type="dxa"/>
            <w:tcBorders>
              <w:top w:val="nil"/>
              <w:left w:val="nil"/>
              <w:bottom w:val="single" w:sz="4" w:space="0" w:color="AEAAAA"/>
              <w:right w:val="single" w:sz="4" w:space="0" w:color="AEAAAA"/>
            </w:tcBorders>
            <w:shd w:val="clear" w:color="000000" w:fill="E7E6E6"/>
            <w:vAlign w:val="bottom"/>
          </w:tcPr>
          <w:p w14:paraId="4A9B084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000000" w:fill="E7E6E6"/>
            <w:vAlign w:val="bottom"/>
          </w:tcPr>
          <w:p w14:paraId="3899A45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p>
        </w:tc>
        <w:tc>
          <w:tcPr>
            <w:tcW w:w="3118" w:type="dxa"/>
            <w:tcBorders>
              <w:top w:val="nil"/>
              <w:left w:val="nil"/>
              <w:bottom w:val="single" w:sz="4" w:space="0" w:color="AEAAAA"/>
              <w:right w:val="single" w:sz="4" w:space="0" w:color="AEAAAA"/>
            </w:tcBorders>
            <w:shd w:val="clear" w:color="000000" w:fill="E7E6E6"/>
            <w:vAlign w:val="bottom"/>
          </w:tcPr>
          <w:p w14:paraId="7942BD4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who have developed GDM should be reminded of the need for pre-conception counselling and appropriate testing to detect progression to type 2 diabetes.</w:t>
            </w:r>
          </w:p>
        </w:tc>
        <w:tc>
          <w:tcPr>
            <w:tcW w:w="1701" w:type="dxa"/>
            <w:tcBorders>
              <w:top w:val="nil"/>
              <w:left w:val="nil"/>
              <w:bottom w:val="single" w:sz="4" w:space="0" w:color="AEAAAA"/>
              <w:right w:val="single" w:sz="4" w:space="0" w:color="AEAAAA"/>
            </w:tcBorders>
            <w:shd w:val="clear" w:color="000000" w:fill="E7E6E6"/>
            <w:vAlign w:val="bottom"/>
          </w:tcPr>
          <w:p w14:paraId="1064298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 (C)</w:t>
            </w:r>
          </w:p>
        </w:tc>
        <w:tc>
          <w:tcPr>
            <w:tcW w:w="1163" w:type="dxa"/>
            <w:tcBorders>
              <w:top w:val="nil"/>
              <w:left w:val="nil"/>
              <w:bottom w:val="single" w:sz="4" w:space="0" w:color="AEAAAA"/>
              <w:right w:val="single" w:sz="4" w:space="0" w:color="AEAAAA"/>
            </w:tcBorders>
            <w:shd w:val="clear" w:color="000000" w:fill="E7E6E6"/>
            <w:vAlign w:val="bottom"/>
          </w:tcPr>
          <w:p w14:paraId="6D9B01A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GPP</w:t>
            </w:r>
          </w:p>
        </w:tc>
        <w:tc>
          <w:tcPr>
            <w:tcW w:w="1247" w:type="dxa"/>
            <w:tcBorders>
              <w:top w:val="nil"/>
              <w:left w:val="nil"/>
              <w:bottom w:val="single" w:sz="4" w:space="0" w:color="AEAAAA"/>
              <w:right w:val="single" w:sz="4" w:space="0" w:color="AEAAAA"/>
            </w:tcBorders>
            <w:shd w:val="clear" w:color="000000" w:fill="E7E6E6"/>
            <w:vAlign w:val="bottom"/>
          </w:tcPr>
          <w:p w14:paraId="6E9A5D8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tcPr>
          <w:p w14:paraId="3303989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0464CA79"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6BF444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14FD443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532E2E0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hideMark/>
          </w:tcPr>
          <w:p w14:paraId="2DA8595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Breast feeding should be encouraged to benefit mother and baby, but it may necessitate insulin dose adjustment and a dietetic review.</w:t>
            </w:r>
          </w:p>
        </w:tc>
        <w:tc>
          <w:tcPr>
            <w:tcW w:w="1701" w:type="dxa"/>
            <w:tcBorders>
              <w:top w:val="nil"/>
              <w:left w:val="nil"/>
              <w:bottom w:val="single" w:sz="4" w:space="0" w:color="AEAAAA"/>
              <w:right w:val="single" w:sz="4" w:space="0" w:color="AEAAAA"/>
            </w:tcBorders>
            <w:shd w:val="clear" w:color="000000" w:fill="E7E6E6"/>
            <w:vAlign w:val="bottom"/>
            <w:hideMark/>
          </w:tcPr>
          <w:p w14:paraId="2E77810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399D7BA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GPP</w:t>
            </w:r>
          </w:p>
        </w:tc>
        <w:tc>
          <w:tcPr>
            <w:tcW w:w="1247" w:type="dxa"/>
            <w:tcBorders>
              <w:top w:val="nil"/>
              <w:left w:val="nil"/>
              <w:bottom w:val="single" w:sz="4" w:space="0" w:color="AEAAAA"/>
              <w:right w:val="single" w:sz="4" w:space="0" w:color="AEAAAA"/>
            </w:tcBorders>
            <w:shd w:val="clear" w:color="000000" w:fill="E7E6E6"/>
            <w:vAlign w:val="bottom"/>
            <w:hideMark/>
          </w:tcPr>
          <w:p w14:paraId="699E740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hideMark/>
          </w:tcPr>
          <w:p w14:paraId="7ED6757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30782E7A"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tcPr>
          <w:p w14:paraId="29B823A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387" w:type="dxa"/>
            <w:tcBorders>
              <w:top w:val="nil"/>
              <w:left w:val="nil"/>
              <w:bottom w:val="single" w:sz="4" w:space="0" w:color="AEAAAA"/>
              <w:right w:val="single" w:sz="4" w:space="0" w:color="AEAAAA"/>
            </w:tcBorders>
            <w:shd w:val="clear" w:color="000000" w:fill="E7E6E6"/>
            <w:vAlign w:val="bottom"/>
          </w:tcPr>
          <w:p w14:paraId="183C912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000000" w:fill="E7E6E6"/>
            <w:vAlign w:val="bottom"/>
          </w:tcPr>
          <w:p w14:paraId="6698D2E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000000" w:fill="E7E6E6"/>
            <w:vAlign w:val="bottom"/>
          </w:tcPr>
          <w:p w14:paraId="0FDF533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Appropriate contraception should be provided, and the importance of good glycaemic control emphasised.</w:t>
            </w:r>
          </w:p>
        </w:tc>
        <w:tc>
          <w:tcPr>
            <w:tcW w:w="1701" w:type="dxa"/>
            <w:tcBorders>
              <w:top w:val="nil"/>
              <w:left w:val="nil"/>
              <w:bottom w:val="single" w:sz="4" w:space="0" w:color="AEAAAA"/>
              <w:right w:val="single" w:sz="4" w:space="0" w:color="AEAAAA"/>
            </w:tcBorders>
            <w:shd w:val="clear" w:color="000000" w:fill="E7E6E6"/>
            <w:vAlign w:val="bottom"/>
          </w:tcPr>
          <w:p w14:paraId="05891FE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tcPr>
          <w:p w14:paraId="7899CB7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GPP</w:t>
            </w:r>
          </w:p>
        </w:tc>
        <w:tc>
          <w:tcPr>
            <w:tcW w:w="1247" w:type="dxa"/>
            <w:tcBorders>
              <w:top w:val="nil"/>
              <w:left w:val="nil"/>
              <w:bottom w:val="single" w:sz="4" w:space="0" w:color="AEAAAA"/>
              <w:right w:val="single" w:sz="4" w:space="0" w:color="AEAAAA"/>
            </w:tcBorders>
            <w:shd w:val="clear" w:color="000000" w:fill="E7E6E6"/>
            <w:vAlign w:val="bottom"/>
          </w:tcPr>
          <w:p w14:paraId="3F1F794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tcPr>
          <w:p w14:paraId="357DA6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42DA708C"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0D9BDA4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2F10EAF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37121F0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E7E6E6"/>
            <w:vAlign w:val="bottom"/>
            <w:hideMark/>
          </w:tcPr>
          <w:p w14:paraId="4D3C421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who have developed GDM should be given diet, weight control and exercise advice.</w:t>
            </w:r>
          </w:p>
        </w:tc>
        <w:tc>
          <w:tcPr>
            <w:tcW w:w="1701" w:type="dxa"/>
            <w:tcBorders>
              <w:top w:val="nil"/>
              <w:left w:val="nil"/>
              <w:bottom w:val="single" w:sz="4" w:space="0" w:color="AEAAAA"/>
              <w:right w:val="single" w:sz="4" w:space="0" w:color="AEAAAA"/>
            </w:tcBorders>
            <w:shd w:val="clear" w:color="000000" w:fill="E7E6E6"/>
            <w:vAlign w:val="bottom"/>
            <w:hideMark/>
          </w:tcPr>
          <w:p w14:paraId="1BBFD58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 [C]</w:t>
            </w:r>
          </w:p>
        </w:tc>
        <w:tc>
          <w:tcPr>
            <w:tcW w:w="1163" w:type="dxa"/>
            <w:tcBorders>
              <w:top w:val="nil"/>
              <w:left w:val="nil"/>
              <w:bottom w:val="single" w:sz="4" w:space="0" w:color="AEAAAA"/>
              <w:right w:val="single" w:sz="4" w:space="0" w:color="AEAAAA"/>
            </w:tcBorders>
            <w:shd w:val="clear" w:color="000000" w:fill="E7E6E6"/>
            <w:vAlign w:val="bottom"/>
            <w:hideMark/>
          </w:tcPr>
          <w:p w14:paraId="296E805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2++</w:t>
            </w:r>
          </w:p>
        </w:tc>
        <w:tc>
          <w:tcPr>
            <w:tcW w:w="1247" w:type="dxa"/>
            <w:tcBorders>
              <w:top w:val="nil"/>
              <w:left w:val="nil"/>
              <w:bottom w:val="single" w:sz="4" w:space="0" w:color="AEAAAA"/>
              <w:right w:val="single" w:sz="4" w:space="0" w:color="AEAAAA"/>
            </w:tcBorders>
            <w:shd w:val="clear" w:color="000000" w:fill="E7E6E6"/>
            <w:vAlign w:val="bottom"/>
            <w:hideMark/>
          </w:tcPr>
          <w:p w14:paraId="0F3E789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E7E6E6"/>
            <w:vAlign w:val="bottom"/>
            <w:hideMark/>
          </w:tcPr>
          <w:p w14:paraId="6AA4799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SR(1), R(1), RCT(1)</w:t>
            </w:r>
          </w:p>
        </w:tc>
      </w:tr>
      <w:tr w:rsidR="00DA5F7E" w:rsidRPr="00EC7A17" w14:paraId="52983CB4" w14:textId="77777777" w:rsidTr="006031D2">
        <w:trPr>
          <w:trHeight w:val="15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511C9602"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Management of Diabetes: A handbook for general practice. RACGP 2020</w:t>
            </w:r>
          </w:p>
        </w:tc>
        <w:tc>
          <w:tcPr>
            <w:tcW w:w="1387" w:type="dxa"/>
            <w:tcBorders>
              <w:top w:val="nil"/>
              <w:left w:val="nil"/>
              <w:bottom w:val="single" w:sz="4" w:space="0" w:color="AEAAAA"/>
              <w:right w:val="single" w:sz="4" w:space="0" w:color="AEAAAA"/>
            </w:tcBorders>
            <w:shd w:val="clear" w:color="auto" w:fill="auto"/>
            <w:vAlign w:val="bottom"/>
            <w:hideMark/>
          </w:tcPr>
          <w:p w14:paraId="50B39AD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NHMRC levels of evidence and grades of recommendation (2009–16)</w:t>
            </w:r>
          </w:p>
        </w:tc>
        <w:tc>
          <w:tcPr>
            <w:tcW w:w="1843" w:type="dxa"/>
            <w:tcBorders>
              <w:top w:val="nil"/>
              <w:left w:val="nil"/>
              <w:bottom w:val="single" w:sz="4" w:space="0" w:color="AEAAAA"/>
              <w:right w:val="single" w:sz="4" w:space="0" w:color="AEAAAA"/>
            </w:tcBorders>
            <w:shd w:val="clear" w:color="000000" w:fill="FFFFFF"/>
            <w:vAlign w:val="bottom"/>
            <w:hideMark/>
          </w:tcPr>
          <w:p w14:paraId="1547712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FFFFFF"/>
            <w:vAlign w:val="bottom"/>
            <w:hideMark/>
          </w:tcPr>
          <w:p w14:paraId="70CD09E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Postnatal education and support are important in preventing or delaying the onset of diabetes in the future, and women should be encouraged to attend postnatal testing</w:t>
            </w:r>
          </w:p>
        </w:tc>
        <w:tc>
          <w:tcPr>
            <w:tcW w:w="1701" w:type="dxa"/>
            <w:tcBorders>
              <w:top w:val="nil"/>
              <w:left w:val="nil"/>
              <w:bottom w:val="single" w:sz="4" w:space="0" w:color="AEAAAA"/>
              <w:right w:val="single" w:sz="4" w:space="0" w:color="AEAAAA"/>
            </w:tcBorders>
            <w:shd w:val="clear" w:color="000000" w:fill="FFFFFF"/>
            <w:vAlign w:val="bottom"/>
            <w:hideMark/>
          </w:tcPr>
          <w:p w14:paraId="0503001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F26A24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Consensus</w:t>
            </w:r>
          </w:p>
        </w:tc>
        <w:tc>
          <w:tcPr>
            <w:tcW w:w="1247" w:type="dxa"/>
            <w:tcBorders>
              <w:top w:val="nil"/>
              <w:left w:val="nil"/>
              <w:bottom w:val="single" w:sz="4" w:space="0" w:color="AEAAAA"/>
              <w:right w:val="single" w:sz="4" w:space="0" w:color="AEAAAA"/>
            </w:tcBorders>
            <w:shd w:val="clear" w:color="000000" w:fill="FFFFFF"/>
            <w:vAlign w:val="bottom"/>
            <w:hideMark/>
          </w:tcPr>
          <w:p w14:paraId="682B912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FFFFFF"/>
            <w:vAlign w:val="bottom"/>
            <w:hideMark/>
          </w:tcPr>
          <w:p w14:paraId="6A6C2A1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NHMRC 2019 - National evidence-based guideline for case detection and diagnosis of type 2 diabetes. </w:t>
            </w:r>
          </w:p>
        </w:tc>
      </w:tr>
      <w:tr w:rsidR="00DA5F7E" w:rsidRPr="00EC7A17" w14:paraId="1CD9B253" w14:textId="77777777" w:rsidTr="006031D2">
        <w:trPr>
          <w:trHeight w:val="1315"/>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355D98A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62B5777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66B5BAD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FFFFFF"/>
            <w:vAlign w:val="bottom"/>
            <w:hideMark/>
          </w:tcPr>
          <w:p w14:paraId="64CCDDE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should have a 75 g 2h OGTT, preferably at 6–12 weeks postpartum, with classification according to World Health Organization criteria.</w:t>
            </w:r>
          </w:p>
        </w:tc>
        <w:tc>
          <w:tcPr>
            <w:tcW w:w="1701" w:type="dxa"/>
            <w:tcBorders>
              <w:top w:val="nil"/>
              <w:left w:val="nil"/>
              <w:bottom w:val="single" w:sz="4" w:space="0" w:color="AEAAAA"/>
              <w:right w:val="single" w:sz="4" w:space="0" w:color="AEAAAA"/>
            </w:tcBorders>
            <w:shd w:val="clear" w:color="000000" w:fill="FFFFFF"/>
            <w:vAlign w:val="bottom"/>
            <w:hideMark/>
          </w:tcPr>
          <w:p w14:paraId="226A026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7EAB2D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Consensus</w:t>
            </w:r>
          </w:p>
        </w:tc>
        <w:tc>
          <w:tcPr>
            <w:tcW w:w="1247" w:type="dxa"/>
            <w:tcBorders>
              <w:top w:val="nil"/>
              <w:left w:val="nil"/>
              <w:bottom w:val="single" w:sz="4" w:space="0" w:color="AEAAAA"/>
              <w:right w:val="single" w:sz="4" w:space="0" w:color="AEAAAA"/>
            </w:tcBorders>
            <w:shd w:val="clear" w:color="000000" w:fill="FFFFFF"/>
            <w:vAlign w:val="bottom"/>
            <w:hideMark/>
          </w:tcPr>
          <w:p w14:paraId="61DC776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FFFFFF"/>
            <w:vAlign w:val="bottom"/>
            <w:hideMark/>
          </w:tcPr>
          <w:p w14:paraId="61DE010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ADIPS 2014 Consensus Guidelines</w:t>
            </w:r>
          </w:p>
        </w:tc>
      </w:tr>
      <w:tr w:rsidR="00DA5F7E" w:rsidRPr="00EC7A17" w14:paraId="6F2F1321" w14:textId="77777777" w:rsidTr="006031D2">
        <w:trPr>
          <w:trHeight w:val="71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669AD2A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5C90027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1BBC93F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FFFFFF"/>
            <w:vAlign w:val="bottom"/>
            <w:hideMark/>
          </w:tcPr>
          <w:p w14:paraId="2C85055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If results are normal, conduct a FBG and HbA1c test every 3 years. </w:t>
            </w:r>
          </w:p>
        </w:tc>
        <w:tc>
          <w:tcPr>
            <w:tcW w:w="1701" w:type="dxa"/>
            <w:tcBorders>
              <w:top w:val="nil"/>
              <w:left w:val="nil"/>
              <w:bottom w:val="single" w:sz="4" w:space="0" w:color="AEAAAA"/>
              <w:right w:val="single" w:sz="4" w:space="0" w:color="AEAAAA"/>
            </w:tcBorders>
            <w:shd w:val="clear" w:color="000000" w:fill="FFFFFF"/>
            <w:vAlign w:val="bottom"/>
            <w:hideMark/>
          </w:tcPr>
          <w:p w14:paraId="062A53D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20E011C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w:t>
            </w:r>
          </w:p>
        </w:tc>
        <w:tc>
          <w:tcPr>
            <w:tcW w:w="1247" w:type="dxa"/>
            <w:tcBorders>
              <w:top w:val="nil"/>
              <w:left w:val="nil"/>
              <w:bottom w:val="single" w:sz="4" w:space="0" w:color="AEAAAA"/>
              <w:right w:val="single" w:sz="4" w:space="0" w:color="AEAAAA"/>
            </w:tcBorders>
            <w:shd w:val="clear" w:color="000000" w:fill="FFFFFF"/>
            <w:vAlign w:val="bottom"/>
            <w:hideMark/>
          </w:tcPr>
          <w:p w14:paraId="4F17375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Low </w:t>
            </w:r>
          </w:p>
        </w:tc>
        <w:tc>
          <w:tcPr>
            <w:tcW w:w="1559" w:type="dxa"/>
            <w:tcBorders>
              <w:top w:val="nil"/>
              <w:left w:val="nil"/>
              <w:bottom w:val="single" w:sz="4" w:space="0" w:color="AEAAAA"/>
              <w:right w:val="single" w:sz="4" w:space="0" w:color="AEAAAA"/>
            </w:tcBorders>
            <w:shd w:val="clear" w:color="000000" w:fill="FFFFFF"/>
            <w:vAlign w:val="bottom"/>
            <w:hideMark/>
          </w:tcPr>
          <w:p w14:paraId="48B1FC7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NHMRC 2009</w:t>
            </w:r>
          </w:p>
        </w:tc>
      </w:tr>
      <w:tr w:rsidR="00DA5F7E" w:rsidRPr="00EC7A17" w14:paraId="7A0A9025" w14:textId="77777777" w:rsidTr="006031D2">
        <w:trPr>
          <w:trHeight w:val="776"/>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7BFDD82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5459C05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123556D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FFFFFF"/>
            <w:vAlign w:val="bottom"/>
            <w:hideMark/>
          </w:tcPr>
          <w:p w14:paraId="2350A87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contemplating another pregnancy should have an OGTT annually</w:t>
            </w:r>
          </w:p>
        </w:tc>
        <w:tc>
          <w:tcPr>
            <w:tcW w:w="1701" w:type="dxa"/>
            <w:tcBorders>
              <w:top w:val="nil"/>
              <w:left w:val="nil"/>
              <w:bottom w:val="single" w:sz="4" w:space="0" w:color="AEAAAA"/>
              <w:right w:val="single" w:sz="4" w:space="0" w:color="AEAAAA"/>
            </w:tcBorders>
            <w:shd w:val="clear" w:color="000000" w:fill="FFFFFF"/>
            <w:vAlign w:val="bottom"/>
            <w:hideMark/>
          </w:tcPr>
          <w:p w14:paraId="685C49A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3781824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w:t>
            </w:r>
          </w:p>
        </w:tc>
        <w:tc>
          <w:tcPr>
            <w:tcW w:w="1247" w:type="dxa"/>
            <w:tcBorders>
              <w:top w:val="nil"/>
              <w:left w:val="nil"/>
              <w:bottom w:val="single" w:sz="4" w:space="0" w:color="AEAAAA"/>
              <w:right w:val="single" w:sz="4" w:space="0" w:color="AEAAAA"/>
            </w:tcBorders>
            <w:shd w:val="clear" w:color="000000" w:fill="FFFFFF"/>
            <w:vAlign w:val="bottom"/>
            <w:hideMark/>
          </w:tcPr>
          <w:p w14:paraId="7E6EA62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w:t>
            </w:r>
          </w:p>
        </w:tc>
        <w:tc>
          <w:tcPr>
            <w:tcW w:w="1559" w:type="dxa"/>
            <w:tcBorders>
              <w:top w:val="nil"/>
              <w:left w:val="nil"/>
              <w:bottom w:val="single" w:sz="4" w:space="0" w:color="AEAAAA"/>
              <w:right w:val="single" w:sz="4" w:space="0" w:color="AEAAAA"/>
            </w:tcBorders>
            <w:shd w:val="clear" w:color="000000" w:fill="FFFFFF"/>
            <w:vAlign w:val="bottom"/>
            <w:hideMark/>
          </w:tcPr>
          <w:p w14:paraId="75E8AB8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ADIPS 2014 Consensus Guidelines</w:t>
            </w:r>
          </w:p>
        </w:tc>
      </w:tr>
      <w:tr w:rsidR="00DA5F7E" w:rsidRPr="00EC7A17" w14:paraId="76682ABB" w14:textId="77777777" w:rsidTr="006031D2">
        <w:trPr>
          <w:trHeight w:val="1754"/>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0248DDB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FFFFFF"/>
            <w:vAlign w:val="bottom"/>
            <w:hideMark/>
          </w:tcPr>
          <w:p w14:paraId="406F971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1403473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FFFFFF"/>
            <w:vAlign w:val="bottom"/>
            <w:hideMark/>
          </w:tcPr>
          <w:p w14:paraId="5CD0B46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with IGT/IFG should be referred to lifestyle intervention programs to: </w:t>
            </w:r>
            <w:r w:rsidRPr="00EC7A17">
              <w:rPr>
                <w:rFonts w:ascii="Times New Roman" w:eastAsia="Times New Roman" w:hAnsi="Times New Roman" w:cs="Times New Roman"/>
                <w:color w:val="000000"/>
                <w:lang w:eastAsia="en-NZ"/>
              </w:rPr>
              <w:br/>
              <w:t xml:space="preserve">• achieve and maintain a 7% reduction in weight </w:t>
            </w:r>
            <w:r w:rsidRPr="00EC7A17">
              <w:rPr>
                <w:rFonts w:ascii="Times New Roman" w:eastAsia="Times New Roman" w:hAnsi="Times New Roman" w:cs="Times New Roman"/>
                <w:color w:val="000000"/>
                <w:lang w:eastAsia="en-NZ"/>
              </w:rPr>
              <w:br/>
              <w:t>• increase moderate-intensity physical activity to at least 150 minutes per week</w:t>
            </w:r>
          </w:p>
        </w:tc>
        <w:tc>
          <w:tcPr>
            <w:tcW w:w="1701" w:type="dxa"/>
            <w:tcBorders>
              <w:top w:val="nil"/>
              <w:left w:val="nil"/>
              <w:bottom w:val="single" w:sz="4" w:space="0" w:color="AEAAAA"/>
              <w:right w:val="single" w:sz="4" w:space="0" w:color="AEAAAA"/>
            </w:tcBorders>
            <w:shd w:val="clear" w:color="000000" w:fill="FFFFFF"/>
            <w:vAlign w:val="bottom"/>
            <w:hideMark/>
          </w:tcPr>
          <w:p w14:paraId="4DA55A3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B839DF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w:t>
            </w:r>
          </w:p>
        </w:tc>
        <w:tc>
          <w:tcPr>
            <w:tcW w:w="1247" w:type="dxa"/>
            <w:tcBorders>
              <w:top w:val="nil"/>
              <w:left w:val="nil"/>
              <w:bottom w:val="single" w:sz="4" w:space="0" w:color="AEAAAA"/>
              <w:right w:val="single" w:sz="4" w:space="0" w:color="AEAAAA"/>
            </w:tcBorders>
            <w:shd w:val="clear" w:color="000000" w:fill="FFFFFF"/>
            <w:vAlign w:val="bottom"/>
            <w:hideMark/>
          </w:tcPr>
          <w:p w14:paraId="634F00D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FFFFFF"/>
            <w:vAlign w:val="bottom"/>
            <w:hideMark/>
          </w:tcPr>
          <w:p w14:paraId="68E00D3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ADA 2019</w:t>
            </w:r>
          </w:p>
        </w:tc>
      </w:tr>
      <w:tr w:rsidR="00DA5F7E" w:rsidRPr="00EC7A17" w14:paraId="27BFCF8E" w14:textId="77777777" w:rsidTr="006031D2">
        <w:trPr>
          <w:trHeight w:val="1754"/>
        </w:trPr>
        <w:tc>
          <w:tcPr>
            <w:tcW w:w="1727" w:type="dxa"/>
            <w:tcBorders>
              <w:top w:val="nil"/>
              <w:left w:val="single" w:sz="4" w:space="0" w:color="AEAAAA"/>
              <w:bottom w:val="single" w:sz="4" w:space="0" w:color="AEAAAA"/>
              <w:right w:val="single" w:sz="4" w:space="0" w:color="AEAAAA"/>
            </w:tcBorders>
            <w:shd w:val="clear" w:color="000000" w:fill="FFFFFF"/>
            <w:vAlign w:val="bottom"/>
          </w:tcPr>
          <w:p w14:paraId="153C3EC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387" w:type="dxa"/>
            <w:tcBorders>
              <w:top w:val="nil"/>
              <w:left w:val="nil"/>
              <w:bottom w:val="single" w:sz="4" w:space="0" w:color="AEAAAA"/>
              <w:right w:val="single" w:sz="4" w:space="0" w:color="AEAAAA"/>
            </w:tcBorders>
            <w:shd w:val="clear" w:color="000000" w:fill="FFFFFF"/>
            <w:vAlign w:val="bottom"/>
          </w:tcPr>
          <w:p w14:paraId="4340E8B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000000" w:fill="FFFFFF"/>
            <w:vAlign w:val="bottom"/>
          </w:tcPr>
          <w:p w14:paraId="2C2C12C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FFFFFF"/>
            <w:vAlign w:val="bottom"/>
          </w:tcPr>
          <w:p w14:paraId="31D8A6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In women with GDM, discuss the benefits of breastfeeding in reducing the risk of the woman developing type 2 diabetes in the future</w:t>
            </w:r>
          </w:p>
        </w:tc>
        <w:tc>
          <w:tcPr>
            <w:tcW w:w="1701" w:type="dxa"/>
            <w:tcBorders>
              <w:top w:val="nil"/>
              <w:left w:val="nil"/>
              <w:bottom w:val="single" w:sz="4" w:space="0" w:color="AEAAAA"/>
              <w:right w:val="single" w:sz="4" w:space="0" w:color="AEAAAA"/>
            </w:tcBorders>
            <w:shd w:val="clear" w:color="000000" w:fill="FFFFFF"/>
            <w:vAlign w:val="bottom"/>
          </w:tcPr>
          <w:p w14:paraId="5F80BF8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FFFFFF"/>
            <w:vAlign w:val="bottom"/>
          </w:tcPr>
          <w:p w14:paraId="694174D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tcPr>
          <w:p w14:paraId="0F2C362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tcPr>
          <w:p w14:paraId="2E26F63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Department of Health. Clinical practice guidelines: Pregnancy care. 2019.</w:t>
            </w:r>
          </w:p>
        </w:tc>
      </w:tr>
      <w:tr w:rsidR="00DA5F7E" w:rsidRPr="00EC7A17" w14:paraId="3A5D2948" w14:textId="77777777" w:rsidTr="006031D2">
        <w:trPr>
          <w:trHeight w:val="15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048A49F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SEMDSA 2017 Guidelines for the Management of Type 2 diabetes mellitus</w:t>
            </w:r>
          </w:p>
        </w:tc>
        <w:tc>
          <w:tcPr>
            <w:tcW w:w="1387" w:type="dxa"/>
            <w:tcBorders>
              <w:top w:val="nil"/>
              <w:left w:val="nil"/>
              <w:bottom w:val="single" w:sz="4" w:space="0" w:color="AEAAAA"/>
              <w:right w:val="single" w:sz="4" w:space="0" w:color="AEAAAA"/>
            </w:tcBorders>
            <w:shd w:val="clear" w:color="auto" w:fill="E7E6E6" w:themeFill="background2"/>
            <w:vAlign w:val="bottom"/>
            <w:hideMark/>
          </w:tcPr>
          <w:p w14:paraId="48433D6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Strength of Recommendations Taxonomy for grading of recommendations (SORT) 2004</w:t>
            </w:r>
          </w:p>
        </w:tc>
        <w:tc>
          <w:tcPr>
            <w:tcW w:w="1843" w:type="dxa"/>
            <w:tcBorders>
              <w:top w:val="nil"/>
              <w:left w:val="nil"/>
              <w:bottom w:val="single" w:sz="4" w:space="0" w:color="AEAAAA"/>
              <w:right w:val="single" w:sz="4" w:space="0" w:color="AEAAAA"/>
            </w:tcBorders>
            <w:shd w:val="clear" w:color="000000" w:fill="E7E6E6"/>
            <w:vAlign w:val="bottom"/>
            <w:hideMark/>
          </w:tcPr>
          <w:p w14:paraId="569666C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hideMark/>
          </w:tcPr>
          <w:p w14:paraId="62F12D5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All patients with hyperglycaemia in pregnancy and normoglycaemia post-delivery should be reassessed with a 2-hour OGTT at 6 weeks postpartum.</w:t>
            </w:r>
          </w:p>
        </w:tc>
        <w:tc>
          <w:tcPr>
            <w:tcW w:w="1701" w:type="dxa"/>
            <w:tcBorders>
              <w:top w:val="nil"/>
              <w:left w:val="nil"/>
              <w:bottom w:val="single" w:sz="4" w:space="0" w:color="AEAAAA"/>
              <w:right w:val="single" w:sz="4" w:space="0" w:color="AEAAAA"/>
            </w:tcBorders>
            <w:shd w:val="clear" w:color="000000" w:fill="E7E6E6"/>
            <w:vAlign w:val="bottom"/>
            <w:hideMark/>
          </w:tcPr>
          <w:p w14:paraId="59654F0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000000" w:fill="E7E6E6"/>
            <w:vAlign w:val="bottom"/>
            <w:hideMark/>
          </w:tcPr>
          <w:p w14:paraId="1E95930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Grade A</w:t>
            </w:r>
          </w:p>
        </w:tc>
        <w:tc>
          <w:tcPr>
            <w:tcW w:w="1247" w:type="dxa"/>
            <w:tcBorders>
              <w:top w:val="nil"/>
              <w:left w:val="nil"/>
              <w:bottom w:val="single" w:sz="4" w:space="0" w:color="AEAAAA"/>
              <w:right w:val="single" w:sz="4" w:space="0" w:color="AEAAAA"/>
            </w:tcBorders>
            <w:shd w:val="clear" w:color="000000" w:fill="E7E6E6"/>
            <w:vAlign w:val="bottom"/>
            <w:hideMark/>
          </w:tcPr>
          <w:p w14:paraId="6B35C14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High </w:t>
            </w:r>
          </w:p>
        </w:tc>
        <w:tc>
          <w:tcPr>
            <w:tcW w:w="1559" w:type="dxa"/>
            <w:tcBorders>
              <w:top w:val="nil"/>
              <w:left w:val="nil"/>
              <w:bottom w:val="single" w:sz="4" w:space="0" w:color="AEAAAA"/>
              <w:right w:val="single" w:sz="4" w:space="0" w:color="AEAAAA"/>
            </w:tcBorders>
            <w:shd w:val="clear" w:color="000000" w:fill="E7E6E6"/>
            <w:vAlign w:val="bottom"/>
            <w:hideMark/>
          </w:tcPr>
          <w:p w14:paraId="08442C1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15C69365"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305735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2326B5B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F14D5B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7D5695F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 Annual screening for diabetes should be performed if the result is normal with HbA1C test</w:t>
            </w:r>
          </w:p>
        </w:tc>
        <w:tc>
          <w:tcPr>
            <w:tcW w:w="1701" w:type="dxa"/>
            <w:tcBorders>
              <w:top w:val="nil"/>
              <w:left w:val="nil"/>
              <w:bottom w:val="single" w:sz="4" w:space="0" w:color="AEAAAA"/>
              <w:right w:val="single" w:sz="4" w:space="0" w:color="AEAAAA"/>
            </w:tcBorders>
            <w:shd w:val="clear" w:color="000000" w:fill="E7E6E6"/>
            <w:vAlign w:val="bottom"/>
            <w:hideMark/>
          </w:tcPr>
          <w:p w14:paraId="7DC49E3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000000" w:fill="E7E6E6"/>
            <w:vAlign w:val="bottom"/>
            <w:hideMark/>
          </w:tcPr>
          <w:p w14:paraId="7AF7854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Grade B</w:t>
            </w:r>
          </w:p>
        </w:tc>
        <w:tc>
          <w:tcPr>
            <w:tcW w:w="1247" w:type="dxa"/>
            <w:tcBorders>
              <w:top w:val="nil"/>
              <w:left w:val="nil"/>
              <w:bottom w:val="single" w:sz="4" w:space="0" w:color="AEAAAA"/>
              <w:right w:val="single" w:sz="4" w:space="0" w:color="AEAAAA"/>
            </w:tcBorders>
            <w:shd w:val="clear" w:color="000000" w:fill="E7E6E6"/>
            <w:vAlign w:val="bottom"/>
            <w:hideMark/>
          </w:tcPr>
          <w:p w14:paraId="04C06C5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Moderate</w:t>
            </w:r>
          </w:p>
        </w:tc>
        <w:tc>
          <w:tcPr>
            <w:tcW w:w="1559" w:type="dxa"/>
            <w:tcBorders>
              <w:top w:val="nil"/>
              <w:left w:val="nil"/>
              <w:bottom w:val="single" w:sz="4" w:space="0" w:color="AEAAAA"/>
              <w:right w:val="single" w:sz="4" w:space="0" w:color="AEAAAA"/>
            </w:tcBorders>
            <w:shd w:val="clear" w:color="000000" w:fill="E7E6E6"/>
            <w:vAlign w:val="bottom"/>
            <w:hideMark/>
          </w:tcPr>
          <w:p w14:paraId="6508984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2A79726C" w14:textId="77777777" w:rsidTr="006031D2">
        <w:trPr>
          <w:trHeight w:val="1064"/>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7E11349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751CBB0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6A402B1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3AC24E6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Persons with IFG/IGT must be screened for other cardiovascular risk factors, including metabolic syndrome. These risk factors must be managed optimally.</w:t>
            </w:r>
          </w:p>
        </w:tc>
        <w:tc>
          <w:tcPr>
            <w:tcW w:w="1701" w:type="dxa"/>
            <w:tcBorders>
              <w:top w:val="nil"/>
              <w:left w:val="nil"/>
              <w:bottom w:val="single" w:sz="4" w:space="0" w:color="AEAAAA"/>
              <w:right w:val="single" w:sz="4" w:space="0" w:color="AEAAAA"/>
            </w:tcBorders>
            <w:shd w:val="clear" w:color="000000" w:fill="E7E6E6"/>
            <w:vAlign w:val="bottom"/>
            <w:hideMark/>
          </w:tcPr>
          <w:p w14:paraId="4B46839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000000" w:fill="E7E6E6"/>
            <w:vAlign w:val="bottom"/>
            <w:hideMark/>
          </w:tcPr>
          <w:p w14:paraId="6B33C85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Grade A</w:t>
            </w:r>
          </w:p>
        </w:tc>
        <w:tc>
          <w:tcPr>
            <w:tcW w:w="1247" w:type="dxa"/>
            <w:tcBorders>
              <w:top w:val="nil"/>
              <w:left w:val="nil"/>
              <w:bottom w:val="single" w:sz="4" w:space="0" w:color="AEAAAA"/>
              <w:right w:val="single" w:sz="4" w:space="0" w:color="AEAAAA"/>
            </w:tcBorders>
            <w:shd w:val="clear" w:color="000000" w:fill="E7E6E6"/>
            <w:vAlign w:val="bottom"/>
            <w:hideMark/>
          </w:tcPr>
          <w:p w14:paraId="3C9AB00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High </w:t>
            </w:r>
          </w:p>
        </w:tc>
        <w:tc>
          <w:tcPr>
            <w:tcW w:w="1559" w:type="dxa"/>
            <w:tcBorders>
              <w:top w:val="nil"/>
              <w:left w:val="nil"/>
              <w:bottom w:val="single" w:sz="4" w:space="0" w:color="AEAAAA"/>
              <w:right w:val="single" w:sz="4" w:space="0" w:color="AEAAAA"/>
            </w:tcBorders>
            <w:shd w:val="clear" w:color="000000" w:fill="E7E6E6"/>
            <w:vAlign w:val="bottom"/>
            <w:hideMark/>
          </w:tcPr>
          <w:p w14:paraId="15604D1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7F580FC2"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0276CA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537F3CB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53485B32"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hideMark/>
          </w:tcPr>
          <w:p w14:paraId="19DF618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Breastfeeding should be encouraged wherever possible.</w:t>
            </w:r>
          </w:p>
        </w:tc>
        <w:tc>
          <w:tcPr>
            <w:tcW w:w="1701" w:type="dxa"/>
            <w:tcBorders>
              <w:top w:val="nil"/>
              <w:left w:val="nil"/>
              <w:bottom w:val="single" w:sz="4" w:space="0" w:color="AEAAAA"/>
              <w:right w:val="single" w:sz="4" w:space="0" w:color="AEAAAA"/>
            </w:tcBorders>
            <w:shd w:val="clear" w:color="000000" w:fill="E7E6E6"/>
            <w:vAlign w:val="bottom"/>
            <w:hideMark/>
          </w:tcPr>
          <w:p w14:paraId="29AD8C7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01F2F7A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611327D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36EB639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5CED044E"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E7E6E6"/>
            <w:vAlign w:val="bottom"/>
          </w:tcPr>
          <w:p w14:paraId="7061945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387" w:type="dxa"/>
            <w:tcBorders>
              <w:top w:val="nil"/>
              <w:left w:val="nil"/>
              <w:bottom w:val="single" w:sz="4" w:space="0" w:color="AEAAAA"/>
              <w:right w:val="single" w:sz="4" w:space="0" w:color="AEAAAA"/>
            </w:tcBorders>
            <w:shd w:val="clear" w:color="000000" w:fill="E7E6E6"/>
            <w:vAlign w:val="bottom"/>
          </w:tcPr>
          <w:p w14:paraId="6A859C9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p>
        </w:tc>
        <w:tc>
          <w:tcPr>
            <w:tcW w:w="1843" w:type="dxa"/>
            <w:tcBorders>
              <w:top w:val="nil"/>
              <w:left w:val="nil"/>
              <w:bottom w:val="single" w:sz="4" w:space="0" w:color="AEAAAA"/>
              <w:right w:val="single" w:sz="4" w:space="0" w:color="AEAAAA"/>
            </w:tcBorders>
            <w:shd w:val="clear" w:color="000000" w:fill="E7E6E6"/>
            <w:vAlign w:val="bottom"/>
          </w:tcPr>
          <w:p w14:paraId="22D5EB02"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000000" w:fill="E7E6E6"/>
            <w:vAlign w:val="bottom"/>
          </w:tcPr>
          <w:p w14:paraId="03A5798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Contraception should be discussed and implemented. Most forms of contraception are safe and effective in women with diabetes.</w:t>
            </w:r>
          </w:p>
        </w:tc>
        <w:tc>
          <w:tcPr>
            <w:tcW w:w="1701" w:type="dxa"/>
            <w:tcBorders>
              <w:top w:val="nil"/>
              <w:left w:val="nil"/>
              <w:bottom w:val="single" w:sz="4" w:space="0" w:color="AEAAAA"/>
              <w:right w:val="single" w:sz="4" w:space="0" w:color="AEAAAA"/>
            </w:tcBorders>
            <w:shd w:val="clear" w:color="000000" w:fill="E7E6E6"/>
            <w:vAlign w:val="bottom"/>
          </w:tcPr>
          <w:p w14:paraId="7E33122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tcPr>
          <w:p w14:paraId="084CE05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tcPr>
          <w:p w14:paraId="0846AEC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tcPr>
          <w:p w14:paraId="1AAC3EA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23AFB372" w14:textId="77777777" w:rsidTr="006031D2">
        <w:trPr>
          <w:trHeight w:val="1281"/>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0BCB0A8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076020A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0DD2972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E7E6E6"/>
            <w:vAlign w:val="bottom"/>
            <w:hideMark/>
          </w:tcPr>
          <w:p w14:paraId="62FE0BE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Consider metformin for individuals who have deteriorating FPG or 2-h postprandial after 6 months, who may or may not have participated in an intensive lifestyle intervention programme.</w:t>
            </w:r>
          </w:p>
        </w:tc>
        <w:tc>
          <w:tcPr>
            <w:tcW w:w="1701" w:type="dxa"/>
            <w:tcBorders>
              <w:top w:val="nil"/>
              <w:left w:val="nil"/>
              <w:bottom w:val="single" w:sz="4" w:space="0" w:color="AEAAAA"/>
              <w:right w:val="single" w:sz="4" w:space="0" w:color="AEAAAA"/>
            </w:tcBorders>
            <w:shd w:val="clear" w:color="000000" w:fill="E7E6E6"/>
            <w:vAlign w:val="bottom"/>
            <w:hideMark/>
          </w:tcPr>
          <w:p w14:paraId="471CBC5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3471703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Grade A </w:t>
            </w:r>
          </w:p>
        </w:tc>
        <w:tc>
          <w:tcPr>
            <w:tcW w:w="1247" w:type="dxa"/>
            <w:tcBorders>
              <w:top w:val="nil"/>
              <w:left w:val="nil"/>
              <w:bottom w:val="single" w:sz="4" w:space="0" w:color="AEAAAA"/>
              <w:right w:val="single" w:sz="4" w:space="0" w:color="AEAAAA"/>
            </w:tcBorders>
            <w:shd w:val="clear" w:color="000000" w:fill="E7E6E6"/>
            <w:vAlign w:val="bottom"/>
            <w:hideMark/>
          </w:tcPr>
          <w:p w14:paraId="7EEB441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High</w:t>
            </w:r>
          </w:p>
        </w:tc>
        <w:tc>
          <w:tcPr>
            <w:tcW w:w="1559" w:type="dxa"/>
            <w:tcBorders>
              <w:top w:val="nil"/>
              <w:left w:val="nil"/>
              <w:bottom w:val="single" w:sz="4" w:space="0" w:color="AEAAAA"/>
              <w:right w:val="single" w:sz="4" w:space="0" w:color="AEAAAA"/>
            </w:tcBorders>
            <w:shd w:val="clear" w:color="000000" w:fill="E7E6E6"/>
            <w:vAlign w:val="bottom"/>
            <w:hideMark/>
          </w:tcPr>
          <w:p w14:paraId="22A15E6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RCT(1)</w:t>
            </w:r>
          </w:p>
        </w:tc>
      </w:tr>
      <w:tr w:rsidR="00DA5F7E" w:rsidRPr="00EC7A17" w14:paraId="32D3E518"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683D2F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2A410A3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C31106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auto" w:fill="E7E6E6" w:themeFill="background2"/>
            <w:vAlign w:val="bottom"/>
            <w:hideMark/>
          </w:tcPr>
          <w:p w14:paraId="214F435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Offer intensive lifestyle interventions as part of a structured programme that is based on proven principles. Use this</w:t>
            </w:r>
            <w:r w:rsidRPr="00EC7A17">
              <w:rPr>
                <w:rFonts w:ascii="Times New Roman" w:eastAsia="Times New Roman" w:hAnsi="Times New Roman" w:cs="Times New Roman"/>
                <w:color w:val="000000"/>
                <w:lang w:eastAsia="en-NZ"/>
              </w:rPr>
              <w:br/>
              <w:t>to support the individual with IGT/IFG to: 1. Achieve and maintain weight loss &gt;5%</w:t>
            </w:r>
          </w:p>
          <w:p w14:paraId="78D841F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2. Modify dietary patterns focusing on</w:t>
            </w:r>
          </w:p>
          <w:p w14:paraId="1B67924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 Reducing energy from fat to ≤30%</w:t>
            </w:r>
          </w:p>
          <w:p w14:paraId="6F625BE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 Reducing energy from saturated fat to ≤10%</w:t>
            </w:r>
          </w:p>
          <w:p w14:paraId="2B6D28D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c. Increasing fibre intake ≥15 g/1,000 kcal</w:t>
            </w:r>
          </w:p>
          <w:p w14:paraId="15C41A9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3. Increase moderate intensity physical activity ≥ 150 minutes per week</w:t>
            </w:r>
          </w:p>
        </w:tc>
        <w:tc>
          <w:tcPr>
            <w:tcW w:w="1701" w:type="dxa"/>
            <w:tcBorders>
              <w:top w:val="nil"/>
              <w:left w:val="nil"/>
              <w:bottom w:val="single" w:sz="4" w:space="0" w:color="AEAAAA"/>
              <w:right w:val="single" w:sz="4" w:space="0" w:color="AEAAAA"/>
            </w:tcBorders>
            <w:shd w:val="clear" w:color="000000" w:fill="E7E6E6"/>
            <w:vAlign w:val="bottom"/>
            <w:hideMark/>
          </w:tcPr>
          <w:p w14:paraId="1F3C06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xml:space="preserve">Strong </w:t>
            </w:r>
          </w:p>
        </w:tc>
        <w:tc>
          <w:tcPr>
            <w:tcW w:w="1163" w:type="dxa"/>
            <w:tcBorders>
              <w:top w:val="nil"/>
              <w:left w:val="nil"/>
              <w:bottom w:val="single" w:sz="4" w:space="0" w:color="AEAAAA"/>
              <w:right w:val="single" w:sz="4" w:space="0" w:color="AEAAAA"/>
            </w:tcBorders>
            <w:shd w:val="clear" w:color="000000" w:fill="E7E6E6"/>
            <w:vAlign w:val="bottom"/>
            <w:hideMark/>
          </w:tcPr>
          <w:p w14:paraId="5CCFE7C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Grade A</w:t>
            </w:r>
          </w:p>
        </w:tc>
        <w:tc>
          <w:tcPr>
            <w:tcW w:w="1247" w:type="dxa"/>
            <w:tcBorders>
              <w:top w:val="nil"/>
              <w:left w:val="nil"/>
              <w:bottom w:val="single" w:sz="4" w:space="0" w:color="AEAAAA"/>
              <w:right w:val="single" w:sz="4" w:space="0" w:color="AEAAAA"/>
            </w:tcBorders>
            <w:shd w:val="clear" w:color="000000" w:fill="E7E6E6"/>
            <w:vAlign w:val="bottom"/>
            <w:hideMark/>
          </w:tcPr>
          <w:p w14:paraId="2EFAB4A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High </w:t>
            </w:r>
          </w:p>
        </w:tc>
        <w:tc>
          <w:tcPr>
            <w:tcW w:w="1559" w:type="dxa"/>
            <w:tcBorders>
              <w:top w:val="nil"/>
              <w:left w:val="nil"/>
              <w:bottom w:val="single" w:sz="4" w:space="0" w:color="AEAAAA"/>
              <w:right w:val="single" w:sz="4" w:space="0" w:color="AEAAAA"/>
            </w:tcBorders>
            <w:shd w:val="clear" w:color="000000" w:fill="E7E6E6"/>
            <w:vAlign w:val="bottom"/>
            <w:hideMark/>
          </w:tcPr>
          <w:p w14:paraId="62F02BF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RCT(1), SR(1)</w:t>
            </w:r>
          </w:p>
        </w:tc>
      </w:tr>
      <w:tr w:rsidR="00DA5F7E" w:rsidRPr="00EC7A17" w14:paraId="41DA1350" w14:textId="77777777" w:rsidTr="006031D2">
        <w:trPr>
          <w:trHeight w:val="1712"/>
        </w:trPr>
        <w:tc>
          <w:tcPr>
            <w:tcW w:w="1727" w:type="dxa"/>
            <w:tcBorders>
              <w:top w:val="nil"/>
              <w:left w:val="single" w:sz="4" w:space="0" w:color="AEAAAA"/>
              <w:bottom w:val="single" w:sz="4" w:space="0" w:color="AEAAAA"/>
              <w:right w:val="single" w:sz="4" w:space="0" w:color="AEAAAA"/>
            </w:tcBorders>
            <w:shd w:val="clear" w:color="auto" w:fill="FFFFFF" w:themeFill="background1"/>
            <w:vAlign w:val="bottom"/>
            <w:hideMark/>
          </w:tcPr>
          <w:p w14:paraId="0608AA4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Clinical Practice Guideline for Diagnosis, Treatment and Follow-up of Diabetes Mellitus and Its Complications. Turkey 2019</w:t>
            </w:r>
          </w:p>
        </w:tc>
        <w:tc>
          <w:tcPr>
            <w:tcW w:w="1387" w:type="dxa"/>
            <w:tcBorders>
              <w:top w:val="nil"/>
              <w:left w:val="nil"/>
              <w:bottom w:val="single" w:sz="4" w:space="0" w:color="AEAAAA"/>
              <w:right w:val="single" w:sz="4" w:space="0" w:color="AEAAAA"/>
            </w:tcBorders>
            <w:shd w:val="clear" w:color="auto" w:fill="FFFFFF" w:themeFill="background1"/>
            <w:vAlign w:val="bottom"/>
            <w:hideMark/>
          </w:tcPr>
          <w:p w14:paraId="157A2AF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Society of Endocrinology and Metabolism of Turkey (SEMT) grading system</w:t>
            </w:r>
          </w:p>
        </w:tc>
        <w:tc>
          <w:tcPr>
            <w:tcW w:w="1843" w:type="dxa"/>
            <w:tcBorders>
              <w:top w:val="nil"/>
              <w:left w:val="nil"/>
              <w:bottom w:val="single" w:sz="4" w:space="0" w:color="AEAAAA"/>
              <w:right w:val="single" w:sz="4" w:space="0" w:color="AEAAAA"/>
            </w:tcBorders>
            <w:shd w:val="clear" w:color="000000" w:fill="FFFFFF"/>
            <w:vAlign w:val="bottom"/>
            <w:hideMark/>
          </w:tcPr>
          <w:p w14:paraId="0ACFC55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FFFFFF"/>
            <w:vAlign w:val="bottom"/>
            <w:hideMark/>
          </w:tcPr>
          <w:p w14:paraId="5FD157A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Postpartum blood glucose screening should be performed with 75-g OGTT between 4-12 weeks postpartum even if the values are back to normal range (A1c is also recommended for suspected cases)</w:t>
            </w:r>
          </w:p>
        </w:tc>
        <w:tc>
          <w:tcPr>
            <w:tcW w:w="1701" w:type="dxa"/>
            <w:tcBorders>
              <w:top w:val="nil"/>
              <w:left w:val="nil"/>
              <w:bottom w:val="single" w:sz="4" w:space="0" w:color="AEAAAA"/>
              <w:right w:val="single" w:sz="4" w:space="0" w:color="AEAAAA"/>
            </w:tcBorders>
            <w:shd w:val="clear" w:color="000000" w:fill="FFFFFF"/>
            <w:vAlign w:val="bottom"/>
            <w:hideMark/>
          </w:tcPr>
          <w:p w14:paraId="7D1C16A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399DE9F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D</w:t>
            </w:r>
          </w:p>
        </w:tc>
        <w:tc>
          <w:tcPr>
            <w:tcW w:w="1247" w:type="dxa"/>
            <w:tcBorders>
              <w:top w:val="nil"/>
              <w:left w:val="nil"/>
              <w:bottom w:val="single" w:sz="4" w:space="0" w:color="AEAAAA"/>
              <w:right w:val="single" w:sz="4" w:space="0" w:color="AEAAAA"/>
            </w:tcBorders>
            <w:shd w:val="clear" w:color="000000" w:fill="FFFFFF"/>
            <w:vAlign w:val="bottom"/>
            <w:hideMark/>
          </w:tcPr>
          <w:p w14:paraId="7A25BF1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FFFFFF"/>
            <w:vAlign w:val="bottom"/>
            <w:hideMark/>
          </w:tcPr>
          <w:p w14:paraId="1521843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6FFCA9C1" w14:textId="77777777" w:rsidTr="006031D2">
        <w:trPr>
          <w:trHeight w:val="569"/>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6623BC07"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03F13BD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890DAF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FFFFFF"/>
            <w:vAlign w:val="bottom"/>
            <w:hideMark/>
          </w:tcPr>
          <w:p w14:paraId="482D940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If normal, screening should be repeated every 3 years</w:t>
            </w:r>
          </w:p>
        </w:tc>
        <w:tc>
          <w:tcPr>
            <w:tcW w:w="1701" w:type="dxa"/>
            <w:tcBorders>
              <w:top w:val="nil"/>
              <w:left w:val="nil"/>
              <w:bottom w:val="single" w:sz="4" w:space="0" w:color="AEAAAA"/>
              <w:right w:val="single" w:sz="4" w:space="0" w:color="AEAAAA"/>
            </w:tcBorders>
            <w:shd w:val="clear" w:color="000000" w:fill="FFFFFF"/>
            <w:vAlign w:val="bottom"/>
            <w:hideMark/>
          </w:tcPr>
          <w:p w14:paraId="1795411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3EDDF3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D </w:t>
            </w:r>
          </w:p>
        </w:tc>
        <w:tc>
          <w:tcPr>
            <w:tcW w:w="1247" w:type="dxa"/>
            <w:tcBorders>
              <w:top w:val="nil"/>
              <w:left w:val="nil"/>
              <w:bottom w:val="single" w:sz="4" w:space="0" w:color="AEAAAA"/>
              <w:right w:val="single" w:sz="4" w:space="0" w:color="AEAAAA"/>
            </w:tcBorders>
            <w:shd w:val="clear" w:color="000000" w:fill="FFFFFF"/>
            <w:vAlign w:val="bottom"/>
            <w:hideMark/>
          </w:tcPr>
          <w:p w14:paraId="67987FF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FFFFFF"/>
            <w:vAlign w:val="bottom"/>
            <w:hideMark/>
          </w:tcPr>
          <w:p w14:paraId="6071274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100383E9"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4B093E9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3CB2C28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30DCA9A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FFFFFF"/>
            <w:vAlign w:val="bottom"/>
            <w:hideMark/>
          </w:tcPr>
          <w:p w14:paraId="1C66316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Breastfeeding should be started as soon as possible after the birth, and should be encouraged for at least 6 months</w:t>
            </w:r>
          </w:p>
        </w:tc>
        <w:tc>
          <w:tcPr>
            <w:tcW w:w="1701" w:type="dxa"/>
            <w:tcBorders>
              <w:top w:val="nil"/>
              <w:left w:val="nil"/>
              <w:bottom w:val="single" w:sz="4" w:space="0" w:color="AEAAAA"/>
              <w:right w:val="single" w:sz="4" w:space="0" w:color="AEAAAA"/>
            </w:tcBorders>
            <w:shd w:val="clear" w:color="000000" w:fill="FFFFFF"/>
            <w:vAlign w:val="bottom"/>
            <w:hideMark/>
          </w:tcPr>
          <w:p w14:paraId="178146C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58539C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D</w:t>
            </w:r>
          </w:p>
        </w:tc>
        <w:tc>
          <w:tcPr>
            <w:tcW w:w="1247" w:type="dxa"/>
            <w:tcBorders>
              <w:top w:val="nil"/>
              <w:left w:val="nil"/>
              <w:bottom w:val="single" w:sz="4" w:space="0" w:color="AEAAAA"/>
              <w:right w:val="single" w:sz="4" w:space="0" w:color="AEAAAA"/>
            </w:tcBorders>
            <w:shd w:val="clear" w:color="000000" w:fill="FFFFFF"/>
            <w:vAlign w:val="bottom"/>
            <w:hideMark/>
          </w:tcPr>
          <w:p w14:paraId="7305657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FFFFFF"/>
            <w:vAlign w:val="bottom"/>
            <w:hideMark/>
          </w:tcPr>
          <w:p w14:paraId="3111B96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304F5A19" w14:textId="77777777" w:rsidTr="006031D2">
        <w:trPr>
          <w:trHeight w:val="908"/>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71E8380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74BAD2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3E394706"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FFFFFF"/>
            <w:vAlign w:val="bottom"/>
            <w:hideMark/>
          </w:tcPr>
          <w:p w14:paraId="3666950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Nutrition counselling should be provided during the pregnancy for women diagnosed with GDM and continued in the postpartum period </w:t>
            </w:r>
          </w:p>
        </w:tc>
        <w:tc>
          <w:tcPr>
            <w:tcW w:w="1701" w:type="dxa"/>
            <w:tcBorders>
              <w:top w:val="nil"/>
              <w:left w:val="nil"/>
              <w:bottom w:val="single" w:sz="4" w:space="0" w:color="AEAAAA"/>
              <w:right w:val="single" w:sz="4" w:space="0" w:color="AEAAAA"/>
            </w:tcBorders>
            <w:shd w:val="clear" w:color="000000" w:fill="FFFFFF"/>
            <w:vAlign w:val="bottom"/>
            <w:hideMark/>
          </w:tcPr>
          <w:p w14:paraId="18713F2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4B90D22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D</w:t>
            </w:r>
          </w:p>
        </w:tc>
        <w:tc>
          <w:tcPr>
            <w:tcW w:w="1247" w:type="dxa"/>
            <w:tcBorders>
              <w:top w:val="nil"/>
              <w:left w:val="nil"/>
              <w:bottom w:val="single" w:sz="4" w:space="0" w:color="AEAAAA"/>
              <w:right w:val="single" w:sz="4" w:space="0" w:color="AEAAAA"/>
            </w:tcBorders>
            <w:shd w:val="clear" w:color="000000" w:fill="FFFFFF"/>
            <w:vAlign w:val="bottom"/>
            <w:hideMark/>
          </w:tcPr>
          <w:p w14:paraId="0DDAD5D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FFFFFF"/>
            <w:vAlign w:val="bottom"/>
            <w:hideMark/>
          </w:tcPr>
          <w:p w14:paraId="1F4B8C3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Expert consensus</w:t>
            </w:r>
          </w:p>
        </w:tc>
      </w:tr>
      <w:tr w:rsidR="00DA5F7E" w:rsidRPr="00EC7A17" w14:paraId="6B8B4FC1" w14:textId="77777777" w:rsidTr="006031D2">
        <w:trPr>
          <w:trHeight w:val="1907"/>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6F40406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 </w:t>
            </w:r>
          </w:p>
        </w:tc>
        <w:tc>
          <w:tcPr>
            <w:tcW w:w="1387" w:type="dxa"/>
            <w:tcBorders>
              <w:top w:val="nil"/>
              <w:left w:val="nil"/>
              <w:bottom w:val="single" w:sz="4" w:space="0" w:color="AEAAAA"/>
              <w:right w:val="single" w:sz="4" w:space="0" w:color="AEAAAA"/>
            </w:tcBorders>
            <w:shd w:val="clear" w:color="000000" w:fill="FFFFFF"/>
            <w:vAlign w:val="bottom"/>
            <w:hideMark/>
          </w:tcPr>
          <w:p w14:paraId="0EF4A38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A31B3A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FFFFFF"/>
            <w:vAlign w:val="bottom"/>
            <w:hideMark/>
          </w:tcPr>
          <w:p w14:paraId="3FC4F59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Individuals with GDM history and HbA1C &gt;5.7% (39 mmol/mol) should be included in lifestyle modification programs (healthy nutrition, ensuring weight loss if necessary and increasing the physical activity level to reduce risk of type 2 diabetes.</w:t>
            </w:r>
          </w:p>
        </w:tc>
        <w:tc>
          <w:tcPr>
            <w:tcW w:w="1701" w:type="dxa"/>
            <w:tcBorders>
              <w:top w:val="nil"/>
              <w:left w:val="nil"/>
              <w:bottom w:val="single" w:sz="4" w:space="0" w:color="AEAAAA"/>
              <w:right w:val="single" w:sz="4" w:space="0" w:color="AEAAAA"/>
            </w:tcBorders>
            <w:shd w:val="clear" w:color="000000" w:fill="FFFFFF"/>
            <w:vAlign w:val="bottom"/>
            <w:hideMark/>
          </w:tcPr>
          <w:p w14:paraId="020D797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9FAAAF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007EB26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178F325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2057493F"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A7F9922"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lastRenderedPageBreak/>
              <w:t>ACOG Practice Bulletin No. 180, 2017</w:t>
            </w:r>
          </w:p>
        </w:tc>
        <w:tc>
          <w:tcPr>
            <w:tcW w:w="1387" w:type="dxa"/>
            <w:tcBorders>
              <w:top w:val="nil"/>
              <w:left w:val="nil"/>
              <w:bottom w:val="single" w:sz="4" w:space="0" w:color="AEAAAA"/>
              <w:right w:val="single" w:sz="4" w:space="0" w:color="AEAAAA"/>
            </w:tcBorders>
            <w:shd w:val="clear" w:color="000000" w:fill="E7E6E6"/>
            <w:vAlign w:val="bottom"/>
            <w:hideMark/>
          </w:tcPr>
          <w:p w14:paraId="6C2292E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U.S. Preventive Services Task Force</w:t>
            </w:r>
          </w:p>
        </w:tc>
        <w:tc>
          <w:tcPr>
            <w:tcW w:w="1843" w:type="dxa"/>
            <w:tcBorders>
              <w:top w:val="nil"/>
              <w:left w:val="nil"/>
              <w:bottom w:val="single" w:sz="4" w:space="0" w:color="AEAAAA"/>
              <w:right w:val="single" w:sz="4" w:space="0" w:color="AEAAAA"/>
            </w:tcBorders>
            <w:shd w:val="clear" w:color="000000" w:fill="E7E6E6"/>
            <w:vAlign w:val="bottom"/>
            <w:hideMark/>
          </w:tcPr>
          <w:p w14:paraId="0569A04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hideMark/>
          </w:tcPr>
          <w:p w14:paraId="403766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Screening at 4–12 weeks postpartum is recommended for all women who had GDM to identify women with diabetes, IFG or IGT. </w:t>
            </w:r>
          </w:p>
        </w:tc>
        <w:tc>
          <w:tcPr>
            <w:tcW w:w="1701" w:type="dxa"/>
            <w:tcBorders>
              <w:top w:val="nil"/>
              <w:left w:val="nil"/>
              <w:bottom w:val="single" w:sz="4" w:space="0" w:color="AEAAAA"/>
              <w:right w:val="single" w:sz="4" w:space="0" w:color="AEAAAA"/>
            </w:tcBorders>
            <w:shd w:val="clear" w:color="000000" w:fill="E7E6E6"/>
            <w:vAlign w:val="bottom"/>
            <w:hideMark/>
          </w:tcPr>
          <w:p w14:paraId="2861C6E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4A19760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C (expert opinion)</w:t>
            </w:r>
          </w:p>
        </w:tc>
        <w:tc>
          <w:tcPr>
            <w:tcW w:w="1247" w:type="dxa"/>
            <w:tcBorders>
              <w:top w:val="nil"/>
              <w:left w:val="nil"/>
              <w:bottom w:val="single" w:sz="4" w:space="0" w:color="AEAAAA"/>
              <w:right w:val="single" w:sz="4" w:space="0" w:color="AEAAAA"/>
            </w:tcBorders>
            <w:shd w:val="clear" w:color="000000" w:fill="E7E6E6"/>
            <w:vAlign w:val="bottom"/>
            <w:hideMark/>
          </w:tcPr>
          <w:p w14:paraId="4DD27F2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hideMark/>
          </w:tcPr>
          <w:p w14:paraId="1F65D2D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ADA 2017</w:t>
            </w:r>
          </w:p>
        </w:tc>
      </w:tr>
      <w:tr w:rsidR="00DA5F7E" w:rsidRPr="00EC7A17" w14:paraId="2939CFBF" w14:textId="77777777" w:rsidTr="006031D2">
        <w:trPr>
          <w:trHeight w:val="761"/>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4FA1AB0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082A639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5D3C497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 Lifestyle management </w:t>
            </w:r>
          </w:p>
        </w:tc>
        <w:tc>
          <w:tcPr>
            <w:tcW w:w="3118" w:type="dxa"/>
            <w:tcBorders>
              <w:top w:val="nil"/>
              <w:left w:val="nil"/>
              <w:bottom w:val="single" w:sz="4" w:space="0" w:color="AEAAAA"/>
              <w:right w:val="single" w:sz="4" w:space="0" w:color="AEAAAA"/>
            </w:tcBorders>
            <w:shd w:val="clear" w:color="000000" w:fill="E7E6E6"/>
            <w:vAlign w:val="bottom"/>
            <w:hideMark/>
          </w:tcPr>
          <w:p w14:paraId="6CDC16E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with IFG/IGT, or diabetes should be referred for preventive or medical (metformin) therapy. Offer MNT, and weight loss and physical activity counselling as needed.</w:t>
            </w:r>
          </w:p>
        </w:tc>
        <w:tc>
          <w:tcPr>
            <w:tcW w:w="1701" w:type="dxa"/>
            <w:tcBorders>
              <w:top w:val="nil"/>
              <w:left w:val="nil"/>
              <w:bottom w:val="single" w:sz="4" w:space="0" w:color="AEAAAA"/>
              <w:right w:val="single" w:sz="4" w:space="0" w:color="AEAAAA"/>
            </w:tcBorders>
            <w:shd w:val="clear" w:color="000000" w:fill="E7E6E6"/>
            <w:vAlign w:val="bottom"/>
            <w:hideMark/>
          </w:tcPr>
          <w:p w14:paraId="526680B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4165CC1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C (expert opinion)</w:t>
            </w:r>
          </w:p>
        </w:tc>
        <w:tc>
          <w:tcPr>
            <w:tcW w:w="1247" w:type="dxa"/>
            <w:tcBorders>
              <w:top w:val="nil"/>
              <w:left w:val="nil"/>
              <w:bottom w:val="single" w:sz="4" w:space="0" w:color="AEAAAA"/>
              <w:right w:val="single" w:sz="4" w:space="0" w:color="AEAAAA"/>
            </w:tcBorders>
            <w:shd w:val="clear" w:color="000000" w:fill="E7E6E6"/>
            <w:vAlign w:val="bottom"/>
            <w:hideMark/>
          </w:tcPr>
          <w:p w14:paraId="7954859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hideMark/>
          </w:tcPr>
          <w:p w14:paraId="3A960B3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ADA 2017</w:t>
            </w:r>
          </w:p>
        </w:tc>
      </w:tr>
      <w:tr w:rsidR="00DA5F7E" w:rsidRPr="00EC7A17" w14:paraId="42106E87" w14:textId="77777777" w:rsidTr="006031D2">
        <w:trPr>
          <w:trHeight w:val="853"/>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9E388C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19035BE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30E9F22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19FAB8D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The ADA and ACOG recommend repeat testing every 1–3 years for women who had normal postpartum screening test results. In the presence of IFG or IGT, offer a yearly glycaemic assessment.</w:t>
            </w:r>
          </w:p>
        </w:tc>
        <w:tc>
          <w:tcPr>
            <w:tcW w:w="1701" w:type="dxa"/>
            <w:tcBorders>
              <w:top w:val="nil"/>
              <w:left w:val="nil"/>
              <w:bottom w:val="single" w:sz="4" w:space="0" w:color="AEAAAA"/>
              <w:right w:val="single" w:sz="4" w:space="0" w:color="AEAAAA"/>
            </w:tcBorders>
            <w:shd w:val="clear" w:color="000000" w:fill="E7E6E6"/>
            <w:vAlign w:val="bottom"/>
            <w:hideMark/>
          </w:tcPr>
          <w:p w14:paraId="4291528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5C175FF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Level C (expert opinion)</w:t>
            </w:r>
          </w:p>
        </w:tc>
        <w:tc>
          <w:tcPr>
            <w:tcW w:w="1247" w:type="dxa"/>
            <w:tcBorders>
              <w:top w:val="nil"/>
              <w:left w:val="nil"/>
              <w:bottom w:val="single" w:sz="4" w:space="0" w:color="AEAAAA"/>
              <w:right w:val="single" w:sz="4" w:space="0" w:color="AEAAAA"/>
            </w:tcBorders>
            <w:shd w:val="clear" w:color="000000" w:fill="E7E6E6"/>
            <w:vAlign w:val="bottom"/>
            <w:hideMark/>
          </w:tcPr>
          <w:p w14:paraId="07C8F0D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Very low </w:t>
            </w:r>
          </w:p>
        </w:tc>
        <w:tc>
          <w:tcPr>
            <w:tcW w:w="1559" w:type="dxa"/>
            <w:tcBorders>
              <w:top w:val="nil"/>
              <w:left w:val="nil"/>
              <w:bottom w:val="single" w:sz="4" w:space="0" w:color="AEAAAA"/>
              <w:right w:val="single" w:sz="4" w:space="0" w:color="AEAAAA"/>
            </w:tcBorders>
            <w:shd w:val="clear" w:color="000000" w:fill="E7E6E6"/>
            <w:vAlign w:val="bottom"/>
            <w:hideMark/>
          </w:tcPr>
          <w:p w14:paraId="42CCB38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ADA 2017</w:t>
            </w:r>
          </w:p>
        </w:tc>
      </w:tr>
      <w:tr w:rsidR="00DA5F7E" w:rsidRPr="00EC7A17" w14:paraId="3DCD3CAE"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0B6D102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GDM: South Asian Federation of Endocrine Societies Recommendation and Action Plan (2018)</w:t>
            </w:r>
          </w:p>
        </w:tc>
        <w:tc>
          <w:tcPr>
            <w:tcW w:w="1387" w:type="dxa"/>
            <w:tcBorders>
              <w:top w:val="nil"/>
              <w:left w:val="nil"/>
              <w:bottom w:val="single" w:sz="4" w:space="0" w:color="AEAAAA"/>
              <w:right w:val="single" w:sz="4" w:space="0" w:color="AEAAAA"/>
            </w:tcBorders>
            <w:shd w:val="clear" w:color="auto" w:fill="FFFFFF" w:themeFill="background1"/>
            <w:vAlign w:val="bottom"/>
            <w:hideMark/>
          </w:tcPr>
          <w:p w14:paraId="721088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grading system reported</w:t>
            </w:r>
          </w:p>
        </w:tc>
        <w:tc>
          <w:tcPr>
            <w:tcW w:w="1843" w:type="dxa"/>
            <w:tcBorders>
              <w:top w:val="nil"/>
              <w:left w:val="nil"/>
              <w:bottom w:val="single" w:sz="4" w:space="0" w:color="AEAAAA"/>
              <w:right w:val="single" w:sz="4" w:space="0" w:color="AEAAAA"/>
            </w:tcBorders>
            <w:shd w:val="clear" w:color="000000" w:fill="FFFFFF"/>
            <w:vAlign w:val="bottom"/>
            <w:hideMark/>
          </w:tcPr>
          <w:p w14:paraId="7F59E6A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FFFFFF"/>
            <w:vAlign w:val="bottom"/>
            <w:hideMark/>
          </w:tcPr>
          <w:p w14:paraId="36F2F04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with GDM should be screened for diabetes 6</w:t>
            </w:r>
            <w:r w:rsidRPr="00EC7A17">
              <w:rPr>
                <w:rFonts w:ascii="Times New Roman" w:eastAsia="Times New Roman" w:hAnsi="Times New Roman" w:cs="Times New Roman"/>
                <w:color w:val="000000"/>
                <w:lang w:eastAsia="en-NZ"/>
              </w:rPr>
              <w:br/>
              <w:t>weeks postpartum (linked to child immunisation) with 75g 2hour OGTT using non-pregnant OGTT criteria.</w:t>
            </w:r>
          </w:p>
        </w:tc>
        <w:tc>
          <w:tcPr>
            <w:tcW w:w="1701" w:type="dxa"/>
            <w:tcBorders>
              <w:top w:val="nil"/>
              <w:left w:val="nil"/>
              <w:bottom w:val="single" w:sz="4" w:space="0" w:color="AEAAAA"/>
              <w:right w:val="single" w:sz="4" w:space="0" w:color="AEAAAA"/>
            </w:tcBorders>
            <w:shd w:val="clear" w:color="000000" w:fill="FFFFFF"/>
            <w:vAlign w:val="bottom"/>
            <w:hideMark/>
          </w:tcPr>
          <w:p w14:paraId="20F8E2F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0728957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3AF9FD3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2374402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71722B0C" w14:textId="77777777" w:rsidTr="006031D2">
        <w:trPr>
          <w:trHeight w:val="416"/>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059DC15F"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10100B0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2845AF2"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FFFFFF"/>
            <w:vAlign w:val="bottom"/>
            <w:hideMark/>
          </w:tcPr>
          <w:p w14:paraId="3AA1C75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If blood glucose is normal, re-assessment should be done annually with 75g 2hour OGTT or HbA1C. If prediabetes, re-assessment should be done 6 monthly.</w:t>
            </w:r>
          </w:p>
        </w:tc>
        <w:tc>
          <w:tcPr>
            <w:tcW w:w="1701" w:type="dxa"/>
            <w:tcBorders>
              <w:top w:val="nil"/>
              <w:left w:val="nil"/>
              <w:bottom w:val="single" w:sz="4" w:space="0" w:color="AEAAAA"/>
              <w:right w:val="single" w:sz="4" w:space="0" w:color="AEAAAA"/>
            </w:tcBorders>
            <w:shd w:val="clear" w:color="000000" w:fill="FFFFFF"/>
            <w:vAlign w:val="bottom"/>
            <w:hideMark/>
          </w:tcPr>
          <w:p w14:paraId="6B69FF4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C72D4A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3C54FBB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234A38C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5D851C3A" w14:textId="77777777" w:rsidTr="006031D2">
        <w:trPr>
          <w:trHeight w:val="706"/>
        </w:trPr>
        <w:tc>
          <w:tcPr>
            <w:tcW w:w="1727" w:type="dxa"/>
            <w:tcBorders>
              <w:top w:val="nil"/>
              <w:left w:val="single" w:sz="4" w:space="0" w:color="AEAAAA"/>
              <w:bottom w:val="single" w:sz="4" w:space="0" w:color="AEAAAA"/>
              <w:right w:val="single" w:sz="4" w:space="0" w:color="AEAAAA"/>
            </w:tcBorders>
            <w:shd w:val="clear" w:color="000000" w:fill="FFFFFF"/>
            <w:vAlign w:val="center"/>
            <w:hideMark/>
          </w:tcPr>
          <w:p w14:paraId="43EA60FF" w14:textId="77777777" w:rsidR="00DA5F7E" w:rsidRPr="00EC7A17" w:rsidRDefault="00DA5F7E" w:rsidP="006031D2">
            <w:pPr>
              <w:spacing w:after="0" w:line="240" w:lineRule="auto"/>
              <w:jc w:val="center"/>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FFFFFF"/>
            <w:vAlign w:val="center"/>
            <w:hideMark/>
          </w:tcPr>
          <w:p w14:paraId="1197F75F" w14:textId="77777777" w:rsidR="00DA5F7E" w:rsidRPr="00EC7A17" w:rsidRDefault="00DA5F7E" w:rsidP="006031D2">
            <w:pPr>
              <w:spacing w:after="0" w:line="240" w:lineRule="auto"/>
              <w:jc w:val="center"/>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0DF9BE1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FFFFFF"/>
            <w:vAlign w:val="bottom"/>
            <w:hideMark/>
          </w:tcPr>
          <w:p w14:paraId="40FE7C9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Screening for all components of metabolic syndrome should be offered.</w:t>
            </w:r>
          </w:p>
        </w:tc>
        <w:tc>
          <w:tcPr>
            <w:tcW w:w="1701" w:type="dxa"/>
            <w:tcBorders>
              <w:top w:val="nil"/>
              <w:left w:val="nil"/>
              <w:bottom w:val="single" w:sz="4" w:space="0" w:color="AEAAAA"/>
              <w:right w:val="single" w:sz="4" w:space="0" w:color="AEAAAA"/>
            </w:tcBorders>
            <w:shd w:val="clear" w:color="000000" w:fill="FFFFFF"/>
            <w:vAlign w:val="bottom"/>
            <w:hideMark/>
          </w:tcPr>
          <w:p w14:paraId="7DFF10A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3D2E1E3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2D4B396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39E6923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6CEB4EED" w14:textId="77777777" w:rsidTr="006031D2">
        <w:trPr>
          <w:trHeight w:val="900"/>
        </w:trPr>
        <w:tc>
          <w:tcPr>
            <w:tcW w:w="1727" w:type="dxa"/>
            <w:tcBorders>
              <w:top w:val="nil"/>
              <w:left w:val="single" w:sz="4" w:space="0" w:color="AEAAAA"/>
              <w:bottom w:val="single" w:sz="4" w:space="0" w:color="AEAAAA"/>
              <w:right w:val="single" w:sz="4" w:space="0" w:color="AEAAAA"/>
            </w:tcBorders>
            <w:shd w:val="clear" w:color="000000" w:fill="FFFFFF"/>
            <w:vAlign w:val="center"/>
            <w:hideMark/>
          </w:tcPr>
          <w:p w14:paraId="5698D6C1" w14:textId="77777777" w:rsidR="00DA5F7E" w:rsidRPr="00EC7A17" w:rsidRDefault="00DA5F7E" w:rsidP="006031D2">
            <w:pPr>
              <w:spacing w:after="0" w:line="240" w:lineRule="auto"/>
              <w:jc w:val="center"/>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center"/>
            <w:hideMark/>
          </w:tcPr>
          <w:p w14:paraId="4073835A" w14:textId="77777777" w:rsidR="00DA5F7E" w:rsidRPr="00EC7A17" w:rsidRDefault="00DA5F7E" w:rsidP="006031D2">
            <w:pPr>
              <w:spacing w:after="0" w:line="240" w:lineRule="auto"/>
              <w:jc w:val="center"/>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2A82FA5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auto" w:fill="auto"/>
            <w:vAlign w:val="bottom"/>
            <w:hideMark/>
          </w:tcPr>
          <w:p w14:paraId="7DCAFC5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All mothers with history of gestational diabetes should be counselled about screening for GDM in subsequent pregnancy</w:t>
            </w:r>
          </w:p>
        </w:tc>
        <w:tc>
          <w:tcPr>
            <w:tcW w:w="1701" w:type="dxa"/>
            <w:tcBorders>
              <w:top w:val="nil"/>
              <w:left w:val="nil"/>
              <w:bottom w:val="single" w:sz="4" w:space="0" w:color="AEAAAA"/>
              <w:right w:val="single" w:sz="4" w:space="0" w:color="AEAAAA"/>
            </w:tcBorders>
            <w:shd w:val="clear" w:color="000000" w:fill="FFFFFF"/>
            <w:vAlign w:val="bottom"/>
            <w:hideMark/>
          </w:tcPr>
          <w:p w14:paraId="6F3EEDB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5C3379F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3DDA36B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777209B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7146D741" w14:textId="77777777" w:rsidTr="006031D2">
        <w:trPr>
          <w:trHeight w:val="30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1A3FC2C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1B1FF65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3439CA8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000000" w:fill="FFFFFF"/>
            <w:vAlign w:val="bottom"/>
            <w:hideMark/>
          </w:tcPr>
          <w:p w14:paraId="281BB15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After delivery at least 1 fasting and 1 post meal blood glucose before discharge should be measured in GDM patients who were managed by MNT and FBG and post meals BG should be monitored for at least 24 hours who were managed with insulin. Possibility of type 2 diabetes should be considered. If immediate post-delivery (i.e. 1-3 days) blood glucose is suggestive of DM, then should be confirmed by FBG (&gt;7 mmol/l) or post-prandial glucose (&gt;11.1mmol/l)</w:t>
            </w:r>
          </w:p>
        </w:tc>
        <w:tc>
          <w:tcPr>
            <w:tcW w:w="1701" w:type="dxa"/>
            <w:tcBorders>
              <w:top w:val="nil"/>
              <w:left w:val="nil"/>
              <w:bottom w:val="single" w:sz="4" w:space="0" w:color="AEAAAA"/>
              <w:right w:val="single" w:sz="4" w:space="0" w:color="AEAAAA"/>
            </w:tcBorders>
            <w:shd w:val="clear" w:color="000000" w:fill="FFFFFF"/>
            <w:vAlign w:val="bottom"/>
            <w:hideMark/>
          </w:tcPr>
          <w:p w14:paraId="496EA8E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3552610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34617C2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1AE57F0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7206D64A"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45BCBCC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74A38C0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414042B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FFFFFF"/>
            <w:vAlign w:val="bottom"/>
            <w:hideMark/>
          </w:tcPr>
          <w:p w14:paraId="594CFDB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Women who were on metformin can stop the medication. Those who were on low dose insulin (&lt;0.5units/kg/day) can stop insulin and glucose levels monitored. </w:t>
            </w:r>
          </w:p>
        </w:tc>
        <w:tc>
          <w:tcPr>
            <w:tcW w:w="1701" w:type="dxa"/>
            <w:tcBorders>
              <w:top w:val="nil"/>
              <w:left w:val="nil"/>
              <w:bottom w:val="single" w:sz="4" w:space="0" w:color="AEAAAA"/>
              <w:right w:val="single" w:sz="4" w:space="0" w:color="AEAAAA"/>
            </w:tcBorders>
            <w:shd w:val="clear" w:color="000000" w:fill="FFFFFF"/>
            <w:vAlign w:val="bottom"/>
            <w:hideMark/>
          </w:tcPr>
          <w:p w14:paraId="79AF148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FFFFFF"/>
            <w:vAlign w:val="bottom"/>
            <w:hideMark/>
          </w:tcPr>
          <w:p w14:paraId="4CB342D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14188DE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0D07745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04420952" w14:textId="77777777" w:rsidTr="006031D2">
        <w:trPr>
          <w:trHeight w:val="699"/>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0B57C6E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4177374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158FAB8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FFFFFF"/>
            <w:vAlign w:val="bottom"/>
            <w:hideMark/>
          </w:tcPr>
          <w:p w14:paraId="43B5327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Exclusive breast feeding is recommended as this reduces mother's and offspring's obesity and prevent development of future type 2 DM of mother and </w:t>
            </w:r>
            <w:r w:rsidRPr="00EC7A17">
              <w:rPr>
                <w:rFonts w:ascii="Times New Roman" w:eastAsia="Times New Roman" w:hAnsi="Times New Roman" w:cs="Times New Roman"/>
                <w:color w:val="000000"/>
                <w:lang w:eastAsia="en-NZ"/>
              </w:rPr>
              <w:lastRenderedPageBreak/>
              <w:t>reduces the risk of neonatal hypoglycaemia in offspring</w:t>
            </w:r>
          </w:p>
        </w:tc>
        <w:tc>
          <w:tcPr>
            <w:tcW w:w="1701" w:type="dxa"/>
            <w:tcBorders>
              <w:top w:val="nil"/>
              <w:left w:val="nil"/>
              <w:bottom w:val="single" w:sz="4" w:space="0" w:color="AEAAAA"/>
              <w:right w:val="single" w:sz="4" w:space="0" w:color="AEAAAA"/>
            </w:tcBorders>
            <w:shd w:val="clear" w:color="000000" w:fill="FFFFFF"/>
            <w:vAlign w:val="bottom"/>
            <w:hideMark/>
          </w:tcPr>
          <w:p w14:paraId="195EBF5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Strong</w:t>
            </w:r>
          </w:p>
        </w:tc>
        <w:tc>
          <w:tcPr>
            <w:tcW w:w="1163" w:type="dxa"/>
            <w:tcBorders>
              <w:top w:val="nil"/>
              <w:left w:val="nil"/>
              <w:bottom w:val="single" w:sz="4" w:space="0" w:color="AEAAAA"/>
              <w:right w:val="single" w:sz="4" w:space="0" w:color="AEAAAA"/>
            </w:tcBorders>
            <w:shd w:val="clear" w:color="000000" w:fill="FFFFFF"/>
            <w:vAlign w:val="bottom"/>
            <w:hideMark/>
          </w:tcPr>
          <w:p w14:paraId="62DEABC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1371600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7F7D480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751C41E4" w14:textId="77777777" w:rsidTr="006031D2">
        <w:trPr>
          <w:trHeight w:val="186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746C462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78CC75A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6CA4AB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Contraception</w:t>
            </w:r>
          </w:p>
        </w:tc>
        <w:tc>
          <w:tcPr>
            <w:tcW w:w="3118" w:type="dxa"/>
            <w:tcBorders>
              <w:top w:val="nil"/>
              <w:left w:val="nil"/>
              <w:bottom w:val="single" w:sz="4" w:space="0" w:color="AEAAAA"/>
              <w:right w:val="single" w:sz="4" w:space="0" w:color="AEAAAA"/>
            </w:tcBorders>
            <w:shd w:val="clear" w:color="000000" w:fill="FFFFFF"/>
            <w:vAlign w:val="bottom"/>
            <w:hideMark/>
          </w:tcPr>
          <w:p w14:paraId="29A1B14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Low dose oestrogen-progesterone can be offered for contraception. Medroxyprogesterone preparations can increase risk of vascular complications with long-term use. However, long acting levonorgestrel based systems are relatively safe. Barrier method and non-hormonal intrauterine device can be used safely in all women.</w:t>
            </w:r>
          </w:p>
        </w:tc>
        <w:tc>
          <w:tcPr>
            <w:tcW w:w="1701" w:type="dxa"/>
            <w:tcBorders>
              <w:top w:val="nil"/>
              <w:left w:val="nil"/>
              <w:bottom w:val="single" w:sz="4" w:space="0" w:color="AEAAAA"/>
              <w:right w:val="single" w:sz="4" w:space="0" w:color="AEAAAA"/>
            </w:tcBorders>
            <w:shd w:val="clear" w:color="000000" w:fill="FFFFFF"/>
            <w:vAlign w:val="bottom"/>
            <w:hideMark/>
          </w:tcPr>
          <w:p w14:paraId="3B1B370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FFFFFF"/>
            <w:vAlign w:val="bottom"/>
            <w:hideMark/>
          </w:tcPr>
          <w:p w14:paraId="1E1BDF6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2E55C7D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2BE1162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4DB26B35" w14:textId="77777777" w:rsidTr="006031D2">
        <w:trPr>
          <w:trHeight w:val="132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5818B29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468891A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0048164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auto" w:fill="auto"/>
            <w:vAlign w:val="bottom"/>
            <w:hideMark/>
          </w:tcPr>
          <w:p w14:paraId="688C33A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If the pregnancy has motivated the adoption of a healthier diet, building on these gains to support weight loss is recommended in the postpartum period.</w:t>
            </w:r>
          </w:p>
        </w:tc>
        <w:tc>
          <w:tcPr>
            <w:tcW w:w="1701" w:type="dxa"/>
            <w:tcBorders>
              <w:top w:val="nil"/>
              <w:left w:val="nil"/>
              <w:bottom w:val="single" w:sz="4" w:space="0" w:color="AEAAAA"/>
              <w:right w:val="single" w:sz="4" w:space="0" w:color="AEAAAA"/>
            </w:tcBorders>
            <w:shd w:val="clear" w:color="000000" w:fill="FFFFFF"/>
            <w:vAlign w:val="bottom"/>
            <w:hideMark/>
          </w:tcPr>
          <w:p w14:paraId="65A689E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41052AE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7E4C8EE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5A14093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3B90BCCA" w14:textId="77777777" w:rsidTr="006031D2">
        <w:trPr>
          <w:trHeight w:val="661"/>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50C79D2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14E3E2C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057F42A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auto" w:fill="auto"/>
            <w:vAlign w:val="bottom"/>
            <w:hideMark/>
          </w:tcPr>
          <w:p w14:paraId="7E2C1AF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whose test results show prediabetes should be put on either MNT alone or MNT and metformin.</w:t>
            </w:r>
          </w:p>
        </w:tc>
        <w:tc>
          <w:tcPr>
            <w:tcW w:w="1701" w:type="dxa"/>
            <w:tcBorders>
              <w:top w:val="nil"/>
              <w:left w:val="nil"/>
              <w:bottom w:val="single" w:sz="4" w:space="0" w:color="AEAAAA"/>
              <w:right w:val="single" w:sz="4" w:space="0" w:color="AEAAAA"/>
            </w:tcBorders>
            <w:shd w:val="clear" w:color="000000" w:fill="FFFFFF"/>
            <w:vAlign w:val="bottom"/>
            <w:hideMark/>
          </w:tcPr>
          <w:p w14:paraId="7D14497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0E52D69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1AFE09B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1EC6615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2DFEF5F0"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3AA7731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44F70DC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4D9402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Psychosocial care</w:t>
            </w:r>
          </w:p>
        </w:tc>
        <w:tc>
          <w:tcPr>
            <w:tcW w:w="3118" w:type="dxa"/>
            <w:tcBorders>
              <w:top w:val="nil"/>
              <w:left w:val="nil"/>
              <w:bottom w:val="single" w:sz="4" w:space="0" w:color="AEAAAA"/>
              <w:right w:val="single" w:sz="4" w:space="0" w:color="AEAAAA"/>
            </w:tcBorders>
            <w:shd w:val="clear" w:color="000000" w:fill="FFFFFF"/>
            <w:vAlign w:val="bottom"/>
            <w:hideMark/>
          </w:tcPr>
          <w:p w14:paraId="2D7EC10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Special attention should be paid to the psychological well-being of women with GDM who experience </w:t>
            </w:r>
            <w:proofErr w:type="spellStart"/>
            <w:r w:rsidRPr="00EC7A17">
              <w:rPr>
                <w:rFonts w:ascii="Times New Roman" w:eastAsia="Times New Roman" w:hAnsi="Times New Roman" w:cs="Times New Roman"/>
                <w:color w:val="000000"/>
                <w:lang w:eastAsia="en-NZ"/>
              </w:rPr>
              <w:t>fetal</w:t>
            </w:r>
            <w:proofErr w:type="spellEnd"/>
            <w:r w:rsidRPr="00EC7A17">
              <w:rPr>
                <w:rFonts w:ascii="Times New Roman" w:eastAsia="Times New Roman" w:hAnsi="Times New Roman" w:cs="Times New Roman"/>
                <w:color w:val="000000"/>
                <w:lang w:eastAsia="en-NZ"/>
              </w:rPr>
              <w:t xml:space="preserve"> loss - refer to a mental health professional as and when needed.</w:t>
            </w:r>
          </w:p>
        </w:tc>
        <w:tc>
          <w:tcPr>
            <w:tcW w:w="1701" w:type="dxa"/>
            <w:tcBorders>
              <w:top w:val="nil"/>
              <w:left w:val="nil"/>
              <w:bottom w:val="single" w:sz="4" w:space="0" w:color="AEAAAA"/>
              <w:right w:val="single" w:sz="4" w:space="0" w:color="AEAAAA"/>
            </w:tcBorders>
            <w:shd w:val="clear" w:color="000000" w:fill="FFFFFF"/>
            <w:vAlign w:val="bottom"/>
            <w:hideMark/>
          </w:tcPr>
          <w:p w14:paraId="72BF1CF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28C785F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FFFFFF"/>
            <w:vAlign w:val="bottom"/>
            <w:hideMark/>
          </w:tcPr>
          <w:p w14:paraId="096AA11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5AB35CE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48FE4D31" w14:textId="77777777" w:rsidTr="006031D2">
        <w:trPr>
          <w:trHeight w:val="1892"/>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292DB5A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lastRenderedPageBreak/>
              <w:t xml:space="preserve">Standards of Polish Society of </w:t>
            </w:r>
            <w:proofErr w:type="spellStart"/>
            <w:r w:rsidRPr="00EC7A17">
              <w:rPr>
                <w:rFonts w:ascii="Times New Roman" w:eastAsia="Times New Roman" w:hAnsi="Times New Roman" w:cs="Times New Roman"/>
                <w:b/>
                <w:bCs/>
                <w:color w:val="000000"/>
                <w:lang w:eastAsia="en-NZ"/>
              </w:rPr>
              <w:t>Gynecologists</w:t>
            </w:r>
            <w:proofErr w:type="spellEnd"/>
            <w:r w:rsidRPr="00EC7A17">
              <w:rPr>
                <w:rFonts w:ascii="Times New Roman" w:eastAsia="Times New Roman" w:hAnsi="Times New Roman" w:cs="Times New Roman"/>
                <w:b/>
                <w:bCs/>
                <w:color w:val="000000"/>
                <w:lang w:eastAsia="en-NZ"/>
              </w:rPr>
              <w:t xml:space="preserve"> &amp; Obstetricians in management of women with diabetes (2018)</w:t>
            </w:r>
          </w:p>
        </w:tc>
        <w:tc>
          <w:tcPr>
            <w:tcW w:w="1387" w:type="dxa"/>
            <w:tcBorders>
              <w:top w:val="nil"/>
              <w:left w:val="nil"/>
              <w:bottom w:val="single" w:sz="4" w:space="0" w:color="AEAAAA"/>
              <w:right w:val="single" w:sz="4" w:space="0" w:color="AEAAAA"/>
            </w:tcBorders>
            <w:shd w:val="clear" w:color="000000" w:fill="E7E6E6"/>
            <w:vAlign w:val="bottom"/>
            <w:hideMark/>
          </w:tcPr>
          <w:p w14:paraId="599DB93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grading system reported</w:t>
            </w:r>
          </w:p>
        </w:tc>
        <w:tc>
          <w:tcPr>
            <w:tcW w:w="1843" w:type="dxa"/>
            <w:tcBorders>
              <w:top w:val="nil"/>
              <w:left w:val="nil"/>
              <w:bottom w:val="single" w:sz="4" w:space="0" w:color="AEAAAA"/>
              <w:right w:val="single" w:sz="4" w:space="0" w:color="AEAAAA"/>
            </w:tcBorders>
            <w:shd w:val="clear" w:color="000000" w:fill="E7E6E6"/>
            <w:vAlign w:val="bottom"/>
            <w:hideMark/>
          </w:tcPr>
          <w:p w14:paraId="12D7DAD0"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hideMark/>
          </w:tcPr>
          <w:p w14:paraId="7DF210E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It is recommended to perform a 75g OGTT 6 weeks after delivery with the results interpreted according to WHO guidelines for the general population. </w:t>
            </w:r>
          </w:p>
        </w:tc>
        <w:tc>
          <w:tcPr>
            <w:tcW w:w="1701" w:type="dxa"/>
            <w:tcBorders>
              <w:top w:val="nil"/>
              <w:left w:val="nil"/>
              <w:bottom w:val="single" w:sz="4" w:space="0" w:color="AEAAAA"/>
              <w:right w:val="single" w:sz="4" w:space="0" w:color="AEAAAA"/>
            </w:tcBorders>
            <w:shd w:val="clear" w:color="000000" w:fill="E7E6E6"/>
            <w:vAlign w:val="bottom"/>
            <w:hideMark/>
          </w:tcPr>
          <w:p w14:paraId="4A7EBE9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7B617BF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65DCC06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60CD8F4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Guidelines on the management of diabetic patients. A position of Diabetes Poland. 2018</w:t>
            </w:r>
          </w:p>
        </w:tc>
      </w:tr>
      <w:tr w:rsidR="00DA5F7E" w:rsidRPr="00EC7A17" w14:paraId="55939A4B" w14:textId="77777777" w:rsidTr="006031D2">
        <w:trPr>
          <w:trHeight w:val="274"/>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EE425B1"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7186EFC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60A9CED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6D71837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In case of negative OGTT results, the test should be repeated annually. </w:t>
            </w:r>
          </w:p>
        </w:tc>
        <w:tc>
          <w:tcPr>
            <w:tcW w:w="1701" w:type="dxa"/>
            <w:tcBorders>
              <w:top w:val="nil"/>
              <w:left w:val="nil"/>
              <w:bottom w:val="single" w:sz="4" w:space="0" w:color="AEAAAA"/>
              <w:right w:val="single" w:sz="4" w:space="0" w:color="AEAAAA"/>
            </w:tcBorders>
            <w:shd w:val="clear" w:color="000000" w:fill="E7E6E6"/>
            <w:vAlign w:val="bottom"/>
            <w:hideMark/>
          </w:tcPr>
          <w:p w14:paraId="36CE741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2949090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71ECF80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2AF35F1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15DD4A7C" w14:textId="77777777" w:rsidTr="006031D2">
        <w:trPr>
          <w:trHeight w:val="1575"/>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1A931E2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18F81E5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01B0286E"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Immediate postpartum care </w:t>
            </w:r>
          </w:p>
        </w:tc>
        <w:tc>
          <w:tcPr>
            <w:tcW w:w="3118" w:type="dxa"/>
            <w:tcBorders>
              <w:top w:val="nil"/>
              <w:left w:val="nil"/>
              <w:bottom w:val="single" w:sz="4" w:space="0" w:color="AEAAAA"/>
              <w:right w:val="single" w:sz="4" w:space="0" w:color="AEAAAA"/>
            </w:tcBorders>
            <w:shd w:val="clear" w:color="000000" w:fill="E7E6E6"/>
            <w:vAlign w:val="bottom"/>
            <w:hideMark/>
          </w:tcPr>
          <w:p w14:paraId="5E0BA20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In cases of GDM treated with diet alone, the patient should be encouraged to self-monitor her glucose levels while fasting and 2h postprandial for a few days after childbirth. If blood glucose levels are within normal range, </w:t>
            </w:r>
            <w:proofErr w:type="spellStart"/>
            <w:r w:rsidRPr="00EC7A17">
              <w:rPr>
                <w:rFonts w:ascii="Times New Roman" w:eastAsia="Times New Roman" w:hAnsi="Times New Roman" w:cs="Times New Roman"/>
                <w:color w:val="000000"/>
                <w:lang w:eastAsia="en-NZ"/>
              </w:rPr>
              <w:t>glycemic</w:t>
            </w:r>
            <w:proofErr w:type="spellEnd"/>
            <w:r w:rsidRPr="00EC7A17">
              <w:rPr>
                <w:rFonts w:ascii="Times New Roman" w:eastAsia="Times New Roman" w:hAnsi="Times New Roman" w:cs="Times New Roman"/>
                <w:color w:val="000000"/>
                <w:lang w:eastAsia="en-NZ"/>
              </w:rPr>
              <w:t xml:space="preserve"> control can be discontinued.</w:t>
            </w:r>
          </w:p>
        </w:tc>
        <w:tc>
          <w:tcPr>
            <w:tcW w:w="1701" w:type="dxa"/>
            <w:tcBorders>
              <w:top w:val="nil"/>
              <w:left w:val="nil"/>
              <w:bottom w:val="single" w:sz="4" w:space="0" w:color="AEAAAA"/>
              <w:right w:val="single" w:sz="4" w:space="0" w:color="AEAAAA"/>
            </w:tcBorders>
            <w:shd w:val="clear" w:color="000000" w:fill="E7E6E6"/>
            <w:vAlign w:val="bottom"/>
            <w:hideMark/>
          </w:tcPr>
          <w:p w14:paraId="7F52FA5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2D5B0E1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19382F3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1B7941C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54019AD5" w14:textId="77777777" w:rsidTr="006031D2">
        <w:trPr>
          <w:trHeight w:val="162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657F2CB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5AE2849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3F05DCE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5EF8D61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In cases of GDM treated with insulin, therapy should be</w:t>
            </w:r>
            <w:r w:rsidRPr="00EC7A17">
              <w:rPr>
                <w:rFonts w:ascii="Times New Roman" w:eastAsia="Times New Roman" w:hAnsi="Times New Roman" w:cs="Times New Roman"/>
                <w:color w:val="000000"/>
                <w:lang w:eastAsia="en-NZ"/>
              </w:rPr>
              <w:br/>
              <w:t>discontinued right after delivery while glucose monitoring</w:t>
            </w:r>
            <w:r w:rsidRPr="00EC7A17">
              <w:rPr>
                <w:rFonts w:ascii="Times New Roman" w:eastAsia="Times New Roman" w:hAnsi="Times New Roman" w:cs="Times New Roman"/>
                <w:color w:val="000000"/>
                <w:lang w:eastAsia="en-NZ"/>
              </w:rPr>
              <w:br/>
              <w:t xml:space="preserve">should be performed when fasting and 2h postprandial. </w:t>
            </w:r>
          </w:p>
        </w:tc>
        <w:tc>
          <w:tcPr>
            <w:tcW w:w="1701" w:type="dxa"/>
            <w:tcBorders>
              <w:top w:val="nil"/>
              <w:left w:val="nil"/>
              <w:bottom w:val="single" w:sz="4" w:space="0" w:color="AEAAAA"/>
              <w:right w:val="single" w:sz="4" w:space="0" w:color="AEAAAA"/>
            </w:tcBorders>
            <w:shd w:val="clear" w:color="000000" w:fill="E7E6E6"/>
            <w:vAlign w:val="bottom"/>
            <w:hideMark/>
          </w:tcPr>
          <w:p w14:paraId="0B3A55C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57FA4F5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38C2D3D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25449B2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1B79CEAC" w14:textId="77777777" w:rsidTr="006031D2">
        <w:trPr>
          <w:trHeight w:val="615"/>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C9DD1E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2D8A02F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22A100EC"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hideMark/>
          </w:tcPr>
          <w:p w14:paraId="15AD17E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Patients with GDM should be encouraged and motivated to breastfeed for a minimum of 6 months.</w:t>
            </w:r>
          </w:p>
        </w:tc>
        <w:tc>
          <w:tcPr>
            <w:tcW w:w="1701" w:type="dxa"/>
            <w:tcBorders>
              <w:top w:val="nil"/>
              <w:left w:val="nil"/>
              <w:bottom w:val="single" w:sz="4" w:space="0" w:color="AEAAAA"/>
              <w:right w:val="single" w:sz="4" w:space="0" w:color="AEAAAA"/>
            </w:tcBorders>
            <w:shd w:val="clear" w:color="000000" w:fill="E7E6E6"/>
            <w:vAlign w:val="bottom"/>
            <w:hideMark/>
          </w:tcPr>
          <w:p w14:paraId="2C79EAC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5C30BE8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c>
          <w:tcPr>
            <w:tcW w:w="1247" w:type="dxa"/>
            <w:tcBorders>
              <w:top w:val="nil"/>
              <w:left w:val="nil"/>
              <w:bottom w:val="single" w:sz="4" w:space="0" w:color="AEAAAA"/>
              <w:right w:val="single" w:sz="4" w:space="0" w:color="AEAAAA"/>
            </w:tcBorders>
            <w:shd w:val="clear" w:color="000000" w:fill="E7E6E6"/>
            <w:vAlign w:val="bottom"/>
            <w:hideMark/>
          </w:tcPr>
          <w:p w14:paraId="550AA3B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1436F5A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78152B1B" w14:textId="77777777" w:rsidTr="006031D2">
        <w:trPr>
          <w:trHeight w:val="164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2AFA6444"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lastRenderedPageBreak/>
              <w:t>Clinical Practice Guidelines for Diabetes Management in Nigeria (2013)</w:t>
            </w:r>
          </w:p>
        </w:tc>
        <w:tc>
          <w:tcPr>
            <w:tcW w:w="1387" w:type="dxa"/>
            <w:tcBorders>
              <w:top w:val="nil"/>
              <w:left w:val="nil"/>
              <w:bottom w:val="single" w:sz="4" w:space="0" w:color="AEAAAA"/>
              <w:right w:val="single" w:sz="4" w:space="0" w:color="AEAAAA"/>
            </w:tcBorders>
            <w:shd w:val="clear" w:color="000000" w:fill="FFFFFF"/>
            <w:vAlign w:val="bottom"/>
            <w:hideMark/>
          </w:tcPr>
          <w:p w14:paraId="62E55EF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grading system reported</w:t>
            </w:r>
          </w:p>
        </w:tc>
        <w:tc>
          <w:tcPr>
            <w:tcW w:w="1843" w:type="dxa"/>
            <w:tcBorders>
              <w:top w:val="nil"/>
              <w:left w:val="nil"/>
              <w:bottom w:val="single" w:sz="4" w:space="0" w:color="AEAAAA"/>
              <w:right w:val="single" w:sz="4" w:space="0" w:color="AEAAAA"/>
            </w:tcBorders>
            <w:shd w:val="clear" w:color="000000" w:fill="FFFFFF"/>
            <w:vAlign w:val="bottom"/>
            <w:hideMark/>
          </w:tcPr>
          <w:p w14:paraId="147A0B6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Postpartum glucose screening </w:t>
            </w:r>
          </w:p>
        </w:tc>
        <w:tc>
          <w:tcPr>
            <w:tcW w:w="3118" w:type="dxa"/>
            <w:tcBorders>
              <w:top w:val="nil"/>
              <w:left w:val="nil"/>
              <w:bottom w:val="single" w:sz="4" w:space="0" w:color="AEAAAA"/>
              <w:right w:val="single" w:sz="4" w:space="0" w:color="AEAAAA"/>
            </w:tcBorders>
            <w:shd w:val="clear" w:color="000000" w:fill="FFFFFF"/>
            <w:vAlign w:val="bottom"/>
            <w:hideMark/>
          </w:tcPr>
          <w:p w14:paraId="2913E25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with GDM should be screened for diabetes 6–12 weeks postpartum and should be reclassified and followed up with subsequent screening for the development of diabetes or pre-diabetes (WHO criteria)</w:t>
            </w:r>
          </w:p>
        </w:tc>
        <w:tc>
          <w:tcPr>
            <w:tcW w:w="1701" w:type="dxa"/>
            <w:tcBorders>
              <w:top w:val="nil"/>
              <w:left w:val="nil"/>
              <w:bottom w:val="single" w:sz="4" w:space="0" w:color="AEAAAA"/>
              <w:right w:val="single" w:sz="4" w:space="0" w:color="AEAAAA"/>
            </w:tcBorders>
            <w:shd w:val="clear" w:color="000000" w:fill="FFFFFF"/>
            <w:vAlign w:val="bottom"/>
            <w:hideMark/>
          </w:tcPr>
          <w:p w14:paraId="7ADF8D8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FFFFFF"/>
            <w:vAlign w:val="bottom"/>
            <w:hideMark/>
          </w:tcPr>
          <w:p w14:paraId="6D45776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1D02213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75C094B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73C0759B" w14:textId="77777777" w:rsidTr="006031D2">
        <w:trPr>
          <w:trHeight w:val="12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5F239EB9"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748CF90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5F3B1308"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FFFFFF"/>
            <w:vAlign w:val="bottom"/>
            <w:hideMark/>
          </w:tcPr>
          <w:p w14:paraId="7855F37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Promote and support breastfeeding for 6 months from birth to reduce risk of undernutrition, promote infant growth and development, and reduce risk of obesity and NCDs later in life</w:t>
            </w:r>
          </w:p>
        </w:tc>
        <w:tc>
          <w:tcPr>
            <w:tcW w:w="1701" w:type="dxa"/>
            <w:tcBorders>
              <w:top w:val="nil"/>
              <w:left w:val="nil"/>
              <w:bottom w:val="single" w:sz="4" w:space="0" w:color="AEAAAA"/>
              <w:right w:val="single" w:sz="4" w:space="0" w:color="AEAAAA"/>
            </w:tcBorders>
            <w:shd w:val="clear" w:color="000000" w:fill="FFFFFF"/>
            <w:vAlign w:val="bottom"/>
            <w:hideMark/>
          </w:tcPr>
          <w:p w14:paraId="1469389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FFFFFF"/>
            <w:vAlign w:val="bottom"/>
            <w:hideMark/>
          </w:tcPr>
          <w:p w14:paraId="23AC496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2389B54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74FB9CE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1DF422F4"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FFFFFF"/>
            <w:vAlign w:val="bottom"/>
            <w:hideMark/>
          </w:tcPr>
          <w:p w14:paraId="396CB40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FFFFFF"/>
            <w:vAlign w:val="bottom"/>
            <w:hideMark/>
          </w:tcPr>
          <w:p w14:paraId="1A42EF4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FFFFFF"/>
            <w:vAlign w:val="bottom"/>
            <w:hideMark/>
          </w:tcPr>
          <w:p w14:paraId="14E20089"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FFFFFF"/>
            <w:vAlign w:val="bottom"/>
            <w:hideMark/>
          </w:tcPr>
          <w:p w14:paraId="3D3B52C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Promote healthy diet and physical activity through education to prevent development of type 2 diabetes</w:t>
            </w:r>
          </w:p>
        </w:tc>
        <w:tc>
          <w:tcPr>
            <w:tcW w:w="1701" w:type="dxa"/>
            <w:tcBorders>
              <w:top w:val="nil"/>
              <w:left w:val="nil"/>
              <w:bottom w:val="single" w:sz="4" w:space="0" w:color="AEAAAA"/>
              <w:right w:val="single" w:sz="4" w:space="0" w:color="AEAAAA"/>
            </w:tcBorders>
            <w:shd w:val="clear" w:color="000000" w:fill="FFFFFF"/>
            <w:vAlign w:val="bottom"/>
            <w:hideMark/>
          </w:tcPr>
          <w:p w14:paraId="27E348F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FFFFFF"/>
            <w:vAlign w:val="bottom"/>
            <w:hideMark/>
          </w:tcPr>
          <w:p w14:paraId="55727602"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FFFFFF"/>
            <w:vAlign w:val="bottom"/>
            <w:hideMark/>
          </w:tcPr>
          <w:p w14:paraId="2325FB8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FFFFFF"/>
            <w:vAlign w:val="bottom"/>
            <w:hideMark/>
          </w:tcPr>
          <w:p w14:paraId="032E3000"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0CCAE99C" w14:textId="77777777" w:rsidTr="006031D2">
        <w:trPr>
          <w:trHeight w:val="138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39EDB1E7"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HKCOG Guidelines for the Management of Gestational Diabetes Mellitus (2016)</w:t>
            </w:r>
          </w:p>
        </w:tc>
        <w:tc>
          <w:tcPr>
            <w:tcW w:w="1387" w:type="dxa"/>
            <w:tcBorders>
              <w:top w:val="nil"/>
              <w:left w:val="nil"/>
              <w:bottom w:val="single" w:sz="4" w:space="0" w:color="AEAAAA"/>
              <w:right w:val="single" w:sz="4" w:space="0" w:color="AEAAAA"/>
            </w:tcBorders>
            <w:shd w:val="clear" w:color="000000" w:fill="E7E6E6"/>
            <w:vAlign w:val="bottom"/>
            <w:hideMark/>
          </w:tcPr>
          <w:p w14:paraId="6ECEAB6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 grading system reported</w:t>
            </w:r>
          </w:p>
        </w:tc>
        <w:tc>
          <w:tcPr>
            <w:tcW w:w="1843" w:type="dxa"/>
            <w:tcBorders>
              <w:top w:val="nil"/>
              <w:left w:val="nil"/>
              <w:bottom w:val="single" w:sz="4" w:space="0" w:color="AEAAAA"/>
              <w:right w:val="single" w:sz="4" w:space="0" w:color="AEAAAA"/>
            </w:tcBorders>
            <w:shd w:val="clear" w:color="000000" w:fill="E7E6E6"/>
            <w:vAlign w:val="bottom"/>
            <w:hideMark/>
          </w:tcPr>
          <w:p w14:paraId="099383D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Postpartum glucose screening</w:t>
            </w:r>
          </w:p>
        </w:tc>
        <w:tc>
          <w:tcPr>
            <w:tcW w:w="3118" w:type="dxa"/>
            <w:tcBorders>
              <w:top w:val="nil"/>
              <w:left w:val="nil"/>
              <w:bottom w:val="single" w:sz="4" w:space="0" w:color="AEAAAA"/>
              <w:right w:val="single" w:sz="4" w:space="0" w:color="AEAAAA"/>
            </w:tcBorders>
            <w:shd w:val="clear" w:color="000000" w:fill="E7E6E6"/>
            <w:vAlign w:val="bottom"/>
            <w:hideMark/>
          </w:tcPr>
          <w:p w14:paraId="7B36742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should be offered a postnatal glucose screening test at 6-12 weeks to exclude DM.</w:t>
            </w:r>
          </w:p>
        </w:tc>
        <w:tc>
          <w:tcPr>
            <w:tcW w:w="1701" w:type="dxa"/>
            <w:tcBorders>
              <w:top w:val="nil"/>
              <w:left w:val="nil"/>
              <w:bottom w:val="single" w:sz="4" w:space="0" w:color="AEAAAA"/>
              <w:right w:val="single" w:sz="4" w:space="0" w:color="AEAAAA"/>
            </w:tcBorders>
            <w:shd w:val="clear" w:color="000000" w:fill="E7E6E6"/>
            <w:vAlign w:val="bottom"/>
            <w:hideMark/>
          </w:tcPr>
          <w:p w14:paraId="7312BEDA"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000000" w:fill="E7E6E6"/>
            <w:vAlign w:val="bottom"/>
            <w:hideMark/>
          </w:tcPr>
          <w:p w14:paraId="3130A48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E7E6E6"/>
            <w:vAlign w:val="bottom"/>
            <w:hideMark/>
          </w:tcPr>
          <w:p w14:paraId="3223FE0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29D5DEA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10956663" w14:textId="77777777" w:rsidTr="006031D2">
        <w:trPr>
          <w:trHeight w:val="6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F70C9B5"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04F6FBE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22A638D"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3118" w:type="dxa"/>
            <w:tcBorders>
              <w:top w:val="nil"/>
              <w:left w:val="nil"/>
              <w:bottom w:val="single" w:sz="4" w:space="0" w:color="AEAAAA"/>
              <w:right w:val="single" w:sz="4" w:space="0" w:color="AEAAAA"/>
            </w:tcBorders>
            <w:shd w:val="clear" w:color="000000" w:fill="E7E6E6"/>
            <w:vAlign w:val="bottom"/>
            <w:hideMark/>
          </w:tcPr>
          <w:p w14:paraId="7F39C62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This testing can be done with either OGTT or HbA1c (with or without FBG).</w:t>
            </w:r>
          </w:p>
        </w:tc>
        <w:tc>
          <w:tcPr>
            <w:tcW w:w="1701" w:type="dxa"/>
            <w:tcBorders>
              <w:top w:val="nil"/>
              <w:left w:val="nil"/>
              <w:bottom w:val="single" w:sz="4" w:space="0" w:color="AEAAAA"/>
              <w:right w:val="single" w:sz="4" w:space="0" w:color="AEAAAA"/>
            </w:tcBorders>
            <w:shd w:val="clear" w:color="000000" w:fill="E7E6E6"/>
            <w:vAlign w:val="bottom"/>
            <w:hideMark/>
          </w:tcPr>
          <w:p w14:paraId="6673AD4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Weak</w:t>
            </w:r>
          </w:p>
        </w:tc>
        <w:tc>
          <w:tcPr>
            <w:tcW w:w="1163" w:type="dxa"/>
            <w:tcBorders>
              <w:top w:val="nil"/>
              <w:left w:val="nil"/>
              <w:bottom w:val="single" w:sz="4" w:space="0" w:color="AEAAAA"/>
              <w:right w:val="single" w:sz="4" w:space="0" w:color="AEAAAA"/>
            </w:tcBorders>
            <w:shd w:val="clear" w:color="000000" w:fill="E7E6E6"/>
            <w:vAlign w:val="bottom"/>
            <w:hideMark/>
          </w:tcPr>
          <w:p w14:paraId="7ECB078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E7E6E6"/>
            <w:vAlign w:val="bottom"/>
            <w:hideMark/>
          </w:tcPr>
          <w:p w14:paraId="4DEBDF1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6CDA5FA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16913217" w14:textId="77777777" w:rsidTr="006031D2">
        <w:trPr>
          <w:trHeight w:val="1408"/>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4E85A53A"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782083E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1271FD7B"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Long-term follow up </w:t>
            </w:r>
          </w:p>
        </w:tc>
        <w:tc>
          <w:tcPr>
            <w:tcW w:w="3118" w:type="dxa"/>
            <w:tcBorders>
              <w:top w:val="nil"/>
              <w:left w:val="nil"/>
              <w:bottom w:val="single" w:sz="4" w:space="0" w:color="AEAAAA"/>
              <w:right w:val="single" w:sz="4" w:space="0" w:color="AEAAAA"/>
            </w:tcBorders>
            <w:shd w:val="clear" w:color="000000" w:fill="E7E6E6"/>
            <w:vAlign w:val="bottom"/>
            <w:hideMark/>
          </w:tcPr>
          <w:p w14:paraId="3A161E31"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with higher risk for progression based on test result or existing risk factors … should require more frequent testing (yearly) than those at lower risk (3-yearly).</w:t>
            </w:r>
          </w:p>
        </w:tc>
        <w:tc>
          <w:tcPr>
            <w:tcW w:w="1701" w:type="dxa"/>
            <w:tcBorders>
              <w:top w:val="nil"/>
              <w:left w:val="nil"/>
              <w:bottom w:val="single" w:sz="4" w:space="0" w:color="AEAAAA"/>
              <w:right w:val="single" w:sz="4" w:space="0" w:color="AEAAAA"/>
            </w:tcBorders>
            <w:shd w:val="clear" w:color="000000" w:fill="E7E6E6"/>
            <w:vAlign w:val="bottom"/>
            <w:hideMark/>
          </w:tcPr>
          <w:p w14:paraId="7D9114B7"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41D4A54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E7E6E6"/>
            <w:vAlign w:val="bottom"/>
            <w:hideMark/>
          </w:tcPr>
          <w:p w14:paraId="15D60EF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500979C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6C743975" w14:textId="77777777" w:rsidTr="006031D2">
        <w:trPr>
          <w:trHeight w:val="300"/>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5B3B66AF"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lastRenderedPageBreak/>
              <w:t> </w:t>
            </w:r>
          </w:p>
        </w:tc>
        <w:tc>
          <w:tcPr>
            <w:tcW w:w="1387" w:type="dxa"/>
            <w:tcBorders>
              <w:top w:val="nil"/>
              <w:left w:val="nil"/>
              <w:bottom w:val="single" w:sz="4" w:space="0" w:color="AEAAAA"/>
              <w:right w:val="single" w:sz="4" w:space="0" w:color="AEAAAA"/>
            </w:tcBorders>
            <w:shd w:val="clear" w:color="000000" w:fill="E7E6E6"/>
            <w:vAlign w:val="bottom"/>
            <w:hideMark/>
          </w:tcPr>
          <w:p w14:paraId="10DF289C"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5C25A4C3"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Breastfeeding</w:t>
            </w:r>
          </w:p>
        </w:tc>
        <w:tc>
          <w:tcPr>
            <w:tcW w:w="3118" w:type="dxa"/>
            <w:tcBorders>
              <w:top w:val="nil"/>
              <w:left w:val="nil"/>
              <w:bottom w:val="single" w:sz="4" w:space="0" w:color="AEAAAA"/>
              <w:right w:val="single" w:sz="4" w:space="0" w:color="AEAAAA"/>
            </w:tcBorders>
            <w:shd w:val="clear" w:color="000000" w:fill="E7E6E6"/>
            <w:vAlign w:val="bottom"/>
            <w:hideMark/>
          </w:tcPr>
          <w:p w14:paraId="2B2EC09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should be encouraged to breastfeed.</w:t>
            </w:r>
          </w:p>
        </w:tc>
        <w:tc>
          <w:tcPr>
            <w:tcW w:w="1701" w:type="dxa"/>
            <w:tcBorders>
              <w:top w:val="nil"/>
              <w:left w:val="nil"/>
              <w:bottom w:val="single" w:sz="4" w:space="0" w:color="AEAAAA"/>
              <w:right w:val="single" w:sz="4" w:space="0" w:color="AEAAAA"/>
            </w:tcBorders>
            <w:shd w:val="clear" w:color="000000" w:fill="E7E6E6"/>
            <w:vAlign w:val="bottom"/>
            <w:hideMark/>
          </w:tcPr>
          <w:p w14:paraId="3B9FC623"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Strong</w:t>
            </w:r>
          </w:p>
        </w:tc>
        <w:tc>
          <w:tcPr>
            <w:tcW w:w="1163" w:type="dxa"/>
            <w:tcBorders>
              <w:top w:val="nil"/>
              <w:left w:val="nil"/>
              <w:bottom w:val="single" w:sz="4" w:space="0" w:color="AEAAAA"/>
              <w:right w:val="single" w:sz="4" w:space="0" w:color="AEAAAA"/>
            </w:tcBorders>
            <w:shd w:val="clear" w:color="000000" w:fill="E7E6E6"/>
            <w:vAlign w:val="bottom"/>
            <w:hideMark/>
          </w:tcPr>
          <w:p w14:paraId="7B80FFA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E7E6E6"/>
            <w:vAlign w:val="bottom"/>
            <w:hideMark/>
          </w:tcPr>
          <w:p w14:paraId="1EDCD32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189D7A94"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r w:rsidR="00DA5F7E" w:rsidRPr="00EC7A17" w14:paraId="0365F9B4" w14:textId="77777777" w:rsidTr="006031D2">
        <w:trPr>
          <w:trHeight w:val="1277"/>
        </w:trPr>
        <w:tc>
          <w:tcPr>
            <w:tcW w:w="1727" w:type="dxa"/>
            <w:tcBorders>
              <w:top w:val="nil"/>
              <w:left w:val="single" w:sz="4" w:space="0" w:color="AEAAAA"/>
              <w:bottom w:val="single" w:sz="4" w:space="0" w:color="AEAAAA"/>
              <w:right w:val="single" w:sz="4" w:space="0" w:color="AEAAAA"/>
            </w:tcBorders>
            <w:shd w:val="clear" w:color="000000" w:fill="E7E6E6"/>
            <w:vAlign w:val="bottom"/>
            <w:hideMark/>
          </w:tcPr>
          <w:p w14:paraId="41CD3876"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387" w:type="dxa"/>
            <w:tcBorders>
              <w:top w:val="nil"/>
              <w:left w:val="nil"/>
              <w:bottom w:val="single" w:sz="4" w:space="0" w:color="AEAAAA"/>
              <w:right w:val="single" w:sz="4" w:space="0" w:color="AEAAAA"/>
            </w:tcBorders>
            <w:shd w:val="clear" w:color="000000" w:fill="E7E6E6"/>
            <w:vAlign w:val="bottom"/>
            <w:hideMark/>
          </w:tcPr>
          <w:p w14:paraId="78FBE38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w:t>
            </w:r>
          </w:p>
        </w:tc>
        <w:tc>
          <w:tcPr>
            <w:tcW w:w="1843" w:type="dxa"/>
            <w:tcBorders>
              <w:top w:val="nil"/>
              <w:left w:val="nil"/>
              <w:bottom w:val="single" w:sz="4" w:space="0" w:color="AEAAAA"/>
              <w:right w:val="single" w:sz="4" w:space="0" w:color="AEAAAA"/>
            </w:tcBorders>
            <w:shd w:val="clear" w:color="000000" w:fill="E7E6E6"/>
            <w:vAlign w:val="bottom"/>
            <w:hideMark/>
          </w:tcPr>
          <w:p w14:paraId="72558C82" w14:textId="77777777" w:rsidR="00DA5F7E" w:rsidRPr="00EC7A17" w:rsidRDefault="00DA5F7E" w:rsidP="006031D2">
            <w:pPr>
              <w:spacing w:after="0" w:line="240" w:lineRule="auto"/>
              <w:rPr>
                <w:rFonts w:ascii="Times New Roman" w:eastAsia="Times New Roman" w:hAnsi="Times New Roman" w:cs="Times New Roman"/>
                <w:b/>
                <w:bCs/>
                <w:color w:val="000000"/>
                <w:lang w:eastAsia="en-NZ"/>
              </w:rPr>
            </w:pPr>
            <w:r w:rsidRPr="00EC7A17">
              <w:rPr>
                <w:rFonts w:ascii="Times New Roman" w:eastAsia="Times New Roman" w:hAnsi="Times New Roman" w:cs="Times New Roman"/>
                <w:b/>
                <w:bCs/>
                <w:color w:val="000000"/>
                <w:lang w:eastAsia="en-NZ"/>
              </w:rPr>
              <w:t xml:space="preserve">Lifestyle management </w:t>
            </w:r>
          </w:p>
        </w:tc>
        <w:tc>
          <w:tcPr>
            <w:tcW w:w="3118" w:type="dxa"/>
            <w:tcBorders>
              <w:top w:val="nil"/>
              <w:left w:val="nil"/>
              <w:bottom w:val="single" w:sz="4" w:space="0" w:color="AEAAAA"/>
              <w:right w:val="single" w:sz="4" w:space="0" w:color="AEAAAA"/>
            </w:tcBorders>
            <w:shd w:val="clear" w:color="000000" w:fill="E7E6E6"/>
            <w:vAlign w:val="bottom"/>
            <w:hideMark/>
          </w:tcPr>
          <w:p w14:paraId="56FC53D5"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Women should be informed about the increased risk of future DM and hyperglycaemia in future pregnancy and should be offered lifestyle advice including weight control, diet, and exercise.</w:t>
            </w:r>
          </w:p>
        </w:tc>
        <w:tc>
          <w:tcPr>
            <w:tcW w:w="1701" w:type="dxa"/>
            <w:tcBorders>
              <w:top w:val="nil"/>
              <w:left w:val="nil"/>
              <w:bottom w:val="single" w:sz="4" w:space="0" w:color="AEAAAA"/>
              <w:right w:val="single" w:sz="4" w:space="0" w:color="AEAAAA"/>
            </w:tcBorders>
            <w:shd w:val="clear" w:color="000000" w:fill="E7E6E6"/>
            <w:vAlign w:val="bottom"/>
            <w:hideMark/>
          </w:tcPr>
          <w:p w14:paraId="2928EEEB"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Strong </w:t>
            </w:r>
          </w:p>
        </w:tc>
        <w:tc>
          <w:tcPr>
            <w:tcW w:w="1163" w:type="dxa"/>
            <w:tcBorders>
              <w:top w:val="nil"/>
              <w:left w:val="nil"/>
              <w:bottom w:val="single" w:sz="4" w:space="0" w:color="AEAAAA"/>
              <w:right w:val="single" w:sz="4" w:space="0" w:color="AEAAAA"/>
            </w:tcBorders>
            <w:shd w:val="clear" w:color="000000" w:fill="E7E6E6"/>
            <w:vAlign w:val="bottom"/>
            <w:hideMark/>
          </w:tcPr>
          <w:p w14:paraId="22626D5D"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 xml:space="preserve">Not reported </w:t>
            </w:r>
          </w:p>
        </w:tc>
        <w:tc>
          <w:tcPr>
            <w:tcW w:w="1247" w:type="dxa"/>
            <w:tcBorders>
              <w:top w:val="nil"/>
              <w:left w:val="nil"/>
              <w:bottom w:val="single" w:sz="4" w:space="0" w:color="AEAAAA"/>
              <w:right w:val="single" w:sz="4" w:space="0" w:color="AEAAAA"/>
            </w:tcBorders>
            <w:shd w:val="clear" w:color="000000" w:fill="E7E6E6"/>
            <w:vAlign w:val="bottom"/>
            <w:hideMark/>
          </w:tcPr>
          <w:p w14:paraId="350A40E8"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w:t>
            </w:r>
          </w:p>
        </w:tc>
        <w:tc>
          <w:tcPr>
            <w:tcW w:w="1559" w:type="dxa"/>
            <w:tcBorders>
              <w:top w:val="nil"/>
              <w:left w:val="nil"/>
              <w:bottom w:val="single" w:sz="4" w:space="0" w:color="AEAAAA"/>
              <w:right w:val="single" w:sz="4" w:space="0" w:color="AEAAAA"/>
            </w:tcBorders>
            <w:shd w:val="clear" w:color="000000" w:fill="E7E6E6"/>
            <w:vAlign w:val="bottom"/>
            <w:hideMark/>
          </w:tcPr>
          <w:p w14:paraId="6568DFFE" w14:textId="77777777" w:rsidR="00DA5F7E" w:rsidRPr="00EC7A17" w:rsidRDefault="00DA5F7E" w:rsidP="006031D2">
            <w:pPr>
              <w:spacing w:after="0" w:line="240" w:lineRule="auto"/>
              <w:rPr>
                <w:rFonts w:ascii="Times New Roman" w:eastAsia="Times New Roman" w:hAnsi="Times New Roman" w:cs="Times New Roman"/>
                <w:color w:val="000000"/>
                <w:lang w:eastAsia="en-NZ"/>
              </w:rPr>
            </w:pPr>
            <w:r w:rsidRPr="00EC7A17">
              <w:rPr>
                <w:rFonts w:ascii="Times New Roman" w:eastAsia="Times New Roman" w:hAnsi="Times New Roman" w:cs="Times New Roman"/>
                <w:color w:val="000000"/>
                <w:lang w:eastAsia="en-NZ"/>
              </w:rPr>
              <w:t>Not reported</w:t>
            </w:r>
          </w:p>
        </w:tc>
      </w:tr>
    </w:tbl>
    <w:p w14:paraId="2B6DC060" w14:textId="77777777" w:rsidR="00DA5F7E" w:rsidRPr="00EC7A17" w:rsidRDefault="00DA5F7E" w:rsidP="00DA5F7E">
      <w:pPr>
        <w:spacing w:after="120" w:line="360" w:lineRule="auto"/>
        <w:rPr>
          <w:rFonts w:ascii="Times New Roman" w:hAnsi="Times New Roman" w:cs="Times New Roman"/>
        </w:rPr>
      </w:pPr>
      <w:r w:rsidRPr="00EC7A17">
        <w:rPr>
          <w:rFonts w:ascii="Times New Roman" w:hAnsi="Times New Roman" w:cs="Times New Roman"/>
        </w:rPr>
        <w:t>ADA</w:t>
      </w:r>
      <w:r w:rsidRPr="00EC7A17">
        <w:rPr>
          <w:rFonts w:ascii="Times New Roman" w:hAnsi="Times New Roman" w:cs="Times New Roman"/>
          <w:b/>
          <w:bCs/>
        </w:rPr>
        <w:t xml:space="preserve"> - </w:t>
      </w:r>
      <w:r w:rsidRPr="00EC7A17">
        <w:rPr>
          <w:rFonts w:ascii="Times New Roman" w:eastAsia="Times New Roman" w:hAnsi="Times New Roman" w:cs="Times New Roman"/>
          <w:color w:val="000000"/>
          <w:lang w:eastAsia="en-NZ"/>
        </w:rPr>
        <w:t>American Diabetes Association; ADIPS - Australian Diabetes in Pregnancy Society; AHCPR</w:t>
      </w:r>
      <w:r w:rsidRPr="00EC7A17">
        <w:rPr>
          <w:rFonts w:ascii="Times New Roman" w:hAnsi="Times New Roman" w:cs="Times New Roman"/>
        </w:rPr>
        <w:t xml:space="preserve"> – Agency for Health Care Policy and Research; FIGO – International Federation of </w:t>
      </w:r>
      <w:proofErr w:type="spellStart"/>
      <w:r w:rsidRPr="00EC7A17">
        <w:rPr>
          <w:rFonts w:ascii="Times New Roman" w:hAnsi="Times New Roman" w:cs="Times New Roman"/>
        </w:rPr>
        <w:t>Gynecology</w:t>
      </w:r>
      <w:proofErr w:type="spellEnd"/>
      <w:r w:rsidRPr="00EC7A17">
        <w:rPr>
          <w:rFonts w:ascii="Times New Roman" w:hAnsi="Times New Roman" w:cs="Times New Roman"/>
        </w:rPr>
        <w:t xml:space="preserve"> and Obstetrics; GRADE - Grading of Recommendations, Assessment, Development, and Evaluation; HKCOG – Hong Kong College of Obstetricians and Gynaecologists; NHMRC - National Health and Medical Research Council; SOGC</w:t>
      </w:r>
      <w:r w:rsidRPr="00EC7A17">
        <w:rPr>
          <w:rFonts w:ascii="Times New Roman" w:hAnsi="Times New Roman" w:cs="Times New Roman"/>
          <w:b/>
          <w:bCs/>
        </w:rPr>
        <w:t xml:space="preserve"> - </w:t>
      </w:r>
      <w:r w:rsidRPr="00EC7A17">
        <w:rPr>
          <w:rFonts w:ascii="Times New Roman" w:eastAsia="Times New Roman" w:hAnsi="Times New Roman" w:cs="Times New Roman"/>
          <w:color w:val="000000"/>
          <w:lang w:eastAsia="en-NZ"/>
        </w:rPr>
        <w:t>Society of Obstetricians and Gynaecologists of Canada; SIGN - Scottish Intercollegiate Guidelines Network; RACGP - The Royal Australian College of General Practitioners; WHO – World Health Organization</w:t>
      </w:r>
    </w:p>
    <w:p w14:paraId="2C79DEAB" w14:textId="77777777" w:rsidR="00DA5F7E" w:rsidRPr="00EC7A17" w:rsidRDefault="00DA5F7E" w:rsidP="00DA5F7E">
      <w:pPr>
        <w:spacing w:line="360" w:lineRule="auto"/>
        <w:rPr>
          <w:rFonts w:ascii="Times New Roman" w:hAnsi="Times New Roman" w:cs="Times New Roman"/>
          <w:b/>
          <w:bCs/>
        </w:rPr>
      </w:pPr>
      <w:r w:rsidRPr="00EC7A17">
        <w:rPr>
          <w:rFonts w:ascii="Times New Roman" w:eastAsia="Times New Roman" w:hAnsi="Times New Roman" w:cs="Times New Roman"/>
          <w:color w:val="000000"/>
          <w:lang w:eastAsia="en-NZ"/>
        </w:rPr>
        <w:t xml:space="preserve">BMI – body mass index; DM – diabetes mellitus; EPDS – Edinburgh Postnatal Depression Scale; FBG – fasting blood glucose; FPG – Fasting Plasma Glucose; GDM – gestational diabetes mellitus; </w:t>
      </w:r>
      <w:r w:rsidRPr="00EC7A17">
        <w:rPr>
          <w:rFonts w:ascii="Times New Roman" w:hAnsi="Times New Roman" w:cs="Times New Roman"/>
        </w:rPr>
        <w:t>GPP – Good Practice Points;</w:t>
      </w:r>
      <w:r w:rsidRPr="00EC7A17">
        <w:rPr>
          <w:rFonts w:ascii="Times New Roman" w:eastAsia="Times New Roman" w:hAnsi="Times New Roman" w:cs="Times New Roman"/>
          <w:color w:val="000000"/>
          <w:lang w:eastAsia="en-NZ"/>
        </w:rPr>
        <w:t xml:space="preserve"> HbA1c – Haemoglobin A1c; IFG - impaired fasting glucose; IGT - impaired glucose tolerance</w:t>
      </w:r>
      <w:r w:rsidRPr="00EC7A17">
        <w:rPr>
          <w:rFonts w:ascii="Times New Roman" w:hAnsi="Times New Roman" w:cs="Times New Roman"/>
        </w:rPr>
        <w:t xml:space="preserve">; </w:t>
      </w:r>
      <w:proofErr w:type="spellStart"/>
      <w:r w:rsidRPr="00EC7A17">
        <w:rPr>
          <w:rFonts w:ascii="Times New Roman" w:hAnsi="Times New Roman" w:cs="Times New Roman"/>
        </w:rPr>
        <w:t>LoE</w:t>
      </w:r>
      <w:proofErr w:type="spellEnd"/>
      <w:r w:rsidRPr="00EC7A17">
        <w:rPr>
          <w:rFonts w:ascii="Times New Roman" w:hAnsi="Times New Roman" w:cs="Times New Roman"/>
        </w:rPr>
        <w:t xml:space="preserve"> – Level of Evidence; </w:t>
      </w:r>
      <w:r w:rsidRPr="00EC7A17">
        <w:rPr>
          <w:rFonts w:ascii="Times New Roman" w:eastAsia="Times New Roman" w:hAnsi="Times New Roman" w:cs="Times New Roman"/>
          <w:color w:val="000000"/>
          <w:lang w:eastAsia="en-NZ"/>
        </w:rPr>
        <w:t>MNT – Medical Nutrition Therapy; NCD – Non-communicable disease; OGTT – oral glucose tolerance test</w:t>
      </w:r>
    </w:p>
    <w:p w14:paraId="5A601E03" w14:textId="77777777" w:rsidR="00DA5F7E" w:rsidRPr="00EC7A17" w:rsidRDefault="00DA5F7E" w:rsidP="00DA5F7E">
      <w:pPr>
        <w:spacing w:line="360" w:lineRule="auto"/>
        <w:rPr>
          <w:rFonts w:ascii="Times New Roman" w:hAnsi="Times New Roman" w:cs="Times New Roman"/>
        </w:rPr>
      </w:pPr>
      <w:r w:rsidRPr="00EC7A17">
        <w:rPr>
          <w:rFonts w:ascii="Times New Roman" w:hAnsi="Times New Roman" w:cs="Times New Roman"/>
        </w:rPr>
        <w:t xml:space="preserve">CC – case-control; CS – cross-sectional study; MA _ meta-analyses; NRCT – non-randomized control trials; PC – prospective cohort; R – review; RC – retrospective cohort; RCT – randomized control trial; SR – systematic review; SR:RCT – systematic review of randomized controlled trials; </w:t>
      </w:r>
    </w:p>
    <w:p w14:paraId="33254234" w14:textId="77777777" w:rsidR="00DA5F7E" w:rsidRDefault="00DA5F7E"/>
    <w:sectPr w:rsidR="00DA5F7E" w:rsidSect="00DA5F7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128D9"/>
    <w:multiLevelType w:val="multilevel"/>
    <w:tmpl w:val="8454EC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38061B3"/>
    <w:multiLevelType w:val="multilevel"/>
    <w:tmpl w:val="D2CA0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5602F"/>
    <w:multiLevelType w:val="hybridMultilevel"/>
    <w:tmpl w:val="736A209E"/>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D7F61C0"/>
    <w:multiLevelType w:val="multilevel"/>
    <w:tmpl w:val="AB88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1352B"/>
    <w:multiLevelType w:val="hybridMultilevel"/>
    <w:tmpl w:val="90547F9A"/>
    <w:lvl w:ilvl="0" w:tplc="14090019">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5" w15:restartNumberingAfterBreak="0">
    <w:nsid w:val="1C84333F"/>
    <w:multiLevelType w:val="hybridMultilevel"/>
    <w:tmpl w:val="27AA26DE"/>
    <w:lvl w:ilvl="0" w:tplc="1262806C">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2990562"/>
    <w:multiLevelType w:val="hybridMultilevel"/>
    <w:tmpl w:val="37DC5F9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2BD71E66"/>
    <w:multiLevelType w:val="hybridMultilevel"/>
    <w:tmpl w:val="EA6E03EE"/>
    <w:lvl w:ilvl="0" w:tplc="DFFC56F8">
      <w:start w:val="4"/>
      <w:numFmt w:val="decimal"/>
      <w:lvlText w:val="%1"/>
      <w:lvlJc w:val="left"/>
      <w:pPr>
        <w:ind w:left="720" w:hanging="36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C573BB7"/>
    <w:multiLevelType w:val="multilevel"/>
    <w:tmpl w:val="3ADA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C1322"/>
    <w:multiLevelType w:val="hybridMultilevel"/>
    <w:tmpl w:val="4A54CB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62C0EDE"/>
    <w:multiLevelType w:val="multilevel"/>
    <w:tmpl w:val="09AA08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5D734C09"/>
    <w:multiLevelType w:val="multilevel"/>
    <w:tmpl w:val="6F2E9E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AA34925"/>
    <w:multiLevelType w:val="hybridMultilevel"/>
    <w:tmpl w:val="629EE5B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6D657A71"/>
    <w:multiLevelType w:val="hybridMultilevel"/>
    <w:tmpl w:val="1B92FE82"/>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71C730B4"/>
    <w:multiLevelType w:val="hybridMultilevel"/>
    <w:tmpl w:val="C61A49EC"/>
    <w:lvl w:ilvl="0" w:tplc="7A962E5C">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74BB028C"/>
    <w:multiLevelType w:val="multilevel"/>
    <w:tmpl w:val="E43EAB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937376"/>
    <w:multiLevelType w:val="hybridMultilevel"/>
    <w:tmpl w:val="AFAE513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62156455">
    <w:abstractNumId w:val="6"/>
  </w:num>
  <w:num w:numId="2" w16cid:durableId="877663023">
    <w:abstractNumId w:val="4"/>
  </w:num>
  <w:num w:numId="3" w16cid:durableId="381952078">
    <w:abstractNumId w:val="16"/>
  </w:num>
  <w:num w:numId="4" w16cid:durableId="1646229607">
    <w:abstractNumId w:val="8"/>
  </w:num>
  <w:num w:numId="5" w16cid:durableId="619918057">
    <w:abstractNumId w:val="15"/>
  </w:num>
  <w:num w:numId="6" w16cid:durableId="1143355157">
    <w:abstractNumId w:val="3"/>
  </w:num>
  <w:num w:numId="7" w16cid:durableId="1528834350">
    <w:abstractNumId w:val="10"/>
  </w:num>
  <w:num w:numId="8" w16cid:durableId="1348217161">
    <w:abstractNumId w:val="0"/>
  </w:num>
  <w:num w:numId="9" w16cid:durableId="699819499">
    <w:abstractNumId w:val="11"/>
  </w:num>
  <w:num w:numId="10" w16cid:durableId="1611862463">
    <w:abstractNumId w:val="1"/>
  </w:num>
  <w:num w:numId="11" w16cid:durableId="122699457">
    <w:abstractNumId w:val="9"/>
  </w:num>
  <w:num w:numId="12" w16cid:durableId="416286481">
    <w:abstractNumId w:val="2"/>
  </w:num>
  <w:num w:numId="13" w16cid:durableId="1386492203">
    <w:abstractNumId w:val="7"/>
  </w:num>
  <w:num w:numId="14" w16cid:durableId="348456670">
    <w:abstractNumId w:val="12"/>
  </w:num>
  <w:num w:numId="15" w16cid:durableId="1326010613">
    <w:abstractNumId w:val="5"/>
  </w:num>
  <w:num w:numId="16" w16cid:durableId="1937861176">
    <w:abstractNumId w:val="14"/>
  </w:num>
  <w:num w:numId="17" w16cid:durableId="14437665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F7E"/>
    <w:rsid w:val="00304FF1"/>
    <w:rsid w:val="00D0143B"/>
    <w:rsid w:val="00D221C8"/>
    <w:rsid w:val="00DA5F7E"/>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ecimalSymbol w:val="."/>
  <w:listSeparator w:val=","/>
  <w14:docId w14:val="0B938BDF"/>
  <w15:chartTrackingRefBased/>
  <w15:docId w15:val="{E9AECDC9-51E1-AA4D-B794-8E93610C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F7E"/>
    <w:pPr>
      <w:spacing w:after="160" w:line="259" w:lineRule="auto"/>
    </w:pPr>
    <w:rPr>
      <w:sz w:val="22"/>
      <w:szCs w:val="22"/>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5F7E"/>
    <w:pPr>
      <w:widowControl w:val="0"/>
      <w:autoSpaceDE w:val="0"/>
      <w:autoSpaceDN w:val="0"/>
      <w:adjustRightInd w:val="0"/>
    </w:pPr>
    <w:rPr>
      <w:rFonts w:ascii="Calibri" w:eastAsia="Times New Roman" w:hAnsi="Calibri" w:cs="Calibri"/>
      <w:color w:val="000000"/>
      <w:lang w:val="en-CA" w:eastAsia="en-CA"/>
    </w:rPr>
  </w:style>
  <w:style w:type="table" w:styleId="TableGrid">
    <w:name w:val="Table Grid"/>
    <w:basedOn w:val="TableNormal"/>
    <w:uiPriority w:val="39"/>
    <w:rsid w:val="00DA5F7E"/>
    <w:rPr>
      <w:sz w:val="22"/>
      <w:szCs w:val="22"/>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5F7E"/>
    <w:pPr>
      <w:ind w:left="720"/>
      <w:contextualSpacing/>
    </w:pPr>
  </w:style>
  <w:style w:type="character" w:styleId="PlaceholderText">
    <w:name w:val="Placeholder Text"/>
    <w:basedOn w:val="DefaultParagraphFont"/>
    <w:uiPriority w:val="99"/>
    <w:semiHidden/>
    <w:rsid w:val="00DA5F7E"/>
    <w:rPr>
      <w:color w:val="808080"/>
    </w:rPr>
  </w:style>
  <w:style w:type="paragraph" w:styleId="Header">
    <w:name w:val="header"/>
    <w:basedOn w:val="Normal"/>
    <w:link w:val="HeaderChar"/>
    <w:uiPriority w:val="99"/>
    <w:unhideWhenUsed/>
    <w:rsid w:val="00DA5F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F7E"/>
    <w:rPr>
      <w:sz w:val="22"/>
      <w:szCs w:val="22"/>
      <w:lang w:val="en-NZ"/>
    </w:rPr>
  </w:style>
  <w:style w:type="paragraph" w:styleId="Footer">
    <w:name w:val="footer"/>
    <w:basedOn w:val="Normal"/>
    <w:link w:val="FooterChar"/>
    <w:uiPriority w:val="99"/>
    <w:unhideWhenUsed/>
    <w:rsid w:val="00DA5F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F7E"/>
    <w:rPr>
      <w:sz w:val="22"/>
      <w:szCs w:val="22"/>
      <w:lang w:val="en-NZ"/>
    </w:rPr>
  </w:style>
  <w:style w:type="character" w:styleId="Hyperlink">
    <w:name w:val="Hyperlink"/>
    <w:basedOn w:val="DefaultParagraphFont"/>
    <w:uiPriority w:val="99"/>
    <w:unhideWhenUsed/>
    <w:rsid w:val="00DA5F7E"/>
    <w:rPr>
      <w:color w:val="0563C1" w:themeColor="hyperlink"/>
      <w:u w:val="single"/>
    </w:rPr>
  </w:style>
  <w:style w:type="character" w:styleId="UnresolvedMention">
    <w:name w:val="Unresolved Mention"/>
    <w:basedOn w:val="DefaultParagraphFont"/>
    <w:uiPriority w:val="99"/>
    <w:semiHidden/>
    <w:unhideWhenUsed/>
    <w:rsid w:val="00DA5F7E"/>
    <w:rPr>
      <w:color w:val="605E5C"/>
      <w:shd w:val="clear" w:color="auto" w:fill="E1DFDD"/>
    </w:rPr>
  </w:style>
  <w:style w:type="character" w:styleId="FollowedHyperlink">
    <w:name w:val="FollowedHyperlink"/>
    <w:basedOn w:val="DefaultParagraphFont"/>
    <w:uiPriority w:val="99"/>
    <w:semiHidden/>
    <w:unhideWhenUsed/>
    <w:rsid w:val="00DA5F7E"/>
    <w:rPr>
      <w:color w:val="954F72"/>
      <w:u w:val="single"/>
    </w:rPr>
  </w:style>
  <w:style w:type="paragraph" w:customStyle="1" w:styleId="msonormal0">
    <w:name w:val="msonormal"/>
    <w:basedOn w:val="Normal"/>
    <w:rsid w:val="00DA5F7E"/>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font0">
    <w:name w:val="font0"/>
    <w:basedOn w:val="Normal"/>
    <w:rsid w:val="00DA5F7E"/>
    <w:pPr>
      <w:spacing w:before="100" w:beforeAutospacing="1" w:after="100" w:afterAutospacing="1" w:line="240" w:lineRule="auto"/>
    </w:pPr>
    <w:rPr>
      <w:rFonts w:ascii="Calibri" w:eastAsia="Times New Roman" w:hAnsi="Calibri" w:cs="Calibri"/>
      <w:color w:val="000000"/>
      <w:lang w:eastAsia="en-NZ"/>
    </w:rPr>
  </w:style>
  <w:style w:type="paragraph" w:customStyle="1" w:styleId="font5">
    <w:name w:val="font5"/>
    <w:basedOn w:val="Normal"/>
    <w:rsid w:val="00DA5F7E"/>
    <w:pPr>
      <w:spacing w:before="100" w:beforeAutospacing="1" w:after="100" w:afterAutospacing="1" w:line="240" w:lineRule="auto"/>
    </w:pPr>
    <w:rPr>
      <w:rFonts w:ascii="Calibri" w:eastAsia="Times New Roman" w:hAnsi="Calibri" w:cs="Calibri"/>
      <w:b/>
      <w:bCs/>
      <w:color w:val="000000"/>
      <w:lang w:eastAsia="en-NZ"/>
    </w:rPr>
  </w:style>
  <w:style w:type="paragraph" w:customStyle="1" w:styleId="font6">
    <w:name w:val="font6"/>
    <w:basedOn w:val="Normal"/>
    <w:rsid w:val="00DA5F7E"/>
    <w:pPr>
      <w:spacing w:before="100" w:beforeAutospacing="1" w:after="100" w:afterAutospacing="1" w:line="240" w:lineRule="auto"/>
    </w:pPr>
    <w:rPr>
      <w:rFonts w:ascii="Calibri" w:eastAsia="Times New Roman" w:hAnsi="Calibri" w:cs="Calibri"/>
      <w:color w:val="000000"/>
      <w:u w:val="single"/>
      <w:lang w:eastAsia="en-NZ"/>
    </w:rPr>
  </w:style>
  <w:style w:type="paragraph" w:customStyle="1" w:styleId="font7">
    <w:name w:val="font7"/>
    <w:basedOn w:val="Normal"/>
    <w:rsid w:val="00DA5F7E"/>
    <w:pPr>
      <w:spacing w:before="100" w:beforeAutospacing="1" w:after="100" w:afterAutospacing="1" w:line="240" w:lineRule="auto"/>
    </w:pPr>
    <w:rPr>
      <w:rFonts w:ascii="Calibri" w:eastAsia="Times New Roman" w:hAnsi="Calibri" w:cs="Calibri"/>
      <w:color w:val="FF0000"/>
      <w:lang w:eastAsia="en-NZ"/>
    </w:rPr>
  </w:style>
  <w:style w:type="paragraph" w:customStyle="1" w:styleId="xl65">
    <w:name w:val="xl65"/>
    <w:basedOn w:val="Normal"/>
    <w:rsid w:val="00DA5F7E"/>
    <w:pPr>
      <w:pBdr>
        <w:top w:val="single" w:sz="4" w:space="0" w:color="AEAAAA"/>
        <w:left w:val="single" w:sz="4" w:space="0" w:color="AEAAAA"/>
        <w:bottom w:val="single" w:sz="4" w:space="0" w:color="AEAAAA"/>
        <w:right w:val="single" w:sz="4" w:space="0" w:color="AEAAAA"/>
      </w:pBdr>
      <w:shd w:val="clear" w:color="000000" w:fill="E7E6E6"/>
      <w:spacing w:before="100" w:beforeAutospacing="1" w:after="100" w:afterAutospacing="1" w:line="240" w:lineRule="auto"/>
    </w:pPr>
    <w:rPr>
      <w:rFonts w:ascii="Times New Roman" w:eastAsia="Times New Roman" w:hAnsi="Times New Roman" w:cs="Times New Roman"/>
      <w:b/>
      <w:bCs/>
      <w:sz w:val="24"/>
      <w:szCs w:val="24"/>
      <w:lang w:eastAsia="en-NZ"/>
    </w:rPr>
  </w:style>
  <w:style w:type="paragraph" w:customStyle="1" w:styleId="xl66">
    <w:name w:val="xl66"/>
    <w:basedOn w:val="Normal"/>
    <w:rsid w:val="00DA5F7E"/>
    <w:pPr>
      <w:pBdr>
        <w:top w:val="single" w:sz="4" w:space="0" w:color="AEAAAA"/>
        <w:left w:val="single" w:sz="4" w:space="0" w:color="AEAAAA"/>
        <w:bottom w:val="single" w:sz="4" w:space="0" w:color="AEAAAA"/>
        <w:right w:val="single" w:sz="4" w:space="0" w:color="AEAAAA"/>
      </w:pBdr>
      <w:shd w:val="clear" w:color="000000" w:fill="E7E6E6"/>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xl67">
    <w:name w:val="xl67"/>
    <w:basedOn w:val="Normal"/>
    <w:rsid w:val="00DA5F7E"/>
    <w:pPr>
      <w:pBdr>
        <w:top w:val="single" w:sz="4" w:space="0" w:color="AEAAAA"/>
        <w:left w:val="single" w:sz="4" w:space="0" w:color="AEAAAA"/>
        <w:bottom w:val="single" w:sz="4" w:space="0" w:color="AEAAAA"/>
        <w:right w:val="single" w:sz="4" w:space="0" w:color="AEAAAA"/>
      </w:pBdr>
      <w:shd w:val="clear" w:color="000000" w:fill="E7E6E6"/>
      <w:spacing w:before="100" w:beforeAutospacing="1" w:after="100" w:afterAutospacing="1" w:line="240" w:lineRule="auto"/>
      <w:textAlignment w:val="top"/>
    </w:pPr>
    <w:rPr>
      <w:rFonts w:ascii="Times New Roman" w:eastAsia="Times New Roman" w:hAnsi="Times New Roman" w:cs="Times New Roman"/>
      <w:sz w:val="24"/>
      <w:szCs w:val="24"/>
      <w:lang w:eastAsia="en-NZ"/>
    </w:rPr>
  </w:style>
  <w:style w:type="paragraph" w:customStyle="1" w:styleId="xl68">
    <w:name w:val="xl68"/>
    <w:basedOn w:val="Normal"/>
    <w:rsid w:val="00DA5F7E"/>
    <w:pPr>
      <w:pBdr>
        <w:top w:val="single" w:sz="4" w:space="0" w:color="AEAAAA"/>
        <w:left w:val="single" w:sz="4" w:space="0" w:color="AEAAAA"/>
        <w:bottom w:val="single" w:sz="4" w:space="0" w:color="AEAAAA"/>
        <w:right w:val="single" w:sz="4" w:space="0" w:color="AEAAAA"/>
      </w:pBdr>
      <w:shd w:val="clear" w:color="000000" w:fill="E7E6E6"/>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xl69">
    <w:name w:val="xl69"/>
    <w:basedOn w:val="Normal"/>
    <w:rsid w:val="00DA5F7E"/>
    <w:pPr>
      <w:pBdr>
        <w:top w:val="single" w:sz="4" w:space="0" w:color="AEAAAA"/>
        <w:left w:val="single" w:sz="4" w:space="0" w:color="AEAAAA"/>
        <w:bottom w:val="single" w:sz="4" w:space="0" w:color="AEAAAA"/>
        <w:right w:val="single" w:sz="4" w:space="0" w:color="AEAAAA"/>
      </w:pBdr>
      <w:shd w:val="clear" w:color="000000" w:fill="E7E6E6"/>
      <w:spacing w:before="100" w:beforeAutospacing="1" w:after="100" w:afterAutospacing="1" w:line="240" w:lineRule="auto"/>
      <w:textAlignment w:val="top"/>
    </w:pPr>
    <w:rPr>
      <w:rFonts w:ascii="Times New Roman" w:eastAsia="Times New Roman" w:hAnsi="Times New Roman" w:cs="Times New Roman"/>
      <w:sz w:val="20"/>
      <w:szCs w:val="20"/>
      <w:lang w:eastAsia="en-NZ"/>
    </w:rPr>
  </w:style>
  <w:style w:type="paragraph" w:customStyle="1" w:styleId="xl70">
    <w:name w:val="xl70"/>
    <w:basedOn w:val="Normal"/>
    <w:rsid w:val="00DA5F7E"/>
    <w:pPr>
      <w:pBdr>
        <w:top w:val="single" w:sz="4" w:space="0" w:color="AEAAAA"/>
        <w:left w:val="single" w:sz="4" w:space="0" w:color="AEAAAA"/>
        <w:bottom w:val="single" w:sz="4" w:space="0" w:color="AEAAAA"/>
        <w:right w:val="single" w:sz="4" w:space="0" w:color="AEAAAA"/>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en-NZ"/>
    </w:rPr>
  </w:style>
  <w:style w:type="paragraph" w:customStyle="1" w:styleId="xl71">
    <w:name w:val="xl71"/>
    <w:basedOn w:val="Normal"/>
    <w:rsid w:val="00DA5F7E"/>
    <w:pPr>
      <w:pBdr>
        <w:top w:val="single" w:sz="4" w:space="0" w:color="AEAAAA"/>
        <w:left w:val="single" w:sz="4" w:space="0" w:color="AEAAAA"/>
        <w:bottom w:val="single" w:sz="4" w:space="0" w:color="AEAAAA"/>
        <w:right w:val="single" w:sz="4" w:space="0" w:color="AEAAAA"/>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xl72">
    <w:name w:val="xl72"/>
    <w:basedOn w:val="Normal"/>
    <w:rsid w:val="00DA5F7E"/>
    <w:pPr>
      <w:pBdr>
        <w:top w:val="single" w:sz="4" w:space="0" w:color="AEAAAA"/>
        <w:left w:val="single" w:sz="4" w:space="0" w:color="AEAAAA"/>
        <w:bottom w:val="single" w:sz="4" w:space="0" w:color="AEAAAA"/>
        <w:right w:val="single" w:sz="4" w:space="0" w:color="AEAAAA"/>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en-NZ"/>
    </w:rPr>
  </w:style>
  <w:style w:type="paragraph" w:customStyle="1" w:styleId="xl73">
    <w:name w:val="xl73"/>
    <w:basedOn w:val="Normal"/>
    <w:rsid w:val="00DA5F7E"/>
    <w:pPr>
      <w:pBdr>
        <w:top w:val="single" w:sz="4" w:space="0" w:color="AEAAAA"/>
        <w:left w:val="single" w:sz="4" w:space="0" w:color="AEAAAA"/>
        <w:bottom w:val="single" w:sz="4" w:space="0" w:color="AEAAAA"/>
        <w:right w:val="single" w:sz="4" w:space="0" w:color="AEAAAA"/>
      </w:pBdr>
      <w:shd w:val="clear" w:color="000000" w:fill="EDEDED"/>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xl74">
    <w:name w:val="xl74"/>
    <w:basedOn w:val="Normal"/>
    <w:rsid w:val="00DA5F7E"/>
    <w:pPr>
      <w:pBdr>
        <w:top w:val="single" w:sz="4" w:space="0" w:color="AEAAAA"/>
        <w:left w:val="single" w:sz="4" w:space="0" w:color="AEAAAA"/>
        <w:bottom w:val="single" w:sz="4" w:space="0" w:color="AEAAAA"/>
        <w:right w:val="single" w:sz="4" w:space="0" w:color="AEAAAA"/>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n-NZ"/>
    </w:rPr>
  </w:style>
  <w:style w:type="paragraph" w:customStyle="1" w:styleId="xl75">
    <w:name w:val="xl75"/>
    <w:basedOn w:val="Normal"/>
    <w:rsid w:val="00DA5F7E"/>
    <w:pPr>
      <w:pBdr>
        <w:top w:val="single" w:sz="4" w:space="0" w:color="AEAAAA"/>
        <w:left w:val="single" w:sz="4" w:space="0" w:color="AEAAAA"/>
        <w:bottom w:val="single" w:sz="4" w:space="0" w:color="AEAAAA"/>
        <w:right w:val="single" w:sz="4" w:space="0" w:color="AEAAAA"/>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en-NZ"/>
    </w:rPr>
  </w:style>
  <w:style w:type="paragraph" w:customStyle="1" w:styleId="xl76">
    <w:name w:val="xl76"/>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xl77">
    <w:name w:val="xl77"/>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pPr>
    <w:rPr>
      <w:rFonts w:ascii="Times New Roman" w:eastAsia="Times New Roman" w:hAnsi="Times New Roman" w:cs="Times New Roman"/>
      <w:b/>
      <w:bCs/>
      <w:sz w:val="24"/>
      <w:szCs w:val="24"/>
      <w:lang w:eastAsia="en-NZ"/>
    </w:rPr>
  </w:style>
  <w:style w:type="paragraph" w:customStyle="1" w:styleId="xl78">
    <w:name w:val="xl78"/>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xl79">
    <w:name w:val="xl79"/>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pPr>
    <w:rPr>
      <w:rFonts w:ascii="Times New Roman" w:eastAsia="Times New Roman" w:hAnsi="Times New Roman" w:cs="Times New Roman"/>
      <w:b/>
      <w:bCs/>
      <w:sz w:val="24"/>
      <w:szCs w:val="24"/>
      <w:lang w:eastAsia="en-NZ"/>
    </w:rPr>
  </w:style>
  <w:style w:type="paragraph" w:customStyle="1" w:styleId="xl80">
    <w:name w:val="xl80"/>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textAlignment w:val="top"/>
    </w:pPr>
    <w:rPr>
      <w:rFonts w:ascii="Times New Roman" w:eastAsia="Times New Roman" w:hAnsi="Times New Roman" w:cs="Times New Roman"/>
      <w:sz w:val="24"/>
      <w:szCs w:val="24"/>
      <w:lang w:eastAsia="en-NZ"/>
    </w:rPr>
  </w:style>
  <w:style w:type="paragraph" w:customStyle="1" w:styleId="xl81">
    <w:name w:val="xl81"/>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xl82">
    <w:name w:val="xl82"/>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NZ"/>
    </w:rPr>
  </w:style>
  <w:style w:type="paragraph" w:customStyle="1" w:styleId="xl83">
    <w:name w:val="xl83"/>
    <w:basedOn w:val="Normal"/>
    <w:rsid w:val="00DA5F7E"/>
    <w:pPr>
      <w:pBdr>
        <w:top w:val="single" w:sz="4" w:space="0" w:color="AEAAAA"/>
        <w:left w:val="single" w:sz="4" w:space="0" w:color="AEAAAA"/>
        <w:bottom w:val="single" w:sz="4" w:space="0" w:color="AEAAAA"/>
        <w:right w:val="single" w:sz="4" w:space="0" w:color="AEAAAA"/>
      </w:pBdr>
      <w:shd w:val="clear" w:color="000000" w:fill="E7E6E6"/>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xl84">
    <w:name w:val="xl84"/>
    <w:basedOn w:val="Normal"/>
    <w:rsid w:val="00DA5F7E"/>
    <w:pPr>
      <w:pBdr>
        <w:top w:val="single" w:sz="4" w:space="0" w:color="AEAAAA"/>
        <w:left w:val="single" w:sz="4" w:space="0" w:color="AEAAAA"/>
        <w:bottom w:val="single" w:sz="4" w:space="0" w:color="AEAAAA"/>
        <w:right w:val="single" w:sz="4" w:space="0" w:color="AEAAAA"/>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NZ"/>
    </w:rPr>
  </w:style>
  <w:style w:type="paragraph" w:customStyle="1" w:styleId="xl85">
    <w:name w:val="xl85"/>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pPr>
    <w:rPr>
      <w:rFonts w:ascii="Times New Roman" w:eastAsia="Times New Roman" w:hAnsi="Times New Roman" w:cs="Times New Roman"/>
      <w:sz w:val="24"/>
      <w:szCs w:val="24"/>
      <w:lang w:eastAsia="en-NZ"/>
    </w:rPr>
  </w:style>
  <w:style w:type="paragraph" w:customStyle="1" w:styleId="xl86">
    <w:name w:val="xl86"/>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textAlignment w:val="top"/>
    </w:pPr>
    <w:rPr>
      <w:rFonts w:ascii="Times New Roman" w:eastAsia="Times New Roman" w:hAnsi="Times New Roman" w:cs="Times New Roman"/>
      <w:sz w:val="24"/>
      <w:szCs w:val="24"/>
      <w:lang w:eastAsia="en-NZ"/>
    </w:rPr>
  </w:style>
  <w:style w:type="paragraph" w:customStyle="1" w:styleId="xl87">
    <w:name w:val="xl87"/>
    <w:basedOn w:val="Normal"/>
    <w:rsid w:val="00DA5F7E"/>
    <w:pPr>
      <w:pBdr>
        <w:top w:val="single" w:sz="4" w:space="0" w:color="AEAAAA"/>
        <w:left w:val="single" w:sz="4" w:space="0" w:color="AEAAAA"/>
        <w:bottom w:val="single" w:sz="4" w:space="0" w:color="AEAAAA"/>
        <w:right w:val="single" w:sz="4" w:space="0" w:color="AEAAAA"/>
      </w:pBd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DA5F7E"/>
    <w:rPr>
      <w:sz w:val="22"/>
      <w:szCs w:val="22"/>
      <w:lang w:val="en-NZ"/>
    </w:rPr>
  </w:style>
  <w:style w:type="character" w:styleId="CommentReference">
    <w:name w:val="annotation reference"/>
    <w:basedOn w:val="DefaultParagraphFont"/>
    <w:uiPriority w:val="99"/>
    <w:semiHidden/>
    <w:unhideWhenUsed/>
    <w:rsid w:val="00DA5F7E"/>
    <w:rPr>
      <w:sz w:val="16"/>
      <w:szCs w:val="16"/>
    </w:rPr>
  </w:style>
  <w:style w:type="paragraph" w:styleId="CommentText">
    <w:name w:val="annotation text"/>
    <w:basedOn w:val="Normal"/>
    <w:link w:val="CommentTextChar"/>
    <w:uiPriority w:val="99"/>
    <w:semiHidden/>
    <w:unhideWhenUsed/>
    <w:rsid w:val="00DA5F7E"/>
    <w:pPr>
      <w:spacing w:line="240" w:lineRule="auto"/>
    </w:pPr>
    <w:rPr>
      <w:sz w:val="20"/>
      <w:szCs w:val="20"/>
    </w:rPr>
  </w:style>
  <w:style w:type="character" w:customStyle="1" w:styleId="CommentTextChar">
    <w:name w:val="Comment Text Char"/>
    <w:basedOn w:val="DefaultParagraphFont"/>
    <w:link w:val="CommentText"/>
    <w:uiPriority w:val="99"/>
    <w:semiHidden/>
    <w:rsid w:val="00DA5F7E"/>
    <w:rPr>
      <w:sz w:val="20"/>
      <w:szCs w:val="20"/>
      <w:lang w:val="en-NZ"/>
    </w:rPr>
  </w:style>
  <w:style w:type="paragraph" w:styleId="CommentSubject">
    <w:name w:val="annotation subject"/>
    <w:basedOn w:val="CommentText"/>
    <w:next w:val="CommentText"/>
    <w:link w:val="CommentSubjectChar"/>
    <w:uiPriority w:val="99"/>
    <w:semiHidden/>
    <w:unhideWhenUsed/>
    <w:rsid w:val="00DA5F7E"/>
    <w:rPr>
      <w:b/>
      <w:bCs/>
    </w:rPr>
  </w:style>
  <w:style w:type="character" w:customStyle="1" w:styleId="CommentSubjectChar">
    <w:name w:val="Comment Subject Char"/>
    <w:basedOn w:val="CommentTextChar"/>
    <w:link w:val="CommentSubject"/>
    <w:uiPriority w:val="99"/>
    <w:semiHidden/>
    <w:rsid w:val="00DA5F7E"/>
    <w:rPr>
      <w:b/>
      <w:bCs/>
      <w:sz w:val="20"/>
      <w:szCs w:val="20"/>
      <w:lang w:val="en-NZ"/>
    </w:rPr>
  </w:style>
  <w:style w:type="character" w:styleId="LineNumber">
    <w:name w:val="line number"/>
    <w:basedOn w:val="DefaultParagraphFont"/>
    <w:uiPriority w:val="99"/>
    <w:semiHidden/>
    <w:unhideWhenUsed/>
    <w:rsid w:val="00DA5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41</Pages>
  <Words>8095</Words>
  <Characters>46148</Characters>
  <Application>Microsoft Office Word</Application>
  <DocSecurity>0</DocSecurity>
  <Lines>384</Lines>
  <Paragraphs>108</Paragraphs>
  <ScaleCrop>false</ScaleCrop>
  <Company/>
  <LinksUpToDate>false</LinksUpToDate>
  <CharactersWithSpaces>54135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 Ohene-Agyei</dc:creator>
  <cp:keywords/>
  <dc:description/>
  <cp:lastModifiedBy>Phyllis Ohene-Agyei</cp:lastModifiedBy>
  <cp:revision>1</cp:revision>
  <dcterms:created xsi:type="dcterms:W3CDTF">2024-03-28T08:58:00Z</dcterms:created>
  <dcterms:modified xsi:type="dcterms:W3CDTF">2024-03-28T09:06:00Z</dcterms:modified>
</cp:coreProperties>
</file>