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A5BE0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center"/>
        <w:rPr>
          <w:rFonts w:hint="default" w:ascii="Times New Roman" w:hAnsi="Times New Roman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Hlk102052897"/>
      <w:r>
        <w:rPr>
          <w:rFonts w:hint="default" w:ascii="Times New Roman" w:hAnsi="Times New Roman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Supporting Information</w:t>
      </w:r>
    </w:p>
    <w:p w14:paraId="5A4904CF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center"/>
        <w:rPr>
          <w:rFonts w:hint="default" w:ascii="Times New Roman" w:hAnsi="Times New Roman" w:eastAsia="等线" w:cs="Times New Roman"/>
          <w:sz w:val="24"/>
          <w:szCs w:val="24"/>
          <w:lang w:bidi="a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Effect of gestational weight gain on adverse birth outcomes in twin pregnancies: a prospective cohort study in Chinese women</w:t>
      </w:r>
    </w:p>
    <w:p w14:paraId="3B374A2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rPr>
          <w:rFonts w:hint="default" w:ascii="Times New Roman" w:hAnsi="Times New Roman" w:eastAsia="等线" w:cs="Times New Roman"/>
          <w:sz w:val="22"/>
          <w:szCs w:val="22"/>
          <w:lang w:bidi="ar"/>
        </w:rPr>
      </w:pPr>
    </w:p>
    <w:p w14:paraId="7443243C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Contents</w:t>
      </w:r>
    </w:p>
    <w:bookmarkEnd w:id="0"/>
    <w:p w14:paraId="056943E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rPr>
          <w:rFonts w:hint="default" w:ascii="Times New Roman" w:hAnsi="Times New Roman" w:cs="Times New Roman"/>
          <w:sz w:val="22"/>
          <w:szCs w:val="22"/>
        </w:rPr>
      </w:pPr>
      <w:bookmarkStart w:id="1" w:name="_Hlk100851663"/>
      <w:bookmarkStart w:id="2" w:name="_Hlk100411264"/>
      <w:r>
        <w:rPr>
          <w:rFonts w:hint="default" w:ascii="Times New Roman" w:hAnsi="Times New Roman" w:eastAsia="宋体" w:cs="Times New Roman"/>
          <w:b/>
          <w:bCs/>
          <w:sz w:val="22"/>
          <w:szCs w:val="22"/>
        </w:rPr>
        <w:t xml:space="preserve">Table S1. </w:t>
      </w:r>
      <w:r>
        <w:rPr>
          <w:rFonts w:hint="default" w:ascii="Times New Roman" w:hAnsi="Times New Roman" w:eastAsia="宋体" w:cs="Times New Roman"/>
          <w:bCs/>
          <w:color w:val="000000"/>
          <w:kern w:val="0"/>
          <w:sz w:val="22"/>
          <w:szCs w:val="22"/>
        </w:rPr>
        <w:t>Optimal range of GWG for pregnant women with twin pregnancies</w:t>
      </w:r>
      <w:r>
        <w:rPr>
          <w:rFonts w:hint="default" w:ascii="Times New Roman" w:hAnsi="Times New Roman" w:eastAsia="等线" w:cs="Times New Roman"/>
          <w:sz w:val="22"/>
          <w:szCs w:val="22"/>
        </w:rPr>
        <w:t>.</w:t>
      </w:r>
    </w:p>
    <w:p w14:paraId="1F25D272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rPr>
          <w:rFonts w:hint="default" w:ascii="Times New Roman" w:hAnsi="Times New Roman" w:eastAsia="宋体" w:cs="Times New Roman"/>
          <w:bCs/>
          <w:color w:val="000000"/>
          <w:kern w:val="0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Table S</w:t>
      </w:r>
      <w:r>
        <w:rPr>
          <w:rFonts w:hint="default" w:ascii="Times New Roman" w:hAnsi="Times New Roman" w:cs="Times New Roman"/>
          <w:b/>
          <w:sz w:val="22"/>
          <w:szCs w:val="22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sz w:val="22"/>
          <w:szCs w:val="22"/>
        </w:rPr>
        <w:t xml:space="preserve">. </w:t>
      </w:r>
      <w:r>
        <w:rPr>
          <w:rFonts w:hint="default" w:ascii="Times New Roman" w:hAnsi="Times New Roman" w:eastAsia="宋体" w:cs="Times New Roman"/>
          <w:bCs/>
          <w:color w:val="000000"/>
          <w:kern w:val="0"/>
          <w:sz w:val="22"/>
          <w:szCs w:val="22"/>
        </w:rPr>
        <w:t>Sensitivity analysis between GWG and risk of adverse birth outcomes according to WHO BMI classification criteria.</w:t>
      </w:r>
    </w:p>
    <w:p w14:paraId="6E01C7A6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eastAsia="宋体" w:cs="Times New Roman"/>
          <w:b/>
          <w:bCs/>
          <w:sz w:val="22"/>
          <w:szCs w:val="22"/>
        </w:rPr>
        <w:t>Table S</w:t>
      </w:r>
      <w:r>
        <w:rPr>
          <w:rFonts w:hint="default" w:ascii="Times New Roman" w:hAnsi="Times New Roman" w:eastAsia="宋体" w:cs="Times New Roman"/>
          <w:b/>
          <w:bCs/>
          <w:sz w:val="22"/>
          <w:szCs w:val="22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b/>
          <w:bCs/>
          <w:sz w:val="22"/>
          <w:szCs w:val="22"/>
        </w:rPr>
        <w:t xml:space="preserve">. </w:t>
      </w:r>
      <w:r>
        <w:rPr>
          <w:rFonts w:hint="default" w:ascii="Times New Roman" w:hAnsi="Times New Roman" w:eastAsia="宋体" w:cs="Times New Roman"/>
          <w:bCs/>
          <w:color w:val="000000"/>
          <w:kern w:val="0"/>
          <w:sz w:val="22"/>
          <w:szCs w:val="22"/>
        </w:rPr>
        <w:t>Sensitivity analysis between GWG and risk of adverse birth outcomes in primiparous women</w:t>
      </w:r>
      <w:r>
        <w:rPr>
          <w:rFonts w:hint="default" w:ascii="Times New Roman" w:hAnsi="Times New Roman" w:eastAsia="等线" w:cs="Times New Roman"/>
          <w:sz w:val="22"/>
          <w:szCs w:val="22"/>
        </w:rPr>
        <w:t>.</w:t>
      </w:r>
    </w:p>
    <w:p w14:paraId="6825F9F0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rPr>
          <w:rFonts w:hint="default" w:ascii="Times New Roman" w:hAnsi="Times New Roman" w:eastAsia="等线" w:cs="Times New Roman"/>
          <w:sz w:val="22"/>
          <w:szCs w:val="22"/>
        </w:rPr>
        <w:sectPr>
          <w:headerReference r:id="rId3" w:type="default"/>
          <w:pgSz w:w="11906" w:h="16838"/>
          <w:pgMar w:top="1576" w:right="1440" w:bottom="1576" w:left="1440" w:header="851" w:footer="992" w:gutter="0"/>
          <w:pgNumType w:fmt="decimal"/>
          <w:cols w:space="425" w:num="1"/>
          <w:docGrid w:linePitch="312" w:charSpace="0"/>
        </w:sectPr>
      </w:pPr>
      <w:r>
        <w:rPr>
          <w:rFonts w:hint="default" w:ascii="Times New Roman" w:hAnsi="Times New Roman" w:eastAsia="宋体" w:cs="Times New Roman"/>
          <w:b/>
          <w:bCs/>
          <w:sz w:val="22"/>
          <w:szCs w:val="22"/>
        </w:rPr>
        <w:t>Table S</w:t>
      </w:r>
      <w:r>
        <w:rPr>
          <w:rFonts w:hint="default" w:ascii="Times New Roman" w:hAnsi="Times New Roman" w:eastAsia="宋体" w:cs="Times New Roman"/>
          <w:b/>
          <w:bCs/>
          <w:sz w:val="22"/>
          <w:szCs w:val="22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b/>
          <w:bCs/>
          <w:sz w:val="22"/>
          <w:szCs w:val="22"/>
        </w:rPr>
        <w:t xml:space="preserve">. </w:t>
      </w:r>
      <w:r>
        <w:rPr>
          <w:rFonts w:hint="default" w:ascii="Times New Roman" w:hAnsi="Times New Roman" w:eastAsia="宋体" w:cs="Times New Roman"/>
          <w:bCs/>
          <w:color w:val="000000"/>
          <w:kern w:val="0"/>
          <w:sz w:val="22"/>
          <w:szCs w:val="22"/>
        </w:rPr>
        <w:t>Sensitivity analysis between GWG and risk of adverse birth outcomes in pregnant women &lt;35 years of age</w:t>
      </w:r>
      <w:r>
        <w:rPr>
          <w:rFonts w:hint="default" w:ascii="Times New Roman" w:hAnsi="Times New Roman" w:eastAsia="等线" w:cs="Times New Roman"/>
          <w:sz w:val="22"/>
          <w:szCs w:val="22"/>
        </w:rPr>
        <w:t>.</w:t>
      </w:r>
    </w:p>
    <w:tbl>
      <w:tblPr>
        <w:tblStyle w:val="12"/>
        <w:tblpPr w:leftFromText="180" w:rightFromText="180" w:vertAnchor="text" w:horzAnchor="page" w:tblpX="1583" w:tblpY="443"/>
        <w:tblOverlap w:val="never"/>
        <w:tblW w:w="13710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813"/>
        <w:gridCol w:w="1813"/>
        <w:gridCol w:w="1814"/>
        <w:gridCol w:w="510"/>
        <w:gridCol w:w="1953"/>
        <w:gridCol w:w="1953"/>
        <w:gridCol w:w="1954"/>
      </w:tblGrid>
      <w:tr w14:paraId="49AB858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13710" w:type="dxa"/>
            <w:gridSpan w:val="8"/>
            <w:tcBorders>
              <w:top w:val="nil"/>
              <w:bottom w:val="single" w:color="auto" w:sz="12" w:space="0"/>
            </w:tcBorders>
          </w:tcPr>
          <w:p w14:paraId="1A8782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Cs/>
                <w:sz w:val="22"/>
                <w:szCs w:val="22"/>
                <w:lang w:bidi="ar"/>
              </w:rPr>
              <w:t>Table S1. Optimal range of GWG for pregnant women with twin pregnancies</w:t>
            </w:r>
          </w:p>
        </w:tc>
      </w:tr>
      <w:tr w14:paraId="23FB539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1900" w:type="dxa"/>
            <w:vMerge w:val="restar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4F41F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  <w:t>Pre-pregnancy BMI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  <w:t>kg/m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vertAlign w:val="superscript"/>
              </w:rPr>
              <w:t>2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5440" w:type="dxa"/>
            <w:gridSpan w:val="3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D958D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</w:rPr>
              <w:t>Interquartile range (P25-P75) method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vertAlign w:val="superscript"/>
              </w:rPr>
              <w:t xml:space="preserve"> a</w:t>
            </w:r>
          </w:p>
        </w:tc>
        <w:tc>
          <w:tcPr>
            <w:tcW w:w="510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19F9A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860" w:type="dxa"/>
            <w:gridSpan w:val="3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E37C9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Cs/>
                <w:sz w:val="22"/>
                <w:szCs w:val="22"/>
                <w:lang w:bidi="ar"/>
              </w:rPr>
              <w:t>IOM criteria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vertAlign w:val="superscript"/>
              </w:rPr>
              <w:t>b</w:t>
            </w:r>
          </w:p>
        </w:tc>
      </w:tr>
      <w:tr w14:paraId="0F4B550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1900" w:type="dxa"/>
            <w:vMerge w:val="continue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26F0D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DE1AB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  <w:t>Insufficient GWG (kg)</w:t>
            </w:r>
          </w:p>
        </w:tc>
        <w:tc>
          <w:tcPr>
            <w:tcW w:w="181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B6997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sz w:val="22"/>
                <w:szCs w:val="22"/>
                <w:lang w:bidi="ar"/>
              </w:rPr>
              <w:t>Adequate GWG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  <w:t xml:space="preserve"> (kg)</w:t>
            </w:r>
          </w:p>
        </w:tc>
        <w:tc>
          <w:tcPr>
            <w:tcW w:w="181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B6D8B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sz w:val="22"/>
                <w:szCs w:val="22"/>
                <w:lang w:bidi="ar"/>
              </w:rPr>
              <w:t>Excessive GWG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  <w:t xml:space="preserve"> (kg)</w:t>
            </w:r>
          </w:p>
        </w:tc>
        <w:tc>
          <w:tcPr>
            <w:tcW w:w="510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460F2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D68FB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  <w:t>Insufficient GWG (kg)</w:t>
            </w:r>
          </w:p>
        </w:tc>
        <w:tc>
          <w:tcPr>
            <w:tcW w:w="195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C02ED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sz w:val="22"/>
                <w:szCs w:val="22"/>
                <w:lang w:bidi="ar"/>
              </w:rPr>
              <w:t xml:space="preserve">Adequate </w:t>
            </w:r>
          </w:p>
          <w:p w14:paraId="0AB1BD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sz w:val="22"/>
                <w:szCs w:val="22"/>
                <w:lang w:bidi="ar"/>
              </w:rPr>
              <w:t>GWG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  <w:t xml:space="preserve"> (kg)</w:t>
            </w:r>
          </w:p>
        </w:tc>
        <w:tc>
          <w:tcPr>
            <w:tcW w:w="195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128DB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sz w:val="22"/>
                <w:szCs w:val="22"/>
                <w:lang w:bidi="ar"/>
              </w:rPr>
              <w:t xml:space="preserve">Excessive </w:t>
            </w:r>
          </w:p>
          <w:p w14:paraId="352F29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sz w:val="22"/>
                <w:szCs w:val="22"/>
                <w:lang w:bidi="ar"/>
              </w:rPr>
              <w:t>GWG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  <w:t xml:space="preserve"> (kg)</w:t>
            </w:r>
          </w:p>
        </w:tc>
      </w:tr>
      <w:tr w14:paraId="5A85CC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90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40209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220" w:firstLineChars="100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＜18.5</w:t>
            </w:r>
          </w:p>
        </w:tc>
        <w:tc>
          <w:tcPr>
            <w:tcW w:w="181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DBFE0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＜15.0</w:t>
            </w:r>
          </w:p>
        </w:tc>
        <w:tc>
          <w:tcPr>
            <w:tcW w:w="181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F6C4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15.0-22.0</w:t>
            </w:r>
          </w:p>
        </w:tc>
        <w:tc>
          <w:tcPr>
            <w:tcW w:w="181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BE32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＞22.0</w:t>
            </w:r>
          </w:p>
        </w:tc>
        <w:tc>
          <w:tcPr>
            <w:tcW w:w="51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FF4BE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7C061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＜16.8</w:t>
            </w:r>
          </w:p>
        </w:tc>
        <w:tc>
          <w:tcPr>
            <w:tcW w:w="195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9BAA8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16.8-24.5</w:t>
            </w:r>
          </w:p>
        </w:tc>
        <w:tc>
          <w:tcPr>
            <w:tcW w:w="195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33886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＞24.5</w:t>
            </w:r>
          </w:p>
        </w:tc>
      </w:tr>
      <w:tr w14:paraId="5F000C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00" w:type="dxa"/>
            <w:tcBorders>
              <w:tl2br w:val="nil"/>
              <w:tr2bl w:val="nil"/>
            </w:tcBorders>
            <w:vAlign w:val="center"/>
          </w:tcPr>
          <w:p w14:paraId="0325FD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220" w:firstLineChars="100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18.5~23.9</w:t>
            </w:r>
          </w:p>
        </w:tc>
        <w:tc>
          <w:tcPr>
            <w:tcW w:w="1813" w:type="dxa"/>
            <w:tcBorders>
              <w:tl2br w:val="nil"/>
              <w:tr2bl w:val="nil"/>
            </w:tcBorders>
            <w:vAlign w:val="center"/>
          </w:tcPr>
          <w:p w14:paraId="33793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＜14.0</w:t>
            </w:r>
          </w:p>
        </w:tc>
        <w:tc>
          <w:tcPr>
            <w:tcW w:w="1813" w:type="dxa"/>
            <w:tcBorders>
              <w:tl2br w:val="nil"/>
              <w:tr2bl w:val="nil"/>
            </w:tcBorders>
            <w:vAlign w:val="center"/>
          </w:tcPr>
          <w:p w14:paraId="2D320B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14.0-21.0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vAlign w:val="center"/>
          </w:tcPr>
          <w:p w14:paraId="0E0BD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＞21.0</w:t>
            </w: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14:paraId="7F99EF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7FBE7D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＜16.8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1DCD10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16.8-24.5</w:t>
            </w:r>
          </w:p>
        </w:tc>
        <w:tc>
          <w:tcPr>
            <w:tcW w:w="1954" w:type="dxa"/>
            <w:tcBorders>
              <w:tl2br w:val="nil"/>
              <w:tr2bl w:val="nil"/>
            </w:tcBorders>
            <w:vAlign w:val="center"/>
          </w:tcPr>
          <w:p w14:paraId="197B28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＞24.5</w:t>
            </w:r>
          </w:p>
        </w:tc>
      </w:tr>
      <w:tr w14:paraId="572802C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900" w:type="dxa"/>
            <w:tcBorders>
              <w:tl2br w:val="nil"/>
              <w:tr2bl w:val="nil"/>
            </w:tcBorders>
            <w:vAlign w:val="center"/>
          </w:tcPr>
          <w:p w14:paraId="324EDB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220" w:firstLineChars="100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24.0~27.9</w:t>
            </w:r>
          </w:p>
        </w:tc>
        <w:tc>
          <w:tcPr>
            <w:tcW w:w="1813" w:type="dxa"/>
            <w:tcBorders>
              <w:tl2br w:val="nil"/>
              <w:tr2bl w:val="nil"/>
            </w:tcBorders>
            <w:vAlign w:val="center"/>
          </w:tcPr>
          <w:p w14:paraId="5FF5C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＜12.2</w:t>
            </w:r>
          </w:p>
        </w:tc>
        <w:tc>
          <w:tcPr>
            <w:tcW w:w="1813" w:type="dxa"/>
            <w:tcBorders>
              <w:tl2br w:val="nil"/>
              <w:tr2bl w:val="nil"/>
            </w:tcBorders>
            <w:vAlign w:val="center"/>
          </w:tcPr>
          <w:p w14:paraId="29C2F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12.2-20.0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vAlign w:val="center"/>
          </w:tcPr>
          <w:p w14:paraId="4262F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＞20.0</w:t>
            </w: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14:paraId="091FB1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6E95A7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＜14.1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5F073F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14.1-22.7</w:t>
            </w:r>
          </w:p>
        </w:tc>
        <w:tc>
          <w:tcPr>
            <w:tcW w:w="1954" w:type="dxa"/>
            <w:tcBorders>
              <w:tl2br w:val="nil"/>
              <w:tr2bl w:val="nil"/>
            </w:tcBorders>
            <w:vAlign w:val="center"/>
          </w:tcPr>
          <w:p w14:paraId="2DAAFD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＞22.7</w:t>
            </w:r>
          </w:p>
        </w:tc>
      </w:tr>
      <w:tr w14:paraId="7C47D20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00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E2E0C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220" w:firstLineChars="100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≥28.0</w:t>
            </w:r>
          </w:p>
        </w:tc>
        <w:tc>
          <w:tcPr>
            <w:tcW w:w="181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8417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＜10.0</w:t>
            </w:r>
          </w:p>
        </w:tc>
        <w:tc>
          <w:tcPr>
            <w:tcW w:w="181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1A429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10.0-17.0</w:t>
            </w:r>
          </w:p>
        </w:tc>
        <w:tc>
          <w:tcPr>
            <w:tcW w:w="1814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2ED0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＞17.0</w:t>
            </w:r>
          </w:p>
        </w:tc>
        <w:tc>
          <w:tcPr>
            <w:tcW w:w="510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56D40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355E8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＜11.4</w:t>
            </w:r>
          </w:p>
        </w:tc>
        <w:tc>
          <w:tcPr>
            <w:tcW w:w="195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3D4A2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11.4-19.1</w:t>
            </w:r>
          </w:p>
        </w:tc>
        <w:tc>
          <w:tcPr>
            <w:tcW w:w="1954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5B6FD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＞19.1</w:t>
            </w:r>
          </w:p>
        </w:tc>
      </w:tr>
      <w:tr w14:paraId="197957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710" w:type="dxa"/>
            <w:gridSpan w:val="8"/>
            <w:tcBorders>
              <w:top w:val="single" w:color="auto" w:sz="12" w:space="0"/>
              <w:bottom w:val="nil"/>
            </w:tcBorders>
            <w:vAlign w:val="center"/>
          </w:tcPr>
          <w:p w14:paraId="53FECF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bookmarkStart w:id="3" w:name="_Hlk97736085"/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 xml:space="preserve">Abbreviation: </w:t>
            </w: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lang w:val="en-GB"/>
              </w:rPr>
              <w:t>BMI, body mass index;</w:t>
            </w: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 xml:space="preserve"> </w:t>
            </w:r>
            <w:bookmarkEnd w:id="3"/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GWG, gestational weight gain; IOM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>, Institute of Medicine.</w:t>
            </w:r>
          </w:p>
          <w:p w14:paraId="4FCC24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vertAlign w:val="superscript"/>
              </w:rPr>
              <w:t>a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 xml:space="preserve"> GWG was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categorized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according to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 xml:space="preserve"> the interquartile range (P25-P75) method.</w:t>
            </w:r>
          </w:p>
          <w:p w14:paraId="04FDC9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vertAlign w:val="superscript"/>
              </w:rPr>
              <w:t>b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 xml:space="preserve"> GWG was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categorized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according to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 xml:space="preserve"> the IOM criteria in 2009.</w:t>
            </w:r>
          </w:p>
        </w:tc>
      </w:tr>
    </w:tbl>
    <w:p w14:paraId="1D67AAB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rPr>
          <w:rFonts w:hint="default" w:ascii="Times New Roman" w:hAnsi="Times New Roman" w:cs="Times New Roman"/>
          <w:b/>
          <w:bCs/>
          <w:color w:val="000000" w:themeColor="text1"/>
          <w:sz w:val="22"/>
          <w:szCs w:val="22"/>
          <w:highlight w:val="yellow"/>
          <w14:textFill>
            <w14:solidFill>
              <w14:schemeClr w14:val="tx1"/>
            </w14:solidFill>
          </w14:textFill>
        </w:rPr>
      </w:pPr>
    </w:p>
    <w:bookmarkEnd w:id="1"/>
    <w:bookmarkEnd w:id="2"/>
    <w:p w14:paraId="760BD876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rPr>
          <w:rFonts w:hint="default" w:ascii="Times New Roman" w:hAnsi="Times New Roman" w:eastAsia="等线" w:cs="Times New Roman"/>
          <w:b/>
          <w:bCs/>
          <w:color w:val="000000" w:themeColor="text1"/>
          <w:kern w:val="0"/>
          <w:sz w:val="22"/>
          <w:szCs w:val="22"/>
          <w14:textFill>
            <w14:solidFill>
              <w14:schemeClr w14:val="tx1"/>
            </w14:solidFill>
          </w14:textFill>
        </w:rPr>
        <w:sectPr>
          <w:pgSz w:w="16838" w:h="11906" w:orient="landscape"/>
          <w:pgMar w:top="1576" w:right="1440" w:bottom="1576" w:left="1440" w:header="851" w:footer="992" w:gutter="0"/>
          <w:pgNumType w:fmt="decimal"/>
          <w:cols w:space="425" w:num="1"/>
          <w:docGrid w:linePitch="312" w:charSpace="0"/>
        </w:sectPr>
      </w:pPr>
    </w:p>
    <w:tbl>
      <w:tblPr>
        <w:tblStyle w:val="12"/>
        <w:tblW w:w="5585" w:type="pct"/>
        <w:jc w:val="center"/>
        <w:tblBorders>
          <w:top w:val="none" w:color="auto" w:sz="0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0"/>
        <w:gridCol w:w="2298"/>
        <w:gridCol w:w="2298"/>
        <w:gridCol w:w="2300"/>
      </w:tblGrid>
      <w:tr w14:paraId="43C9D055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5000" w:type="pct"/>
            <w:gridSpan w:val="4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4E3B60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Table S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. Sensitivity analysis between GWG according to WHO BMI classification criteria and risk of adverse birth outcomes (n=1,029).</w:t>
            </w:r>
          </w:p>
        </w:tc>
      </w:tr>
      <w:tr w14:paraId="1285FD33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1381" w:type="pct"/>
            <w:vMerge w:val="restart"/>
            <w:tcBorders>
              <w:top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56F360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bookmarkStart w:id="4" w:name="OLE_LINK5" w:colFirst="1" w:colLast="4"/>
          </w:p>
        </w:tc>
        <w:tc>
          <w:tcPr>
            <w:tcW w:w="3618" w:type="pct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70A9E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Cs/>
                <w:sz w:val="22"/>
                <w:szCs w:val="22"/>
                <w:lang w:bidi="ar"/>
              </w:rPr>
              <w:t xml:space="preserve">IOM criteria </w:t>
            </w:r>
            <w:r>
              <w:rPr>
                <w:rFonts w:hint="default" w:ascii="Times New Roman" w:hAnsi="Times New Roman" w:eastAsia="宋体" w:cs="Times New Roman"/>
                <w:b/>
                <w:bCs/>
                <w:iCs/>
                <w:sz w:val="22"/>
                <w:szCs w:val="22"/>
                <w:vertAlign w:val="superscript"/>
                <w:lang w:bidi="ar"/>
              </w:rPr>
              <w:t>a</w:t>
            </w:r>
          </w:p>
        </w:tc>
      </w:tr>
      <w:tr w14:paraId="04446FAA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1381" w:type="pct"/>
            <w:vMerge w:val="continue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DA674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6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57CA0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 xml:space="preserve">Crude model </w:t>
            </w:r>
            <w:r>
              <w:rPr>
                <w:rFonts w:hint="default" w:ascii="Times New Roman" w:hAnsi="Times New Roman" w:cs="Times New Roman"/>
                <w:b/>
                <w:bCs/>
                <w:kern w:val="0"/>
                <w:sz w:val="22"/>
                <w:szCs w:val="22"/>
                <w:vertAlign w:val="superscript"/>
                <w:lang w:bidi="ar"/>
              </w:rPr>
              <w:t>b</w:t>
            </w:r>
          </w:p>
        </w:tc>
        <w:tc>
          <w:tcPr>
            <w:tcW w:w="1206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68836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Model I</w:t>
            </w:r>
            <w:r>
              <w:rPr>
                <w:rFonts w:hint="default" w:ascii="Times New Roman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kern w:val="0"/>
                <w:sz w:val="22"/>
                <w:szCs w:val="22"/>
                <w:vertAlign w:val="superscript"/>
                <w:lang w:bidi="ar"/>
              </w:rPr>
              <w:t>c</w:t>
            </w:r>
          </w:p>
        </w:tc>
        <w:tc>
          <w:tcPr>
            <w:tcW w:w="1206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65325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Model II</w:t>
            </w:r>
            <w:r>
              <w:rPr>
                <w:rFonts w:hint="default" w:ascii="Times New Roman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kern w:val="0"/>
                <w:sz w:val="22"/>
                <w:szCs w:val="22"/>
                <w:vertAlign w:val="superscript"/>
                <w:lang w:bidi="ar"/>
              </w:rPr>
              <w:t>d</w:t>
            </w:r>
          </w:p>
        </w:tc>
      </w:tr>
      <w:bookmarkEnd w:id="4"/>
      <w:tr w14:paraId="0039CEB9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1381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E74B2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PTB</w:t>
            </w:r>
          </w:p>
        </w:tc>
        <w:tc>
          <w:tcPr>
            <w:tcW w:w="1206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86F5A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6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0D652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6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5AB47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7FE92B74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138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F6040A">
            <w:pPr>
              <w:keepNext w:val="0"/>
              <w:keepLines w:val="0"/>
              <w:pageBreakBefore w:val="0"/>
              <w:widowControl/>
              <w:tabs>
                <w:tab w:val="left" w:pos="6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220" w:firstLineChars="10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  <w:t>Adequate GWG</w:t>
            </w:r>
          </w:p>
        </w:tc>
        <w:tc>
          <w:tcPr>
            <w:tcW w:w="12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6015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12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523D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12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47E2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</w:tr>
      <w:tr w14:paraId="0DFE6706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138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5EB5CB">
            <w:pPr>
              <w:keepNext w:val="0"/>
              <w:keepLines w:val="0"/>
              <w:pageBreakBefore w:val="0"/>
              <w:widowControl/>
              <w:tabs>
                <w:tab w:val="left" w:pos="6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220" w:firstLineChars="10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  <w:t>Insufficient GWG</w:t>
            </w:r>
          </w:p>
        </w:tc>
        <w:tc>
          <w:tcPr>
            <w:tcW w:w="12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2113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1.84 (1.41, 2.41)</w:t>
            </w:r>
          </w:p>
        </w:tc>
        <w:tc>
          <w:tcPr>
            <w:tcW w:w="12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8F89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84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41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, 2.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41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2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6D68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1.7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(1.3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, 2.3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6A466CB4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138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10D6BF">
            <w:pPr>
              <w:keepNext w:val="0"/>
              <w:keepLines w:val="0"/>
              <w:pageBreakBefore w:val="0"/>
              <w:widowControl/>
              <w:tabs>
                <w:tab w:val="left" w:pos="6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220" w:firstLineChars="10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  <w:t>Excessive GWG</w:t>
            </w:r>
          </w:p>
        </w:tc>
        <w:tc>
          <w:tcPr>
            <w:tcW w:w="12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F2A5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1.21 (0.81, 1.81)</w:t>
            </w:r>
          </w:p>
        </w:tc>
        <w:tc>
          <w:tcPr>
            <w:tcW w:w="12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B5F9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80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, 1.7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2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B954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78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, 1.8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042A7603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138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33BE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LBW</w:t>
            </w:r>
          </w:p>
        </w:tc>
        <w:tc>
          <w:tcPr>
            <w:tcW w:w="12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7FAF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  <w:tc>
          <w:tcPr>
            <w:tcW w:w="12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5D78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  <w:tc>
          <w:tcPr>
            <w:tcW w:w="12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52F1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</w:tr>
      <w:tr w14:paraId="3F5CEED4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138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65B161">
            <w:pPr>
              <w:keepNext w:val="0"/>
              <w:keepLines w:val="0"/>
              <w:pageBreakBefore w:val="0"/>
              <w:widowControl/>
              <w:tabs>
                <w:tab w:val="left" w:pos="6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220" w:firstLineChars="100"/>
              <w:jc w:val="left"/>
              <w:textAlignment w:val="auto"/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  <w:t>Adequate GWG</w:t>
            </w:r>
          </w:p>
        </w:tc>
        <w:tc>
          <w:tcPr>
            <w:tcW w:w="12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5D40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12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410E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12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4AE2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</w:tr>
      <w:tr w14:paraId="1A50EA7B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138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6C422B">
            <w:pPr>
              <w:keepNext w:val="0"/>
              <w:keepLines w:val="0"/>
              <w:pageBreakBefore w:val="0"/>
              <w:widowControl/>
              <w:tabs>
                <w:tab w:val="left" w:pos="6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220" w:firstLineChars="100"/>
              <w:jc w:val="left"/>
              <w:textAlignment w:val="auto"/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  <w:t>Insufficient GWG</w:t>
            </w:r>
          </w:p>
        </w:tc>
        <w:tc>
          <w:tcPr>
            <w:tcW w:w="12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3435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2.15 (1.64, 2.82)</w:t>
            </w:r>
          </w:p>
        </w:tc>
        <w:tc>
          <w:tcPr>
            <w:tcW w:w="12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3920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(1.6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, 2.8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2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AF88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1.67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21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, 2.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30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46419A7E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138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EDF61D">
            <w:pPr>
              <w:keepNext w:val="0"/>
              <w:keepLines w:val="0"/>
              <w:pageBreakBefore w:val="0"/>
              <w:widowControl/>
              <w:tabs>
                <w:tab w:val="left" w:pos="6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220" w:firstLineChars="100"/>
              <w:jc w:val="left"/>
              <w:textAlignment w:val="auto"/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  <w:t>Excessive GWG</w:t>
            </w:r>
          </w:p>
        </w:tc>
        <w:tc>
          <w:tcPr>
            <w:tcW w:w="12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780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0.70 (0.47, 1.04)</w:t>
            </w:r>
          </w:p>
        </w:tc>
        <w:tc>
          <w:tcPr>
            <w:tcW w:w="12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4591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70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(0.4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, 1.0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2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F2E7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55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34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0.88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22057B31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138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C049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SGA</w:t>
            </w:r>
          </w:p>
        </w:tc>
        <w:tc>
          <w:tcPr>
            <w:tcW w:w="12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D6D0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  <w:tc>
          <w:tcPr>
            <w:tcW w:w="12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ED6D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  <w:tc>
          <w:tcPr>
            <w:tcW w:w="12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A48C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</w:tr>
      <w:tr w14:paraId="091490A9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138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43D57C">
            <w:pPr>
              <w:keepNext w:val="0"/>
              <w:keepLines w:val="0"/>
              <w:pageBreakBefore w:val="0"/>
              <w:widowControl/>
              <w:tabs>
                <w:tab w:val="left" w:pos="6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220" w:firstLineChars="100"/>
              <w:jc w:val="left"/>
              <w:textAlignment w:val="auto"/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  <w:t>Adequate GWG</w:t>
            </w:r>
          </w:p>
        </w:tc>
        <w:tc>
          <w:tcPr>
            <w:tcW w:w="12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4102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12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4F3F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12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D36D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</w:tr>
      <w:tr w14:paraId="6B51939D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138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2F6133">
            <w:pPr>
              <w:keepNext w:val="0"/>
              <w:keepLines w:val="0"/>
              <w:pageBreakBefore w:val="0"/>
              <w:widowControl/>
              <w:tabs>
                <w:tab w:val="left" w:pos="6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220" w:firstLineChars="100"/>
              <w:jc w:val="left"/>
              <w:textAlignment w:val="auto"/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  <w:t>Insufficient GWG</w:t>
            </w:r>
          </w:p>
        </w:tc>
        <w:tc>
          <w:tcPr>
            <w:tcW w:w="12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D11A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1.54 (1.04, 2.28)</w:t>
            </w:r>
          </w:p>
        </w:tc>
        <w:tc>
          <w:tcPr>
            <w:tcW w:w="12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9A23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1.5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(1.0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, 2.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3)</w:t>
            </w:r>
          </w:p>
        </w:tc>
        <w:tc>
          <w:tcPr>
            <w:tcW w:w="12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242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49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0.99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, 2.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25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692D0FDA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1381" w:type="pct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BCA402D">
            <w:pPr>
              <w:keepNext w:val="0"/>
              <w:keepLines w:val="0"/>
              <w:pageBreakBefore w:val="0"/>
              <w:widowControl/>
              <w:tabs>
                <w:tab w:val="left" w:pos="6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220" w:firstLineChars="100"/>
              <w:jc w:val="left"/>
              <w:textAlignment w:val="auto"/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  <w:t>Excessive GWG</w:t>
            </w:r>
          </w:p>
        </w:tc>
        <w:tc>
          <w:tcPr>
            <w:tcW w:w="1206" w:type="pct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EEBDB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0.50 (0.22, 1.13)</w:t>
            </w:r>
          </w:p>
        </w:tc>
        <w:tc>
          <w:tcPr>
            <w:tcW w:w="1206" w:type="pct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E68FF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0.50 (0.22, 1.14)</w:t>
            </w:r>
          </w:p>
        </w:tc>
        <w:tc>
          <w:tcPr>
            <w:tcW w:w="1206" w:type="pct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348BA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0.47 (0.2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, 1.0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5B63E5A0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5000" w:type="pct"/>
            <w:gridSpan w:val="4"/>
            <w:tcBorders>
              <w:top w:val="single" w:color="auto" w:sz="12" w:space="0"/>
              <w:bottom w:val="nil"/>
            </w:tcBorders>
            <w:shd w:val="clear" w:color="auto" w:fill="auto"/>
            <w:vAlign w:val="center"/>
          </w:tcPr>
          <w:p w14:paraId="1EDAED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Abbreviations: ART, assisted reproductive technologies;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GB"/>
              </w:rPr>
              <w:t>BMI, body mass index;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GWG, gestational weight gain; IOM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 xml:space="preserve">, Institute of Medicine;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LBW, low birth weight; PTB, preterm birth; SGA, small for gestational age; WHO, Wo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ld Health Organization.</w:t>
            </w:r>
          </w:p>
          <w:p w14:paraId="6F5E5B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vertAlign w:val="superscript"/>
              </w:rPr>
              <w:t>a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 xml:space="preserve"> GWG was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categorized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according to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 xml:space="preserve"> the IOM criteria in 2009.</w:t>
            </w:r>
          </w:p>
          <w:p w14:paraId="3C48F7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vertAlign w:val="superscript"/>
              </w:rPr>
              <w:t>b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Crude model: adjusted for none.</w:t>
            </w:r>
          </w:p>
          <w:p w14:paraId="7ACB0A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vertAlign w:val="superscript"/>
              </w:rPr>
              <w:t>c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Model I: adjusted for maternal age, pre-pregnancy BMI, 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and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primiparity; </w:t>
            </w:r>
          </w:p>
          <w:p w14:paraId="503780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vertAlign w:val="superscript"/>
              </w:rPr>
              <w:t>d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Model II: adjusted for maternal age, pre-pregnancy BMI, primiparity, chorionicity, ART, infant sex, and gestational 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age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2"/>
                <w:szCs w:val="22"/>
              </w:rPr>
              <w:t>at delivery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.</w:t>
            </w:r>
          </w:p>
        </w:tc>
      </w:tr>
    </w:tbl>
    <w:p w14:paraId="089B42B4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2"/>
          <w:szCs w:val="22"/>
        </w:rPr>
      </w:pPr>
      <w:bookmarkStart w:id="5" w:name="_Hlk100953534"/>
    </w:p>
    <w:p w14:paraId="6F577E8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2"/>
          <w:szCs w:val="22"/>
        </w:rPr>
        <w:sectPr>
          <w:pgSz w:w="11906" w:h="16838"/>
          <w:pgMar w:top="1440" w:right="1797" w:bottom="1440" w:left="1797" w:header="851" w:footer="992" w:gutter="0"/>
          <w:pgNumType w:fmt="decimal"/>
          <w:cols w:space="425" w:num="1"/>
          <w:docGrid w:type="linesAndChars" w:linePitch="312" w:charSpace="0"/>
        </w:sectPr>
      </w:pPr>
    </w:p>
    <w:tbl>
      <w:tblPr>
        <w:tblStyle w:val="12"/>
        <w:tblW w:w="5000" w:type="pct"/>
        <w:jc w:val="center"/>
        <w:tblBorders>
          <w:top w:val="none" w:color="auto" w:sz="0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1"/>
        <w:gridCol w:w="1896"/>
        <w:gridCol w:w="1896"/>
        <w:gridCol w:w="1908"/>
        <w:gridCol w:w="536"/>
        <w:gridCol w:w="1871"/>
        <w:gridCol w:w="1871"/>
        <w:gridCol w:w="1905"/>
      </w:tblGrid>
      <w:tr w14:paraId="1DCC36CB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5000" w:type="pct"/>
            <w:gridSpan w:val="8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24E859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Table S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. Sensitivity analysis between GWG and risk of adverse birth outcomes in primiparous women (n=666).</w:t>
            </w:r>
          </w:p>
        </w:tc>
      </w:tr>
      <w:tr w14:paraId="6C8087D2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808" w:type="pct"/>
            <w:vMerge w:val="restart"/>
            <w:tcBorders>
              <w:top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FDD0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11" w:type="pct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3E155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</w:rPr>
              <w:t xml:space="preserve">Interquartile range (P25-P75) method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8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EA537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9" w:type="pct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EB242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Cs/>
                <w:sz w:val="22"/>
                <w:szCs w:val="22"/>
                <w:lang w:bidi="ar"/>
              </w:rPr>
              <w:t xml:space="preserve">IOM criteria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vertAlign w:val="superscript"/>
              </w:rPr>
              <w:t>b</w:t>
            </w:r>
          </w:p>
        </w:tc>
      </w:tr>
      <w:tr w14:paraId="3428D30D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808" w:type="pct"/>
            <w:vMerge w:val="continue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6386E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F4A08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 xml:space="preserve">Crude model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66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59524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 xml:space="preserve">Model I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vertAlign w:val="superscript"/>
              </w:rPr>
              <w:t>d</w:t>
            </w:r>
          </w:p>
        </w:tc>
        <w:tc>
          <w:tcPr>
            <w:tcW w:w="672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46AFA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 xml:space="preserve">Model II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18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02C79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6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A5C1B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 xml:space="preserve">Crude model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66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8C84B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 xml:space="preserve">Model I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vertAlign w:val="superscript"/>
              </w:rPr>
              <w:t>d</w:t>
            </w:r>
          </w:p>
        </w:tc>
        <w:tc>
          <w:tcPr>
            <w:tcW w:w="66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84038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 xml:space="preserve">Model II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vertAlign w:val="superscript"/>
              </w:rPr>
              <w:t>e</w:t>
            </w:r>
          </w:p>
        </w:tc>
      </w:tr>
      <w:tr w14:paraId="5FA2DD69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08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60D18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PTB</w:t>
            </w:r>
          </w:p>
        </w:tc>
        <w:tc>
          <w:tcPr>
            <w:tcW w:w="66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C12E8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C8F94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2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0360A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BFB7D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0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85F88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0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8859E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8978B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24348C33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80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C05620">
            <w:pPr>
              <w:keepNext w:val="0"/>
              <w:keepLines w:val="0"/>
              <w:pageBreakBefore w:val="0"/>
              <w:widowControl/>
              <w:tabs>
                <w:tab w:val="left" w:pos="6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220" w:firstLineChars="10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  <w:t>Adequate GWG</w:t>
            </w:r>
          </w:p>
        </w:tc>
        <w:tc>
          <w:tcPr>
            <w:tcW w:w="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C992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ABF3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02E4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18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C504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FE0F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66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FA0B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1097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</w:tr>
      <w:tr w14:paraId="12D365F9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80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0DF637">
            <w:pPr>
              <w:keepNext w:val="0"/>
              <w:keepLines w:val="0"/>
              <w:pageBreakBefore w:val="0"/>
              <w:widowControl/>
              <w:tabs>
                <w:tab w:val="left" w:pos="6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220" w:firstLineChars="10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  <w:t>Insufficient GWG</w:t>
            </w:r>
          </w:p>
        </w:tc>
        <w:tc>
          <w:tcPr>
            <w:tcW w:w="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04DC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2.27 (1.55, 3.33)</w:t>
            </w:r>
          </w:p>
        </w:tc>
        <w:tc>
          <w:tcPr>
            <w:tcW w:w="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148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2.3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58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, 3.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42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C809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 (1.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57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, 3.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5)</w:t>
            </w:r>
          </w:p>
        </w:tc>
        <w:tc>
          <w:tcPr>
            <w:tcW w:w="18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0CC0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4BF4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1.90 (1.36, 2.66)</w:t>
            </w:r>
          </w:p>
        </w:tc>
        <w:tc>
          <w:tcPr>
            <w:tcW w:w="66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3AA3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1.9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41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, 2.7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4ADF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93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(1.3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, 2.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72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02D88554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80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327897">
            <w:pPr>
              <w:keepNext w:val="0"/>
              <w:keepLines w:val="0"/>
              <w:pageBreakBefore w:val="0"/>
              <w:widowControl/>
              <w:tabs>
                <w:tab w:val="left" w:pos="6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220" w:firstLineChars="10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  <w:t>Excessive GWG</w:t>
            </w:r>
          </w:p>
        </w:tc>
        <w:tc>
          <w:tcPr>
            <w:tcW w:w="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ABDD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68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, 1.5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7B0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(0.6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, 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2317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01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67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, 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8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6460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7B92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(0.7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8)</w:t>
            </w:r>
          </w:p>
        </w:tc>
        <w:tc>
          <w:tcPr>
            <w:tcW w:w="66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0C9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(0.7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, 1.9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ABEE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68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1.87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12C26553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80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E411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LBW</w:t>
            </w:r>
          </w:p>
        </w:tc>
        <w:tc>
          <w:tcPr>
            <w:tcW w:w="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90EC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5A98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C4C5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2279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3AB0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  <w:tc>
          <w:tcPr>
            <w:tcW w:w="66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DDA9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  <w:tc>
          <w:tcPr>
            <w:tcW w:w="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F240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</w:tr>
      <w:tr w14:paraId="07BB4B2F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80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48464B">
            <w:pPr>
              <w:keepNext w:val="0"/>
              <w:keepLines w:val="0"/>
              <w:pageBreakBefore w:val="0"/>
              <w:widowControl/>
              <w:tabs>
                <w:tab w:val="left" w:pos="6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220" w:firstLineChars="100"/>
              <w:jc w:val="both"/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  <w:t>Adequate GWG</w:t>
            </w:r>
          </w:p>
        </w:tc>
        <w:tc>
          <w:tcPr>
            <w:tcW w:w="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0C84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D996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AAE2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18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913B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E5F3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66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38B8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DCF0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</w:tr>
      <w:tr w14:paraId="564F2F35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80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FA0984">
            <w:pPr>
              <w:keepNext w:val="0"/>
              <w:keepLines w:val="0"/>
              <w:pageBreakBefore w:val="0"/>
              <w:widowControl/>
              <w:tabs>
                <w:tab w:val="left" w:pos="6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220" w:firstLineChars="100"/>
              <w:jc w:val="both"/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  <w:t>Insufficient GWG</w:t>
            </w:r>
          </w:p>
        </w:tc>
        <w:tc>
          <w:tcPr>
            <w:tcW w:w="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D9D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2.84 (1.84, 4.38)</w:t>
            </w:r>
          </w:p>
        </w:tc>
        <w:tc>
          <w:tcPr>
            <w:tcW w:w="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203A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2.8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(1.8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, 4.4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4347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18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30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67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8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7E7A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13DA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2.65 (1.87, 3.76)</w:t>
            </w:r>
          </w:p>
        </w:tc>
        <w:tc>
          <w:tcPr>
            <w:tcW w:w="66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AD60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2.6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(1.8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, 3.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81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452E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1.99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31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, 3.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00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1CDD3FE2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80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61FC5E">
            <w:pPr>
              <w:keepNext w:val="0"/>
              <w:keepLines w:val="0"/>
              <w:pageBreakBefore w:val="0"/>
              <w:widowControl/>
              <w:tabs>
                <w:tab w:val="left" w:pos="6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220" w:firstLineChars="100"/>
              <w:jc w:val="both"/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  <w:t>Excessive GWG</w:t>
            </w:r>
          </w:p>
        </w:tc>
        <w:tc>
          <w:tcPr>
            <w:tcW w:w="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2648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0.68 (0.46, 1.01)</w:t>
            </w:r>
          </w:p>
        </w:tc>
        <w:tc>
          <w:tcPr>
            <w:tcW w:w="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C179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0.66 (0.44, 0.97)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A6ED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56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36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0.89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8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6CEF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12B9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0.71 (0.44, 1.14)</w:t>
            </w:r>
          </w:p>
        </w:tc>
        <w:tc>
          <w:tcPr>
            <w:tcW w:w="66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BEB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, 1.0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F08F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50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28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0.89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221EC7F8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80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1C20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SGA</w:t>
            </w:r>
          </w:p>
        </w:tc>
        <w:tc>
          <w:tcPr>
            <w:tcW w:w="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E93F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FCFB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FF38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74FA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183D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  <w:tc>
          <w:tcPr>
            <w:tcW w:w="66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EAD2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  <w:tc>
          <w:tcPr>
            <w:tcW w:w="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B4E2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</w:tr>
      <w:tr w14:paraId="3D7ECCC3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80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737F6D">
            <w:pPr>
              <w:keepNext w:val="0"/>
              <w:keepLines w:val="0"/>
              <w:pageBreakBefore w:val="0"/>
              <w:widowControl/>
              <w:tabs>
                <w:tab w:val="left" w:pos="6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220" w:firstLineChars="100"/>
              <w:jc w:val="both"/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  <w:t>Adequate GWG</w:t>
            </w:r>
          </w:p>
        </w:tc>
        <w:tc>
          <w:tcPr>
            <w:tcW w:w="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FAEB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5D6E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1ADD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18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B02A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F1D7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66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2865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8EE8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</w:tr>
      <w:tr w14:paraId="159EDF65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  <w:jc w:val="center"/>
        </w:trPr>
        <w:tc>
          <w:tcPr>
            <w:tcW w:w="80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49B4D0">
            <w:pPr>
              <w:keepNext w:val="0"/>
              <w:keepLines w:val="0"/>
              <w:pageBreakBefore w:val="0"/>
              <w:widowControl/>
              <w:tabs>
                <w:tab w:val="left" w:pos="6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220" w:firstLineChars="100"/>
              <w:jc w:val="both"/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  <w:t>Insufficient GWG</w:t>
            </w:r>
          </w:p>
        </w:tc>
        <w:tc>
          <w:tcPr>
            <w:tcW w:w="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ECB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1.70 (1.02, 2.80)</w:t>
            </w:r>
          </w:p>
        </w:tc>
        <w:tc>
          <w:tcPr>
            <w:tcW w:w="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6E8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68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(1.0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, 2.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78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8051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1.78 (1.0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3.05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8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80A1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B163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1.57 (0.98, 2.50)</w:t>
            </w:r>
          </w:p>
        </w:tc>
        <w:tc>
          <w:tcPr>
            <w:tcW w:w="66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45D1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(0.9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, 2.4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7997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(0.9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, 2.5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1B33583E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808" w:type="pct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6C409872">
            <w:pPr>
              <w:keepNext w:val="0"/>
              <w:keepLines w:val="0"/>
              <w:pageBreakBefore w:val="0"/>
              <w:widowControl/>
              <w:tabs>
                <w:tab w:val="left" w:pos="6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220" w:firstLineChars="100"/>
              <w:jc w:val="both"/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  <w:t>Excessive GWG</w:t>
            </w:r>
          </w:p>
        </w:tc>
        <w:tc>
          <w:tcPr>
            <w:tcW w:w="669" w:type="pct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F678E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0.57 (0.29, 1.14)</w:t>
            </w:r>
          </w:p>
        </w:tc>
        <w:tc>
          <w:tcPr>
            <w:tcW w:w="669" w:type="pct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542E1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(0.2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, 1.1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72" w:type="pct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EB55B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(0.2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, 1.0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89" w:type="pct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235B0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  <w:tc>
          <w:tcPr>
            <w:tcW w:w="660" w:type="pct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AB119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0.46 (0.18, 1.21)</w:t>
            </w:r>
          </w:p>
        </w:tc>
        <w:tc>
          <w:tcPr>
            <w:tcW w:w="660" w:type="pct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F689C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(0.17, 1.1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69" w:type="pct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3AE6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(0.1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, 1.1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4C750098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5000" w:type="pct"/>
            <w:gridSpan w:val="8"/>
            <w:tcBorders>
              <w:top w:val="single" w:color="auto" w:sz="12" w:space="0"/>
              <w:bottom w:val="nil"/>
            </w:tcBorders>
            <w:shd w:val="clear" w:color="auto" w:fill="auto"/>
            <w:vAlign w:val="center"/>
          </w:tcPr>
          <w:p w14:paraId="484556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Abbreviations: ART, assisted reproductive technologies;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GB"/>
              </w:rPr>
              <w:t>BMI, body mass index;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GWG, gestational weight gain; IOM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 xml:space="preserve">, Institute of Medicine;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LBW, low birth weight; PTB, preterm birth; SGA, small for gestational age.</w:t>
            </w:r>
          </w:p>
          <w:p w14:paraId="475C87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both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vertAlign w:val="superscript"/>
              </w:rPr>
              <w:t>a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 xml:space="preserve"> GWG was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categorized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according to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 xml:space="preserve"> the interquartile range (P25-P75) method.</w:t>
            </w:r>
          </w:p>
          <w:p w14:paraId="46EBE3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both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vertAlign w:val="superscript"/>
              </w:rPr>
              <w:t>b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 xml:space="preserve"> GWG was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categorized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according to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 xml:space="preserve"> the IOM criteria in 2009.</w:t>
            </w:r>
          </w:p>
          <w:p w14:paraId="4C0282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vertAlign w:val="superscript"/>
              </w:rPr>
              <w:t>c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Crude model: adjusted for none.</w:t>
            </w:r>
          </w:p>
          <w:p w14:paraId="16C593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vertAlign w:val="superscript"/>
              </w:rPr>
              <w:t>d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Model I: adjusted for maternal age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and pre-pregnancy BMI; </w:t>
            </w:r>
          </w:p>
          <w:p w14:paraId="1312A5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vertAlign w:val="superscript"/>
              </w:rPr>
              <w:t>e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Model II: adjusted for maternal age, pre-pregnancy BMI, chorionicity, ART, infant sex, and gestational 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age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2"/>
                <w:szCs w:val="22"/>
              </w:rPr>
              <w:t>at delivery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.</w:t>
            </w:r>
          </w:p>
        </w:tc>
      </w:tr>
    </w:tbl>
    <w:p w14:paraId="7FF86599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2"/>
          <w:szCs w:val="22"/>
        </w:rPr>
        <w:sectPr>
          <w:pgSz w:w="16838" w:h="11906" w:orient="landscape"/>
          <w:pgMar w:top="1576" w:right="1440" w:bottom="1576" w:left="1440" w:header="851" w:footer="992" w:gutter="0"/>
          <w:pgNumType w:fmt="decimal"/>
          <w:cols w:space="425" w:num="1"/>
          <w:docGrid w:type="linesAndChars" w:linePitch="312" w:charSpace="0"/>
        </w:sectPr>
      </w:pPr>
    </w:p>
    <w:tbl>
      <w:tblPr>
        <w:tblStyle w:val="12"/>
        <w:tblW w:w="5002" w:type="pct"/>
        <w:jc w:val="center"/>
        <w:tblBorders>
          <w:top w:val="none" w:color="auto" w:sz="0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3"/>
        <w:gridCol w:w="1977"/>
        <w:gridCol w:w="1855"/>
        <w:gridCol w:w="1863"/>
        <w:gridCol w:w="522"/>
        <w:gridCol w:w="1906"/>
        <w:gridCol w:w="1906"/>
        <w:gridCol w:w="1928"/>
      </w:tblGrid>
      <w:tr w14:paraId="61623F7F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5000" w:type="pct"/>
            <w:gridSpan w:val="8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65C6B1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Table S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. Sensitivity analysis between GWG and risk of adverse birth outcomes in pregnant women &lt;35 years of age (n=806).</w:t>
            </w:r>
          </w:p>
        </w:tc>
      </w:tr>
      <w:tr w14:paraId="176382FD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84" w:type="pct"/>
            <w:vMerge w:val="restart"/>
            <w:tcBorders>
              <w:top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A94BF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8" w:type="pct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0A398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</w:rPr>
              <w:t xml:space="preserve">Interquartile range (P25-P75) method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84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B0CE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2" w:type="pct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7DDB4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Cs/>
                <w:sz w:val="22"/>
                <w:szCs w:val="22"/>
                <w:lang w:bidi="ar"/>
              </w:rPr>
              <w:t xml:space="preserve">IOM criteria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vertAlign w:val="superscript"/>
              </w:rPr>
              <w:t>b</w:t>
            </w:r>
          </w:p>
        </w:tc>
      </w:tr>
      <w:tr w14:paraId="46578B8E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784" w:type="pct"/>
            <w:vMerge w:val="continue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0AEA9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9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8CBC7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 xml:space="preserve">Crude model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654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06187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 xml:space="preserve">Model I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vertAlign w:val="superscript"/>
              </w:rPr>
              <w:t>d</w:t>
            </w:r>
          </w:p>
        </w:tc>
        <w:tc>
          <w:tcPr>
            <w:tcW w:w="656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EDCA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 xml:space="preserve">Model II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184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662CD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72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DC51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 xml:space="preserve">Crude model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672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54482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 xml:space="preserve">Model I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vertAlign w:val="superscript"/>
              </w:rPr>
              <w:t>d</w:t>
            </w:r>
          </w:p>
        </w:tc>
        <w:tc>
          <w:tcPr>
            <w:tcW w:w="67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170EB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 xml:space="preserve">Model II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vertAlign w:val="superscript"/>
              </w:rPr>
              <w:t>e</w:t>
            </w:r>
          </w:p>
        </w:tc>
      </w:tr>
      <w:tr w14:paraId="4132943E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784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D9CBD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PTB</w:t>
            </w:r>
          </w:p>
        </w:tc>
        <w:tc>
          <w:tcPr>
            <w:tcW w:w="697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BEA9C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3DA4C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83519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796CB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2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6DCEB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2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DA2A3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7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26E07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3DAC9848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7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D85FA3">
            <w:pPr>
              <w:keepNext w:val="0"/>
              <w:keepLines w:val="0"/>
              <w:pageBreakBefore w:val="0"/>
              <w:widowControl/>
              <w:tabs>
                <w:tab w:val="left" w:pos="6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220" w:firstLineChars="10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  <w:t>Adequate GWG</w:t>
            </w:r>
          </w:p>
        </w:tc>
        <w:tc>
          <w:tcPr>
            <w:tcW w:w="69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0E85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D5FA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65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F4EE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1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D845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DAF7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02A0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67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8077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</w:tr>
      <w:tr w14:paraId="2584C755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7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267EF1">
            <w:pPr>
              <w:keepNext w:val="0"/>
              <w:keepLines w:val="0"/>
              <w:pageBreakBefore w:val="0"/>
              <w:widowControl/>
              <w:tabs>
                <w:tab w:val="left" w:pos="6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220" w:firstLineChars="10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  <w:t>Insufficient GWG</w:t>
            </w:r>
          </w:p>
        </w:tc>
        <w:tc>
          <w:tcPr>
            <w:tcW w:w="69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7E7A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2.23 (1.56, 3.17)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785A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30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60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, 3.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32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5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75B3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24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(1.5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, 3.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25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E4B8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D723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1.97 (1.45, 2.68)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641E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2.0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51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, 2.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83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7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986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1.9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(1.4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, 2.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70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117BAEB7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7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1D1CCD">
            <w:pPr>
              <w:keepNext w:val="0"/>
              <w:keepLines w:val="0"/>
              <w:pageBreakBefore w:val="0"/>
              <w:widowControl/>
              <w:tabs>
                <w:tab w:val="left" w:pos="6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220" w:firstLineChars="10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  <w:t>Excessive GWG</w:t>
            </w:r>
          </w:p>
        </w:tc>
        <w:tc>
          <w:tcPr>
            <w:tcW w:w="69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AC7D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0.97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68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, 1.4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EBC6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(0.6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, 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35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5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C38B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0.95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65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, 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38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29E7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7E42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(0.8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, 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04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E34B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78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1.9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5)</w:t>
            </w:r>
          </w:p>
        </w:tc>
        <w:tc>
          <w:tcPr>
            <w:tcW w:w="67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5C3C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77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1.96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1D7B1E81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7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6B16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LBW</w:t>
            </w:r>
          </w:p>
        </w:tc>
        <w:tc>
          <w:tcPr>
            <w:tcW w:w="69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FA27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7938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B45F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4F94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3BF6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0A93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  <w:tc>
          <w:tcPr>
            <w:tcW w:w="67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43BF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</w:tr>
      <w:tr w14:paraId="1ABC7372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7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4BEC86">
            <w:pPr>
              <w:keepNext w:val="0"/>
              <w:keepLines w:val="0"/>
              <w:pageBreakBefore w:val="0"/>
              <w:widowControl/>
              <w:tabs>
                <w:tab w:val="left" w:pos="6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220" w:firstLineChars="100"/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  <w:t>Adequate GWG</w:t>
            </w:r>
          </w:p>
        </w:tc>
        <w:tc>
          <w:tcPr>
            <w:tcW w:w="69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D473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85E1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65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0C54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1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A248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E4B8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6538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67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E78C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</w:tr>
      <w:tr w14:paraId="29E7C5CA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7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77C9DA">
            <w:pPr>
              <w:keepNext w:val="0"/>
              <w:keepLines w:val="0"/>
              <w:pageBreakBefore w:val="0"/>
              <w:widowControl/>
              <w:tabs>
                <w:tab w:val="left" w:pos="6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220" w:firstLineChars="100"/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  <w:t>Insufficient GWG</w:t>
            </w:r>
          </w:p>
        </w:tc>
        <w:tc>
          <w:tcPr>
            <w:tcW w:w="69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D8AF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2.80 (1.89, 4.14)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7484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3.31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19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00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5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F0B8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61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60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, 4.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25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F6A2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C4D0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2.21 (1.61, 3.02)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E221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47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8, 3.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42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7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8E2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1.81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23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2.65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23147A54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7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3D2CEB">
            <w:pPr>
              <w:keepNext w:val="0"/>
              <w:keepLines w:val="0"/>
              <w:pageBreakBefore w:val="0"/>
              <w:widowControl/>
              <w:tabs>
                <w:tab w:val="left" w:pos="6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220" w:firstLineChars="100"/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  <w:t>Excessive GWG</w:t>
            </w:r>
          </w:p>
        </w:tc>
        <w:tc>
          <w:tcPr>
            <w:tcW w:w="69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2435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0.73 (0.52, 1.03)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165B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71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50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02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5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B5A0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61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(0.4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0.93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D2DE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2E8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0.73 (0.48, 1.13)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EE3E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74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, 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7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83A6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54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32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0.91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7C3BD118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7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9F09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SGA</w:t>
            </w:r>
          </w:p>
        </w:tc>
        <w:tc>
          <w:tcPr>
            <w:tcW w:w="69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BCBB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AEF6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6F6B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E561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1BAD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2B02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  <w:tc>
          <w:tcPr>
            <w:tcW w:w="67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E14A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</w:tr>
      <w:tr w14:paraId="282D5D6B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7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6368BF">
            <w:pPr>
              <w:keepNext w:val="0"/>
              <w:keepLines w:val="0"/>
              <w:pageBreakBefore w:val="0"/>
              <w:widowControl/>
              <w:tabs>
                <w:tab w:val="left" w:pos="6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220" w:firstLineChars="100"/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  <w:t>Adequate GWG</w:t>
            </w:r>
          </w:p>
        </w:tc>
        <w:tc>
          <w:tcPr>
            <w:tcW w:w="69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F02C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EAC9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65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207A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1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8B9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F64E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44CB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  <w:tc>
          <w:tcPr>
            <w:tcW w:w="67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F21D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1.00 (Reference)</w:t>
            </w:r>
          </w:p>
        </w:tc>
      </w:tr>
      <w:tr w14:paraId="2ECBF2D6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  <w:jc w:val="center"/>
        </w:trPr>
        <w:tc>
          <w:tcPr>
            <w:tcW w:w="7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208333">
            <w:pPr>
              <w:keepNext w:val="0"/>
              <w:keepLines w:val="0"/>
              <w:pageBreakBefore w:val="0"/>
              <w:widowControl/>
              <w:tabs>
                <w:tab w:val="left" w:pos="6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220" w:firstLineChars="100"/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  <w:t>Insufficient GWG</w:t>
            </w:r>
          </w:p>
        </w:tc>
        <w:tc>
          <w:tcPr>
            <w:tcW w:w="69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9B99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1.48 (0.92, 2.39)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FA37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(0.9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, 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5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3FC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70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1.01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, 2.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87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4EC1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BF14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1.32 (0.85, 2.04)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4A7C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35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(0.8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2.11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7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DC2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(0.8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, 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2DFE287D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784" w:type="pct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60C1F9AC">
            <w:pPr>
              <w:keepNext w:val="0"/>
              <w:keepLines w:val="0"/>
              <w:pageBreakBefore w:val="0"/>
              <w:widowControl/>
              <w:tabs>
                <w:tab w:val="left" w:pos="6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220" w:firstLineChars="100"/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2"/>
                <w:szCs w:val="22"/>
              </w:rPr>
              <w:t>Excessive GWG</w:t>
            </w:r>
          </w:p>
        </w:tc>
        <w:tc>
          <w:tcPr>
            <w:tcW w:w="697" w:type="pct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A84CC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0.41 (0.20, 0.81)</w:t>
            </w:r>
          </w:p>
        </w:tc>
        <w:tc>
          <w:tcPr>
            <w:tcW w:w="654" w:type="pct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EFBD5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0.4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(0.2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, 0.8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56" w:type="pct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54927C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0.4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(0.20, 0.8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84" w:type="pct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6E446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  <w:tc>
          <w:tcPr>
            <w:tcW w:w="672" w:type="pct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2200C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0.38 (0.15, 0.97)</w:t>
            </w:r>
          </w:p>
        </w:tc>
        <w:tc>
          <w:tcPr>
            <w:tcW w:w="672" w:type="pct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613C27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0.3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(0.1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, 0.9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77" w:type="pct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A855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0.3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(0.13, 0.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93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14:paraId="64A00C6F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5000" w:type="pct"/>
            <w:gridSpan w:val="8"/>
            <w:tcBorders>
              <w:top w:val="single" w:color="auto" w:sz="12" w:space="0"/>
              <w:bottom w:val="nil"/>
            </w:tcBorders>
            <w:shd w:val="clear" w:color="auto" w:fill="auto"/>
            <w:vAlign w:val="center"/>
          </w:tcPr>
          <w:p w14:paraId="79AFD1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Abbreviations: ART, assisted reproductive technologies;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GB"/>
              </w:rPr>
              <w:t>BMI, body mass index;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</w:rPr>
              <w:t>GWG, gestational weight gain; IOM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 xml:space="preserve">, Institute of Medicine;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LBW, low birth weight; PTB, preterm birth; SGA, small for gestational age.</w:t>
            </w:r>
          </w:p>
          <w:p w14:paraId="12E106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vertAlign w:val="superscript"/>
              </w:rPr>
              <w:t>a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 xml:space="preserve"> GWG was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categorized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according to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 xml:space="preserve"> the interquartile range (P25-P75) method.</w:t>
            </w:r>
          </w:p>
          <w:p w14:paraId="269F9C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vertAlign w:val="superscript"/>
              </w:rPr>
              <w:t>b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 xml:space="preserve"> GWG was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categorized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according to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 xml:space="preserve"> the IOM criteria in 2009.</w:t>
            </w:r>
          </w:p>
          <w:p w14:paraId="32AE95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vertAlign w:val="superscript"/>
              </w:rPr>
              <w:t>c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Crude model: adjusted for none.</w:t>
            </w:r>
          </w:p>
          <w:p w14:paraId="7848A0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vertAlign w:val="superscript"/>
              </w:rPr>
              <w:t>d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Model I: adjusted for maternal age, pre-pregnancy BMI, 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and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primiparity; </w:t>
            </w:r>
          </w:p>
          <w:p w14:paraId="044D69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vertAlign w:val="superscript"/>
              </w:rPr>
              <w:t>e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Model II: adjusted for maternal age, pre-pregnancy BMI, primiparity, chorionicity, ART, infant sex, and gestational 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age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2"/>
                <w:szCs w:val="22"/>
              </w:rPr>
              <w:t>at delivery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.</w:t>
            </w:r>
          </w:p>
        </w:tc>
      </w:tr>
      <w:bookmarkEnd w:id="5"/>
    </w:tbl>
    <w:p w14:paraId="214A5196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sectPr>
      <w:pgSz w:w="16838" w:h="11906" w:orient="landscape"/>
      <w:pgMar w:top="1576" w:right="1440" w:bottom="1576" w:left="1440" w:header="851" w:footer="992" w:gutter="0"/>
      <w:pgNumType w:fmt="decimal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dvTT5235d5a9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4D5E13">
    <w:pPr>
      <w:pStyle w:val="7"/>
      <w:jc w:val="center"/>
      <w:rPr>
        <w:rFonts w:hint="default" w:ascii="Times New Roman" w:hAnsi="Times New Roman" w:cs="Times New Roman"/>
        <w:sz w:val="22"/>
        <w:szCs w:val="22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C6B9E6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C6B9E6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default" w:ascii="Times New Roman" w:hAnsi="Times New Roman" w:cs="Times New Roman"/>
        <w:sz w:val="22"/>
        <w:szCs w:val="22"/>
      </w:rPr>
      <w:t>Supporting Information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doNotCompress"/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GISMLUwNzEzNzQwsjJR2l4NTi4sz8PJACi1oAhgtJ+iwAAAA="/>
    <w:docVar w:name="commondata" w:val="eyJoZGlkIjoiOWFmMGE4OThiMTExMmE2M2ZmMjFkZjFmYzRkNzk4ZTY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Obesit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w22pdvab0pareev52qv2tdgefz0x0w5wdt5&quot;&gt;My EndNote Library&lt;record-ids&gt;&lt;item&gt;76&lt;/item&gt;&lt;item&gt;1498&lt;/item&gt;&lt;item&gt;1500&lt;/item&gt;&lt;/record-ids&gt;&lt;/item&gt;&lt;/Libraries&gt;"/>
  </w:docVars>
  <w:rsids>
    <w:rsidRoot w:val="0037453F"/>
    <w:rsid w:val="00007909"/>
    <w:rsid w:val="0001229D"/>
    <w:rsid w:val="00025C18"/>
    <w:rsid w:val="00031AA0"/>
    <w:rsid w:val="00035FCE"/>
    <w:rsid w:val="000462F8"/>
    <w:rsid w:val="00050E52"/>
    <w:rsid w:val="000576AB"/>
    <w:rsid w:val="000636C8"/>
    <w:rsid w:val="00080520"/>
    <w:rsid w:val="00082AB6"/>
    <w:rsid w:val="00083F7D"/>
    <w:rsid w:val="000941DE"/>
    <w:rsid w:val="000B100D"/>
    <w:rsid w:val="000B5476"/>
    <w:rsid w:val="000C17D4"/>
    <w:rsid w:val="000C72C6"/>
    <w:rsid w:val="000D4F16"/>
    <w:rsid w:val="000D5D95"/>
    <w:rsid w:val="000E63C5"/>
    <w:rsid w:val="000F04DC"/>
    <w:rsid w:val="000F307C"/>
    <w:rsid w:val="00100B2E"/>
    <w:rsid w:val="00102966"/>
    <w:rsid w:val="001057FC"/>
    <w:rsid w:val="00121729"/>
    <w:rsid w:val="00125922"/>
    <w:rsid w:val="00141651"/>
    <w:rsid w:val="00146F50"/>
    <w:rsid w:val="00151A5A"/>
    <w:rsid w:val="00152014"/>
    <w:rsid w:val="00155A76"/>
    <w:rsid w:val="00160200"/>
    <w:rsid w:val="0016049C"/>
    <w:rsid w:val="00164E6D"/>
    <w:rsid w:val="00174719"/>
    <w:rsid w:val="00176600"/>
    <w:rsid w:val="00176A51"/>
    <w:rsid w:val="00182D27"/>
    <w:rsid w:val="00186992"/>
    <w:rsid w:val="00190AC3"/>
    <w:rsid w:val="00191B63"/>
    <w:rsid w:val="00196BB2"/>
    <w:rsid w:val="00196EC6"/>
    <w:rsid w:val="001A68B7"/>
    <w:rsid w:val="001B0812"/>
    <w:rsid w:val="001B38E1"/>
    <w:rsid w:val="001C32DF"/>
    <w:rsid w:val="001F1BFB"/>
    <w:rsid w:val="00200A65"/>
    <w:rsid w:val="00202243"/>
    <w:rsid w:val="00204B3D"/>
    <w:rsid w:val="0020517F"/>
    <w:rsid w:val="00207BF6"/>
    <w:rsid w:val="002118C5"/>
    <w:rsid w:val="002120AC"/>
    <w:rsid w:val="00221EDB"/>
    <w:rsid w:val="00222A4C"/>
    <w:rsid w:val="00234332"/>
    <w:rsid w:val="002408DF"/>
    <w:rsid w:val="00252480"/>
    <w:rsid w:val="00252BA1"/>
    <w:rsid w:val="00253DD3"/>
    <w:rsid w:val="002576A4"/>
    <w:rsid w:val="00272010"/>
    <w:rsid w:val="002905A4"/>
    <w:rsid w:val="002A0800"/>
    <w:rsid w:val="002A15EC"/>
    <w:rsid w:val="002C3033"/>
    <w:rsid w:val="002C4F15"/>
    <w:rsid w:val="002C570B"/>
    <w:rsid w:val="002C6B6A"/>
    <w:rsid w:val="002D056D"/>
    <w:rsid w:val="002D7DC9"/>
    <w:rsid w:val="002E0302"/>
    <w:rsid w:val="002E22F9"/>
    <w:rsid w:val="002F3217"/>
    <w:rsid w:val="002F7122"/>
    <w:rsid w:val="003110F7"/>
    <w:rsid w:val="00312E38"/>
    <w:rsid w:val="0032258D"/>
    <w:rsid w:val="00325370"/>
    <w:rsid w:val="00333A0B"/>
    <w:rsid w:val="003360D6"/>
    <w:rsid w:val="00336298"/>
    <w:rsid w:val="003367D9"/>
    <w:rsid w:val="00341F42"/>
    <w:rsid w:val="00344E5C"/>
    <w:rsid w:val="00350828"/>
    <w:rsid w:val="00360E5E"/>
    <w:rsid w:val="0037453F"/>
    <w:rsid w:val="00386F77"/>
    <w:rsid w:val="003A23B7"/>
    <w:rsid w:val="003A539E"/>
    <w:rsid w:val="003A65EF"/>
    <w:rsid w:val="003B7A2E"/>
    <w:rsid w:val="003D4FAC"/>
    <w:rsid w:val="003E07CD"/>
    <w:rsid w:val="003E3233"/>
    <w:rsid w:val="003E43F5"/>
    <w:rsid w:val="003F461C"/>
    <w:rsid w:val="003F4846"/>
    <w:rsid w:val="004005FE"/>
    <w:rsid w:val="00403529"/>
    <w:rsid w:val="00417287"/>
    <w:rsid w:val="004227FE"/>
    <w:rsid w:val="0042330D"/>
    <w:rsid w:val="004306B8"/>
    <w:rsid w:val="004345D2"/>
    <w:rsid w:val="004348EA"/>
    <w:rsid w:val="00435A6D"/>
    <w:rsid w:val="004361C6"/>
    <w:rsid w:val="0045233D"/>
    <w:rsid w:val="00463CBF"/>
    <w:rsid w:val="00472FE5"/>
    <w:rsid w:val="004830A7"/>
    <w:rsid w:val="00484F74"/>
    <w:rsid w:val="00485825"/>
    <w:rsid w:val="00486820"/>
    <w:rsid w:val="004945D2"/>
    <w:rsid w:val="004A104C"/>
    <w:rsid w:val="004A142A"/>
    <w:rsid w:val="004A4F1C"/>
    <w:rsid w:val="004C6802"/>
    <w:rsid w:val="004D5199"/>
    <w:rsid w:val="004D51B5"/>
    <w:rsid w:val="004D55E9"/>
    <w:rsid w:val="004D59B6"/>
    <w:rsid w:val="004D6369"/>
    <w:rsid w:val="004F2A67"/>
    <w:rsid w:val="004F7EB7"/>
    <w:rsid w:val="005011A1"/>
    <w:rsid w:val="00502D90"/>
    <w:rsid w:val="0050544A"/>
    <w:rsid w:val="00515E88"/>
    <w:rsid w:val="00521E8A"/>
    <w:rsid w:val="00525276"/>
    <w:rsid w:val="005323E7"/>
    <w:rsid w:val="00537365"/>
    <w:rsid w:val="00537EE4"/>
    <w:rsid w:val="005403F5"/>
    <w:rsid w:val="00550540"/>
    <w:rsid w:val="00557998"/>
    <w:rsid w:val="005634D9"/>
    <w:rsid w:val="005816EF"/>
    <w:rsid w:val="0058315B"/>
    <w:rsid w:val="00584E8D"/>
    <w:rsid w:val="005952B2"/>
    <w:rsid w:val="0059582A"/>
    <w:rsid w:val="00597D0B"/>
    <w:rsid w:val="005A1759"/>
    <w:rsid w:val="005A2833"/>
    <w:rsid w:val="005A678A"/>
    <w:rsid w:val="005B2075"/>
    <w:rsid w:val="005B26BD"/>
    <w:rsid w:val="005B678E"/>
    <w:rsid w:val="005D3436"/>
    <w:rsid w:val="005D51D0"/>
    <w:rsid w:val="005D6035"/>
    <w:rsid w:val="005E08C3"/>
    <w:rsid w:val="005E551F"/>
    <w:rsid w:val="00601A09"/>
    <w:rsid w:val="00605C82"/>
    <w:rsid w:val="00606E19"/>
    <w:rsid w:val="00611094"/>
    <w:rsid w:val="00622964"/>
    <w:rsid w:val="006359F8"/>
    <w:rsid w:val="00641B07"/>
    <w:rsid w:val="00645C8E"/>
    <w:rsid w:val="00656424"/>
    <w:rsid w:val="006570DC"/>
    <w:rsid w:val="00665365"/>
    <w:rsid w:val="0066747F"/>
    <w:rsid w:val="0067180F"/>
    <w:rsid w:val="00684577"/>
    <w:rsid w:val="006848CA"/>
    <w:rsid w:val="00687023"/>
    <w:rsid w:val="00691577"/>
    <w:rsid w:val="006B2D10"/>
    <w:rsid w:val="006B37CD"/>
    <w:rsid w:val="006B6096"/>
    <w:rsid w:val="006B6DC8"/>
    <w:rsid w:val="006B7773"/>
    <w:rsid w:val="006C44D3"/>
    <w:rsid w:val="006C6169"/>
    <w:rsid w:val="006D096B"/>
    <w:rsid w:val="006D2F53"/>
    <w:rsid w:val="006E3F67"/>
    <w:rsid w:val="006E4012"/>
    <w:rsid w:val="006E50BB"/>
    <w:rsid w:val="006E5DEB"/>
    <w:rsid w:val="006F0D97"/>
    <w:rsid w:val="006F71B0"/>
    <w:rsid w:val="007162E8"/>
    <w:rsid w:val="00716965"/>
    <w:rsid w:val="00721394"/>
    <w:rsid w:val="00722B60"/>
    <w:rsid w:val="00723257"/>
    <w:rsid w:val="00731066"/>
    <w:rsid w:val="00731F29"/>
    <w:rsid w:val="00734B8D"/>
    <w:rsid w:val="0074695E"/>
    <w:rsid w:val="00746CEF"/>
    <w:rsid w:val="0074790C"/>
    <w:rsid w:val="0075133E"/>
    <w:rsid w:val="00754F14"/>
    <w:rsid w:val="007665C7"/>
    <w:rsid w:val="007747C7"/>
    <w:rsid w:val="00775CDF"/>
    <w:rsid w:val="00780D6E"/>
    <w:rsid w:val="0078259E"/>
    <w:rsid w:val="00785254"/>
    <w:rsid w:val="00795C4E"/>
    <w:rsid w:val="007A2064"/>
    <w:rsid w:val="007A2440"/>
    <w:rsid w:val="007A466C"/>
    <w:rsid w:val="007A756A"/>
    <w:rsid w:val="007B445D"/>
    <w:rsid w:val="007C46DC"/>
    <w:rsid w:val="007D311C"/>
    <w:rsid w:val="007E0D4D"/>
    <w:rsid w:val="007E3AA6"/>
    <w:rsid w:val="007F5B12"/>
    <w:rsid w:val="007F61B9"/>
    <w:rsid w:val="007F7B15"/>
    <w:rsid w:val="00804ABE"/>
    <w:rsid w:val="00805659"/>
    <w:rsid w:val="00805F61"/>
    <w:rsid w:val="00811805"/>
    <w:rsid w:val="008140AB"/>
    <w:rsid w:val="00814560"/>
    <w:rsid w:val="00814A95"/>
    <w:rsid w:val="00817F75"/>
    <w:rsid w:val="00820D8A"/>
    <w:rsid w:val="0083500C"/>
    <w:rsid w:val="008361FA"/>
    <w:rsid w:val="00840543"/>
    <w:rsid w:val="00843BE7"/>
    <w:rsid w:val="00846509"/>
    <w:rsid w:val="008611D8"/>
    <w:rsid w:val="008612A6"/>
    <w:rsid w:val="00887582"/>
    <w:rsid w:val="00891132"/>
    <w:rsid w:val="00894E5A"/>
    <w:rsid w:val="0089648D"/>
    <w:rsid w:val="008968F4"/>
    <w:rsid w:val="008B1D2D"/>
    <w:rsid w:val="008B4E64"/>
    <w:rsid w:val="008B6AF0"/>
    <w:rsid w:val="008C4A01"/>
    <w:rsid w:val="008D7CFB"/>
    <w:rsid w:val="008D7EFA"/>
    <w:rsid w:val="008E4633"/>
    <w:rsid w:val="008F36D9"/>
    <w:rsid w:val="008F4B04"/>
    <w:rsid w:val="008F6336"/>
    <w:rsid w:val="009004E7"/>
    <w:rsid w:val="00902292"/>
    <w:rsid w:val="009033DB"/>
    <w:rsid w:val="009139BE"/>
    <w:rsid w:val="00923094"/>
    <w:rsid w:val="00924BF4"/>
    <w:rsid w:val="009252A1"/>
    <w:rsid w:val="00925DE7"/>
    <w:rsid w:val="00936C70"/>
    <w:rsid w:val="009419C4"/>
    <w:rsid w:val="009421CD"/>
    <w:rsid w:val="00943AD7"/>
    <w:rsid w:val="0095045D"/>
    <w:rsid w:val="00954211"/>
    <w:rsid w:val="00966D09"/>
    <w:rsid w:val="00980B4A"/>
    <w:rsid w:val="00980E7B"/>
    <w:rsid w:val="00982641"/>
    <w:rsid w:val="00994418"/>
    <w:rsid w:val="009A5BF7"/>
    <w:rsid w:val="009A61F3"/>
    <w:rsid w:val="009B0D96"/>
    <w:rsid w:val="009B2251"/>
    <w:rsid w:val="009B6EC8"/>
    <w:rsid w:val="009B7DF4"/>
    <w:rsid w:val="009C2116"/>
    <w:rsid w:val="009C48F1"/>
    <w:rsid w:val="009C59F4"/>
    <w:rsid w:val="009E2F11"/>
    <w:rsid w:val="009E3EC2"/>
    <w:rsid w:val="009F1694"/>
    <w:rsid w:val="009F1851"/>
    <w:rsid w:val="009F54BB"/>
    <w:rsid w:val="009F6397"/>
    <w:rsid w:val="00A0769E"/>
    <w:rsid w:val="00A07D6B"/>
    <w:rsid w:val="00A10357"/>
    <w:rsid w:val="00A1768F"/>
    <w:rsid w:val="00A2139A"/>
    <w:rsid w:val="00A3091B"/>
    <w:rsid w:val="00A351D6"/>
    <w:rsid w:val="00A361C1"/>
    <w:rsid w:val="00A41C29"/>
    <w:rsid w:val="00A428A4"/>
    <w:rsid w:val="00A61423"/>
    <w:rsid w:val="00A67889"/>
    <w:rsid w:val="00A721DC"/>
    <w:rsid w:val="00A74597"/>
    <w:rsid w:val="00A77A5E"/>
    <w:rsid w:val="00A80186"/>
    <w:rsid w:val="00A8024A"/>
    <w:rsid w:val="00A86CC5"/>
    <w:rsid w:val="00A938FE"/>
    <w:rsid w:val="00A94D79"/>
    <w:rsid w:val="00AA5185"/>
    <w:rsid w:val="00AA6151"/>
    <w:rsid w:val="00AA7152"/>
    <w:rsid w:val="00AC4C05"/>
    <w:rsid w:val="00AC519E"/>
    <w:rsid w:val="00AC7651"/>
    <w:rsid w:val="00AE33DF"/>
    <w:rsid w:val="00AE4B51"/>
    <w:rsid w:val="00AF73A1"/>
    <w:rsid w:val="00B04A8E"/>
    <w:rsid w:val="00B158E3"/>
    <w:rsid w:val="00B21141"/>
    <w:rsid w:val="00B34276"/>
    <w:rsid w:val="00B57E88"/>
    <w:rsid w:val="00B623DB"/>
    <w:rsid w:val="00B62D97"/>
    <w:rsid w:val="00B63C7E"/>
    <w:rsid w:val="00B644FD"/>
    <w:rsid w:val="00B66326"/>
    <w:rsid w:val="00B75668"/>
    <w:rsid w:val="00B94DBC"/>
    <w:rsid w:val="00B970C2"/>
    <w:rsid w:val="00BA24A1"/>
    <w:rsid w:val="00BB01D4"/>
    <w:rsid w:val="00BB1C7A"/>
    <w:rsid w:val="00BB26EB"/>
    <w:rsid w:val="00BB4285"/>
    <w:rsid w:val="00BB47DD"/>
    <w:rsid w:val="00BB6A7C"/>
    <w:rsid w:val="00BC0363"/>
    <w:rsid w:val="00BD0044"/>
    <w:rsid w:val="00BD0105"/>
    <w:rsid w:val="00BF054E"/>
    <w:rsid w:val="00BF56CD"/>
    <w:rsid w:val="00BF56EA"/>
    <w:rsid w:val="00BF5789"/>
    <w:rsid w:val="00C010F8"/>
    <w:rsid w:val="00C02963"/>
    <w:rsid w:val="00C05E79"/>
    <w:rsid w:val="00C22414"/>
    <w:rsid w:val="00C2424D"/>
    <w:rsid w:val="00C25641"/>
    <w:rsid w:val="00C4074A"/>
    <w:rsid w:val="00C43137"/>
    <w:rsid w:val="00C62162"/>
    <w:rsid w:val="00C74466"/>
    <w:rsid w:val="00C93C27"/>
    <w:rsid w:val="00C961A1"/>
    <w:rsid w:val="00CA05FA"/>
    <w:rsid w:val="00CA4E53"/>
    <w:rsid w:val="00CB33E4"/>
    <w:rsid w:val="00CD1EFC"/>
    <w:rsid w:val="00CD4504"/>
    <w:rsid w:val="00CE2CBA"/>
    <w:rsid w:val="00CE4D78"/>
    <w:rsid w:val="00CF097E"/>
    <w:rsid w:val="00D12DB0"/>
    <w:rsid w:val="00D14E07"/>
    <w:rsid w:val="00D22BEE"/>
    <w:rsid w:val="00D3315B"/>
    <w:rsid w:val="00D369FC"/>
    <w:rsid w:val="00D37782"/>
    <w:rsid w:val="00D438E7"/>
    <w:rsid w:val="00D44517"/>
    <w:rsid w:val="00D45B30"/>
    <w:rsid w:val="00D5568A"/>
    <w:rsid w:val="00D66107"/>
    <w:rsid w:val="00D70474"/>
    <w:rsid w:val="00D751C4"/>
    <w:rsid w:val="00DA00CB"/>
    <w:rsid w:val="00DA01C0"/>
    <w:rsid w:val="00DA596D"/>
    <w:rsid w:val="00DA5EC3"/>
    <w:rsid w:val="00DB08BE"/>
    <w:rsid w:val="00DB29D1"/>
    <w:rsid w:val="00DB2BA0"/>
    <w:rsid w:val="00DC2341"/>
    <w:rsid w:val="00DC727A"/>
    <w:rsid w:val="00DD0D31"/>
    <w:rsid w:val="00DD23B5"/>
    <w:rsid w:val="00DE347D"/>
    <w:rsid w:val="00DF003F"/>
    <w:rsid w:val="00DF321B"/>
    <w:rsid w:val="00E00093"/>
    <w:rsid w:val="00E16519"/>
    <w:rsid w:val="00E27D7B"/>
    <w:rsid w:val="00E36ECF"/>
    <w:rsid w:val="00E40A44"/>
    <w:rsid w:val="00E529D9"/>
    <w:rsid w:val="00E614E4"/>
    <w:rsid w:val="00E61FE6"/>
    <w:rsid w:val="00E72703"/>
    <w:rsid w:val="00EA1E7A"/>
    <w:rsid w:val="00EA73E1"/>
    <w:rsid w:val="00EB0276"/>
    <w:rsid w:val="00EC08EB"/>
    <w:rsid w:val="00ED44F6"/>
    <w:rsid w:val="00EF02D3"/>
    <w:rsid w:val="00EF370D"/>
    <w:rsid w:val="00EF3B3E"/>
    <w:rsid w:val="00EF47E6"/>
    <w:rsid w:val="00F04200"/>
    <w:rsid w:val="00F17EB1"/>
    <w:rsid w:val="00F21B2A"/>
    <w:rsid w:val="00F247FA"/>
    <w:rsid w:val="00F300A5"/>
    <w:rsid w:val="00F31658"/>
    <w:rsid w:val="00F31C33"/>
    <w:rsid w:val="00F35FA3"/>
    <w:rsid w:val="00F56455"/>
    <w:rsid w:val="00F573FB"/>
    <w:rsid w:val="00F65002"/>
    <w:rsid w:val="00F710F9"/>
    <w:rsid w:val="00F7603B"/>
    <w:rsid w:val="00F77C8E"/>
    <w:rsid w:val="00F871BB"/>
    <w:rsid w:val="00F92BDA"/>
    <w:rsid w:val="00FC577E"/>
    <w:rsid w:val="00FC5E59"/>
    <w:rsid w:val="00FC6358"/>
    <w:rsid w:val="00FC7664"/>
    <w:rsid w:val="00FD43C4"/>
    <w:rsid w:val="00FE725C"/>
    <w:rsid w:val="00FF5EFE"/>
    <w:rsid w:val="01F5638D"/>
    <w:rsid w:val="06190FCC"/>
    <w:rsid w:val="06C31319"/>
    <w:rsid w:val="06F2019A"/>
    <w:rsid w:val="07170AD3"/>
    <w:rsid w:val="0C3E1845"/>
    <w:rsid w:val="0D75536F"/>
    <w:rsid w:val="0E267653"/>
    <w:rsid w:val="0F5558E9"/>
    <w:rsid w:val="0F9B12FF"/>
    <w:rsid w:val="121673FC"/>
    <w:rsid w:val="13EA5A86"/>
    <w:rsid w:val="141A6530"/>
    <w:rsid w:val="16263320"/>
    <w:rsid w:val="18894FC5"/>
    <w:rsid w:val="1A2E55D0"/>
    <w:rsid w:val="1C360568"/>
    <w:rsid w:val="1CDC7578"/>
    <w:rsid w:val="1D1D211B"/>
    <w:rsid w:val="1D224AD8"/>
    <w:rsid w:val="1E366775"/>
    <w:rsid w:val="1EAA4067"/>
    <w:rsid w:val="1F8A032A"/>
    <w:rsid w:val="209B0E87"/>
    <w:rsid w:val="229104D7"/>
    <w:rsid w:val="22B66ECC"/>
    <w:rsid w:val="22DF206B"/>
    <w:rsid w:val="233D103B"/>
    <w:rsid w:val="25AB2F0A"/>
    <w:rsid w:val="25E92311"/>
    <w:rsid w:val="264F7292"/>
    <w:rsid w:val="26ED405F"/>
    <w:rsid w:val="27381384"/>
    <w:rsid w:val="283A1A56"/>
    <w:rsid w:val="28904CC6"/>
    <w:rsid w:val="28A82119"/>
    <w:rsid w:val="293A4B5B"/>
    <w:rsid w:val="29EB1502"/>
    <w:rsid w:val="2BA11361"/>
    <w:rsid w:val="2C5B0ED0"/>
    <w:rsid w:val="2E13617D"/>
    <w:rsid w:val="2EC477A4"/>
    <w:rsid w:val="306B1CEA"/>
    <w:rsid w:val="306D4FA8"/>
    <w:rsid w:val="35A4720D"/>
    <w:rsid w:val="36CF6180"/>
    <w:rsid w:val="3AF73D95"/>
    <w:rsid w:val="3BAB0482"/>
    <w:rsid w:val="3C2F0655"/>
    <w:rsid w:val="3C8C4BCF"/>
    <w:rsid w:val="3CA37266"/>
    <w:rsid w:val="3CDC22F9"/>
    <w:rsid w:val="3E6E73FF"/>
    <w:rsid w:val="3ED54380"/>
    <w:rsid w:val="3EF56C94"/>
    <w:rsid w:val="3F7D547A"/>
    <w:rsid w:val="3FBD23EC"/>
    <w:rsid w:val="40A64DCE"/>
    <w:rsid w:val="40D57BE7"/>
    <w:rsid w:val="40F36D39"/>
    <w:rsid w:val="4126128C"/>
    <w:rsid w:val="41807B75"/>
    <w:rsid w:val="42BB37F7"/>
    <w:rsid w:val="42CB6967"/>
    <w:rsid w:val="42D069E2"/>
    <w:rsid w:val="42DC051A"/>
    <w:rsid w:val="432134D5"/>
    <w:rsid w:val="43C10301"/>
    <w:rsid w:val="448116BD"/>
    <w:rsid w:val="448D647F"/>
    <w:rsid w:val="46B71D40"/>
    <w:rsid w:val="46FF2982"/>
    <w:rsid w:val="477029A4"/>
    <w:rsid w:val="477E223B"/>
    <w:rsid w:val="48C54EDB"/>
    <w:rsid w:val="49403219"/>
    <w:rsid w:val="4A05158C"/>
    <w:rsid w:val="4A0C644A"/>
    <w:rsid w:val="4B0C4228"/>
    <w:rsid w:val="4C8B1551"/>
    <w:rsid w:val="4DCD6ACF"/>
    <w:rsid w:val="4DD65825"/>
    <w:rsid w:val="4FBC3C5F"/>
    <w:rsid w:val="4FE760B9"/>
    <w:rsid w:val="50CD0CD8"/>
    <w:rsid w:val="51187C5D"/>
    <w:rsid w:val="517D7C2E"/>
    <w:rsid w:val="520F6DE4"/>
    <w:rsid w:val="5277467D"/>
    <w:rsid w:val="537F5EDF"/>
    <w:rsid w:val="53B42250"/>
    <w:rsid w:val="53CC5F52"/>
    <w:rsid w:val="572A5D2B"/>
    <w:rsid w:val="57C12988"/>
    <w:rsid w:val="587F701C"/>
    <w:rsid w:val="5A9D4E9D"/>
    <w:rsid w:val="5C402BAE"/>
    <w:rsid w:val="5E076B17"/>
    <w:rsid w:val="5E5E0FCC"/>
    <w:rsid w:val="5ECC7AFE"/>
    <w:rsid w:val="5EE61D7E"/>
    <w:rsid w:val="616A2B78"/>
    <w:rsid w:val="61B82DCC"/>
    <w:rsid w:val="639710A0"/>
    <w:rsid w:val="64591576"/>
    <w:rsid w:val="65DB6440"/>
    <w:rsid w:val="664278D6"/>
    <w:rsid w:val="67EE5B32"/>
    <w:rsid w:val="67FB4C28"/>
    <w:rsid w:val="69E228CC"/>
    <w:rsid w:val="6A4758A3"/>
    <w:rsid w:val="6AF75DE1"/>
    <w:rsid w:val="6B7D69CD"/>
    <w:rsid w:val="6C2B4B7E"/>
    <w:rsid w:val="6C3C3400"/>
    <w:rsid w:val="6C3E158D"/>
    <w:rsid w:val="6CD6533C"/>
    <w:rsid w:val="6E331F86"/>
    <w:rsid w:val="7062476F"/>
    <w:rsid w:val="749E2811"/>
    <w:rsid w:val="75821BD4"/>
    <w:rsid w:val="777026DB"/>
    <w:rsid w:val="779B21A4"/>
    <w:rsid w:val="78C65AA7"/>
    <w:rsid w:val="7A5D48A7"/>
    <w:rsid w:val="7AB95482"/>
    <w:rsid w:val="7B06584E"/>
    <w:rsid w:val="7B802405"/>
    <w:rsid w:val="7BA65F4F"/>
    <w:rsid w:val="7BE41980"/>
    <w:rsid w:val="7D8279DE"/>
    <w:rsid w:val="7DFA1937"/>
    <w:rsid w:val="7E39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3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autoRedefine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22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3"/>
    <w:autoRedefine/>
    <w:unhideWhenUsed/>
    <w:qFormat/>
    <w:uiPriority w:val="99"/>
    <w:pPr>
      <w:jc w:val="left"/>
    </w:pPr>
  </w:style>
  <w:style w:type="paragraph" w:styleId="5">
    <w:name w:val="Balloon Text"/>
    <w:basedOn w:val="1"/>
    <w:link w:val="30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4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link w:val="40"/>
    <w:autoRedefine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9">
    <w:name w:val="Normal (Web)"/>
    <w:basedOn w:val="1"/>
    <w:autoRedefine/>
    <w:semiHidden/>
    <w:unhideWhenUsed/>
    <w:qFormat/>
    <w:uiPriority w:val="99"/>
    <w:rPr>
      <w:sz w:val="24"/>
    </w:rPr>
  </w:style>
  <w:style w:type="paragraph" w:styleId="10">
    <w:name w:val="Title"/>
    <w:basedOn w:val="1"/>
    <w:next w:val="1"/>
    <w:autoRedefine/>
    <w:qFormat/>
    <w:uiPriority w:val="0"/>
    <w:pPr>
      <w:widowControl/>
      <w:suppressLineNumbers/>
      <w:spacing w:before="240" w:after="360"/>
      <w:jc w:val="center"/>
    </w:pPr>
    <w:rPr>
      <w:rFonts w:ascii="Times New Roman" w:hAnsi="Times New Roman" w:cs="Times New Roman"/>
      <w:b/>
      <w:kern w:val="0"/>
      <w:sz w:val="32"/>
      <w:szCs w:val="32"/>
      <w:lang w:eastAsia="en-US"/>
    </w:rPr>
  </w:style>
  <w:style w:type="paragraph" w:styleId="11">
    <w:name w:val="annotation subject"/>
    <w:basedOn w:val="4"/>
    <w:next w:val="4"/>
    <w:link w:val="24"/>
    <w:autoRedefine/>
    <w:semiHidden/>
    <w:unhideWhenUsed/>
    <w:qFormat/>
    <w:uiPriority w:val="99"/>
    <w:rPr>
      <w:b/>
      <w:bCs/>
    </w:rPr>
  </w:style>
  <w:style w:type="table" w:styleId="13">
    <w:name w:val="Table Grid"/>
    <w:basedOn w:val="12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FollowedHyperlink"/>
    <w:basedOn w:val="14"/>
    <w:autoRedefine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6">
    <w:name w:val="Emphasis"/>
    <w:basedOn w:val="14"/>
    <w:autoRedefine/>
    <w:qFormat/>
    <w:uiPriority w:val="20"/>
    <w:rPr>
      <w:i/>
      <w:iCs/>
    </w:rPr>
  </w:style>
  <w:style w:type="character" w:styleId="17">
    <w:name w:val="Hyperlink"/>
    <w:basedOn w:val="14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8">
    <w:name w:val="annotation reference"/>
    <w:basedOn w:val="14"/>
    <w:autoRedefine/>
    <w:semiHidden/>
    <w:unhideWhenUsed/>
    <w:qFormat/>
    <w:uiPriority w:val="99"/>
    <w:rPr>
      <w:sz w:val="21"/>
      <w:szCs w:val="21"/>
    </w:rPr>
  </w:style>
  <w:style w:type="character" w:customStyle="1" w:styleId="19">
    <w:name w:val="页眉 字符"/>
    <w:basedOn w:val="14"/>
    <w:autoRedefine/>
    <w:qFormat/>
    <w:uiPriority w:val="99"/>
    <w:rPr>
      <w:sz w:val="18"/>
      <w:szCs w:val="18"/>
    </w:rPr>
  </w:style>
  <w:style w:type="character" w:customStyle="1" w:styleId="20">
    <w:name w:val="页脚 字符"/>
    <w:basedOn w:val="14"/>
    <w:link w:val="6"/>
    <w:autoRedefine/>
    <w:qFormat/>
    <w:uiPriority w:val="99"/>
    <w:rPr>
      <w:sz w:val="18"/>
      <w:szCs w:val="18"/>
    </w:rPr>
  </w:style>
  <w:style w:type="character" w:customStyle="1" w:styleId="21">
    <w:name w:val="标题 1 字符"/>
    <w:basedOn w:val="14"/>
    <w:link w:val="2"/>
    <w:autoRedefine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2">
    <w:name w:val="标题 2 字符"/>
    <w:basedOn w:val="14"/>
    <w:link w:val="3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3">
    <w:name w:val="批注文字 字符"/>
    <w:basedOn w:val="14"/>
    <w:link w:val="4"/>
    <w:autoRedefine/>
    <w:qFormat/>
    <w:uiPriority w:val="99"/>
  </w:style>
  <w:style w:type="character" w:customStyle="1" w:styleId="24">
    <w:name w:val="批注主题 字符"/>
    <w:basedOn w:val="23"/>
    <w:link w:val="11"/>
    <w:autoRedefine/>
    <w:semiHidden/>
    <w:qFormat/>
    <w:uiPriority w:val="99"/>
    <w:rPr>
      <w:b/>
      <w:bCs/>
    </w:rPr>
  </w:style>
  <w:style w:type="character" w:customStyle="1" w:styleId="25">
    <w:name w:val="批注主题 字符1"/>
    <w:basedOn w:val="23"/>
    <w:autoRedefine/>
    <w:semiHidden/>
    <w:qFormat/>
    <w:uiPriority w:val="99"/>
    <w:rPr>
      <w:b/>
      <w:bCs/>
    </w:rPr>
  </w:style>
  <w:style w:type="paragraph" w:styleId="26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7">
    <w:name w:val="level-inner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8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Arial" w:hAnsi="Arial" w:cs="Arial" w:eastAsiaTheme="minorEastAsia"/>
      <w:color w:val="000000"/>
      <w:sz w:val="24"/>
      <w:szCs w:val="24"/>
      <w:lang w:val="en-US" w:eastAsia="zh-CN" w:bidi="ar-SA"/>
    </w:rPr>
  </w:style>
  <w:style w:type="character" w:customStyle="1" w:styleId="29">
    <w:name w:val="未处理的提及1"/>
    <w:basedOn w:val="14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0">
    <w:name w:val="批注框文本 字符"/>
    <w:basedOn w:val="14"/>
    <w:link w:val="5"/>
    <w:autoRedefine/>
    <w:semiHidden/>
    <w:qFormat/>
    <w:uiPriority w:val="99"/>
    <w:rPr>
      <w:sz w:val="18"/>
      <w:szCs w:val="18"/>
    </w:rPr>
  </w:style>
  <w:style w:type="character" w:customStyle="1" w:styleId="31">
    <w:name w:val="未处理的提及2"/>
    <w:basedOn w:val="14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2">
    <w:name w:val="EndNote Bibliography Title"/>
    <w:basedOn w:val="1"/>
    <w:link w:val="33"/>
    <w:autoRedefine/>
    <w:qFormat/>
    <w:uiPriority w:val="0"/>
    <w:pPr>
      <w:jc w:val="center"/>
    </w:pPr>
    <w:rPr>
      <w:rFonts w:ascii="等线" w:hAnsi="等线" w:eastAsia="等线"/>
      <w:sz w:val="20"/>
    </w:rPr>
  </w:style>
  <w:style w:type="character" w:customStyle="1" w:styleId="33">
    <w:name w:val="EndNote Bibliography Title 字符"/>
    <w:basedOn w:val="14"/>
    <w:link w:val="32"/>
    <w:autoRedefine/>
    <w:qFormat/>
    <w:uiPriority w:val="0"/>
    <w:rPr>
      <w:rFonts w:ascii="等线" w:hAnsi="等线" w:eastAsia="等线"/>
      <w:sz w:val="20"/>
    </w:rPr>
  </w:style>
  <w:style w:type="paragraph" w:customStyle="1" w:styleId="34">
    <w:name w:val="EndNote Bibliography"/>
    <w:basedOn w:val="1"/>
    <w:link w:val="35"/>
    <w:autoRedefine/>
    <w:qFormat/>
    <w:uiPriority w:val="0"/>
    <w:rPr>
      <w:rFonts w:ascii="等线" w:hAnsi="等线" w:eastAsia="等线"/>
      <w:sz w:val="20"/>
    </w:rPr>
  </w:style>
  <w:style w:type="character" w:customStyle="1" w:styleId="35">
    <w:name w:val="EndNote Bibliography 字符"/>
    <w:basedOn w:val="14"/>
    <w:link w:val="34"/>
    <w:autoRedefine/>
    <w:qFormat/>
    <w:uiPriority w:val="0"/>
    <w:rPr>
      <w:rFonts w:ascii="等线" w:hAnsi="等线" w:eastAsia="等线"/>
      <w:sz w:val="20"/>
    </w:rPr>
  </w:style>
  <w:style w:type="character" w:customStyle="1" w:styleId="36">
    <w:name w:val="未处理的提及3"/>
    <w:basedOn w:val="14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7">
    <w:name w:val="修订1"/>
    <w:autoRedefine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8">
    <w:name w:val="Author List"/>
    <w:basedOn w:val="8"/>
    <w:next w:val="1"/>
    <w:autoRedefine/>
    <w:qFormat/>
    <w:uiPriority w:val="0"/>
    <w:pPr>
      <w:widowControl/>
      <w:spacing w:after="240" w:line="240" w:lineRule="auto"/>
      <w:jc w:val="left"/>
      <w:outlineLvl w:val="9"/>
    </w:pPr>
    <w:rPr>
      <w:rFonts w:ascii="Times New Roman" w:hAnsi="Times New Roman" w:cs="Times New Roman"/>
      <w:bCs w:val="0"/>
      <w:kern w:val="0"/>
      <w:sz w:val="24"/>
      <w:szCs w:val="24"/>
      <w:lang w:eastAsia="en-US"/>
    </w:rPr>
  </w:style>
  <w:style w:type="character" w:customStyle="1" w:styleId="39">
    <w:name w:val="fontstyle01"/>
    <w:basedOn w:val="14"/>
    <w:autoRedefine/>
    <w:qFormat/>
    <w:uiPriority w:val="0"/>
    <w:rPr>
      <w:rFonts w:hint="default" w:ascii="AdvTT5235d5a9" w:hAnsi="AdvTT5235d5a9"/>
      <w:color w:val="231F20"/>
      <w:sz w:val="14"/>
      <w:szCs w:val="14"/>
    </w:rPr>
  </w:style>
  <w:style w:type="character" w:customStyle="1" w:styleId="40">
    <w:name w:val="副标题 字符"/>
    <w:basedOn w:val="14"/>
    <w:link w:val="8"/>
    <w:autoRedefine/>
    <w:qFormat/>
    <w:uiPriority w:val="0"/>
    <w:rPr>
      <w:rFonts w:hint="eastAsia" w:ascii="等线" w:hAnsi="等线" w:eastAsia="等线" w:cs="Times New Roman"/>
      <w:b/>
      <w:bCs/>
      <w:kern w:val="28"/>
      <w:sz w:val="32"/>
      <w:szCs w:val="32"/>
    </w:rPr>
  </w:style>
  <w:style w:type="character" w:customStyle="1" w:styleId="41">
    <w:name w:val="页眉 字符1"/>
    <w:basedOn w:val="14"/>
    <w:link w:val="7"/>
    <w:autoRedefine/>
    <w:qFormat/>
    <w:uiPriority w:val="0"/>
    <w:rPr>
      <w:sz w:val="18"/>
      <w:szCs w:val="18"/>
    </w:rPr>
  </w:style>
  <w:style w:type="paragraph" w:customStyle="1" w:styleId="42">
    <w:name w:val="MDPI_1.6_affiliation"/>
    <w:basedOn w:val="1"/>
    <w:autoRedefine/>
    <w:qFormat/>
    <w:uiPriority w:val="0"/>
    <w:pPr>
      <w:widowControl/>
      <w:adjustRightInd w:val="0"/>
      <w:snapToGrid w:val="0"/>
      <w:spacing w:beforeAutospacing="1" w:afterAutospacing="1" w:line="240" w:lineRule="atLeast"/>
      <w:ind w:left="2806" w:hanging="198"/>
      <w:jc w:val="left"/>
    </w:pPr>
    <w:rPr>
      <w:rFonts w:ascii="Palatino Linotype" w:hAnsi="Palatino Linotype" w:eastAsia="Times New Roman" w:cs="Times New Roman"/>
      <w:color w:val="000000"/>
      <w:kern w:val="0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692A09-EEFC-4CC3-8EE9-19840F8D8E3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735</Words>
  <Characters>4008</Characters>
  <Lines>72</Lines>
  <Paragraphs>20</Paragraphs>
  <TotalTime>192</TotalTime>
  <ScaleCrop>false</ScaleCrop>
  <LinksUpToDate>false</LinksUpToDate>
  <CharactersWithSpaces>4547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2024-04-10T12:20:00Z</dcterms:created>
  <dc:creator>Wang Yi</dc:creator>
  <cp:lastModifiedBy>Roger</cp:lastModifiedBy>
  <dcterms:modified xsi:type="dcterms:W3CDTF">2024-12-31T06:07:18Z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9FC349812436493A95949DE25B2A5FF1_13</vt:lpwstr>
  </property>
  <property fmtid="{D5CDD505-2E9C-101B-9397-08002B2CF9AE}" pid="4" name="KSOTemplateDocerSaveRecord">
    <vt:lpwstr>eyJoZGlkIjoiOWFmMGE4OThiMTExMmE2M2ZmMjFkZjFmYzRkNzk4ZTYiLCJ1c2VySWQiOiIyNzM2MzE0MDIifQ==</vt:lpwstr>
  </property>
</Properties>
</file>