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87AEB" w14:textId="62DF3C8C" w:rsidR="0001365F" w:rsidRDefault="004448E5">
      <w:pPr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b/>
          <w:bCs/>
          <w:sz w:val="24"/>
        </w:rPr>
        <w:t xml:space="preserve">Appendix 1. </w:t>
      </w:r>
      <w:r>
        <w:rPr>
          <w:rFonts w:ascii="Times New Roman" w:hAnsi="Times New Roman" w:hint="eastAsia"/>
          <w:sz w:val="24"/>
        </w:rPr>
        <w:t>Unadjusted o</w:t>
      </w:r>
      <w:r>
        <w:rPr>
          <w:rFonts w:ascii="Times New Roman" w:hAnsi="Times New Roman"/>
          <w:sz w:val="24"/>
        </w:rPr>
        <w:t>dds ratios of</w:t>
      </w:r>
      <w:r>
        <w:rPr>
          <w:rFonts w:ascii="Times New Roman" w:hAnsi="Times New Roman" w:hint="eastAsia"/>
          <w:sz w:val="24"/>
        </w:rPr>
        <w:t xml:space="preserve"> major </w:t>
      </w:r>
      <w:r>
        <w:rPr>
          <w:rFonts w:ascii="Times New Roman" w:hAnsi="Times New Roman"/>
          <w:sz w:val="24"/>
        </w:rPr>
        <w:t>adverse perinatal outcomes in pregnant women with acute SARS-CoV-2 infection, prior SARS-CoV-2 infection and without infection</w:t>
      </w:r>
    </w:p>
    <w:tbl>
      <w:tblPr>
        <w:tblW w:w="10056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1"/>
        <w:gridCol w:w="1476"/>
        <w:gridCol w:w="1404"/>
        <w:gridCol w:w="1440"/>
        <w:gridCol w:w="1416"/>
        <w:gridCol w:w="1272"/>
        <w:gridCol w:w="1457"/>
      </w:tblGrid>
      <w:tr w:rsidR="0001365F" w14:paraId="0E853CF4" w14:textId="77777777" w:rsidTr="00BD5940">
        <w:trPr>
          <w:trHeight w:val="1257"/>
        </w:trPr>
        <w:tc>
          <w:tcPr>
            <w:tcW w:w="1591" w:type="dxa"/>
            <w:shd w:val="clear" w:color="auto" w:fill="FFFFFF"/>
            <w:noWrap/>
            <w:vAlign w:val="center"/>
          </w:tcPr>
          <w:p w14:paraId="1B50488A" w14:textId="77777777" w:rsidR="0001365F" w:rsidRDefault="004448E5">
            <w:pPr>
              <w:widowControl/>
              <w:jc w:val="left"/>
              <w:textAlignment w:val="center"/>
              <w:rPr>
                <w:rFonts w:ascii="Times New Roman" w:hAnsi="Times New Roman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2"/>
                <w:szCs w:val="22"/>
                <w:lang w:bidi="ar"/>
              </w:rPr>
              <w:t>Cohort</w:t>
            </w:r>
          </w:p>
        </w:tc>
        <w:tc>
          <w:tcPr>
            <w:tcW w:w="1476" w:type="dxa"/>
            <w:shd w:val="clear" w:color="auto" w:fill="FFFFFF"/>
            <w:noWrap/>
            <w:vAlign w:val="center"/>
          </w:tcPr>
          <w:p w14:paraId="71FB8E54" w14:textId="77777777" w:rsidR="0001365F" w:rsidRDefault="004448E5">
            <w:pPr>
              <w:widowControl/>
              <w:jc w:val="left"/>
              <w:textAlignment w:val="center"/>
              <w:rPr>
                <w:rFonts w:ascii="Times New Roman" w:hAnsi="Times New Roman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2"/>
                <w:szCs w:val="22"/>
                <w:lang w:bidi="ar"/>
              </w:rPr>
              <w:t>Unadjusted</w:t>
            </w:r>
          </w:p>
          <w:p w14:paraId="5A900F32" w14:textId="72B604CD" w:rsidR="0001365F" w:rsidRDefault="004448E5">
            <w:pPr>
              <w:widowControl/>
              <w:jc w:val="left"/>
              <w:textAlignment w:val="center"/>
              <w:rPr>
                <w:rFonts w:ascii="Times New Roman" w:hAnsi="Times New Roman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2"/>
                <w:szCs w:val="22"/>
                <w:lang w:bidi="ar"/>
              </w:rPr>
              <w:t>OR</w:t>
            </w:r>
            <w:r>
              <w:rPr>
                <w:rFonts w:ascii="Times New Roman" w:hAnsi="Times New Roman"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bCs/>
                <w:color w:val="000000"/>
                <w:kern w:val="0"/>
                <w:sz w:val="22"/>
                <w:szCs w:val="22"/>
                <w:lang w:bidi="ar"/>
              </w:rPr>
              <w:t>(95%CI</w:t>
            </w:r>
            <w:r>
              <w:rPr>
                <w:rFonts w:ascii="Times New Roman" w:hAnsi="Times New Roman" w:hint="eastAsia"/>
                <w:bCs/>
                <w:color w:val="000000"/>
                <w:kern w:val="0"/>
                <w:sz w:val="22"/>
                <w:szCs w:val="22"/>
                <w:lang w:bidi="ar"/>
              </w:rPr>
              <w:t>）</w:t>
            </w:r>
          </w:p>
          <w:p w14:paraId="63A3D38B" w14:textId="77777777" w:rsidR="0001365F" w:rsidRDefault="004448E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2"/>
                <w:szCs w:val="22"/>
                <w:lang w:bidi="ar"/>
              </w:rPr>
              <w:t>ICP</w:t>
            </w:r>
          </w:p>
        </w:tc>
        <w:tc>
          <w:tcPr>
            <w:tcW w:w="1404" w:type="dxa"/>
            <w:shd w:val="clear" w:color="auto" w:fill="FFFFFF"/>
            <w:noWrap/>
            <w:vAlign w:val="center"/>
          </w:tcPr>
          <w:p w14:paraId="1EF7684B" w14:textId="77777777" w:rsidR="0001365F" w:rsidRDefault="004448E5">
            <w:pPr>
              <w:widowControl/>
              <w:jc w:val="left"/>
              <w:rPr>
                <w:rFonts w:ascii="Times New Roman" w:hAnsi="Times New Roman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2"/>
                <w:szCs w:val="22"/>
                <w:lang w:bidi="ar"/>
              </w:rPr>
              <w:t>Fetal distress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1468D533" w14:textId="77777777" w:rsidR="0001365F" w:rsidRDefault="004448E5">
            <w:pPr>
              <w:widowControl/>
              <w:jc w:val="left"/>
              <w:textAlignment w:val="center"/>
              <w:rPr>
                <w:rFonts w:ascii="Times New Roman" w:hAnsi="Times New Roman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2"/>
                <w:szCs w:val="22"/>
                <w:lang w:bidi="ar"/>
              </w:rPr>
              <w:t>Primary cesarean delivery</w:t>
            </w:r>
          </w:p>
        </w:tc>
        <w:tc>
          <w:tcPr>
            <w:tcW w:w="1416" w:type="dxa"/>
            <w:shd w:val="clear" w:color="auto" w:fill="FFFFFF"/>
            <w:noWrap/>
            <w:vAlign w:val="center"/>
          </w:tcPr>
          <w:p w14:paraId="14C7B1BD" w14:textId="77777777" w:rsidR="0001365F" w:rsidRDefault="004448E5">
            <w:pPr>
              <w:widowControl/>
              <w:jc w:val="left"/>
              <w:textAlignment w:val="center"/>
              <w:rPr>
                <w:rFonts w:ascii="Times New Roman" w:hAnsi="Times New Roman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2"/>
                <w:szCs w:val="22"/>
                <w:lang w:bidi="ar"/>
              </w:rPr>
              <w:t>PTB</w:t>
            </w:r>
          </w:p>
        </w:tc>
        <w:tc>
          <w:tcPr>
            <w:tcW w:w="1272" w:type="dxa"/>
            <w:shd w:val="clear" w:color="auto" w:fill="FFFFFF"/>
            <w:noWrap/>
            <w:vAlign w:val="center"/>
          </w:tcPr>
          <w:p w14:paraId="4BFA5994" w14:textId="77777777" w:rsidR="0001365F" w:rsidRDefault="004448E5">
            <w:pPr>
              <w:widowControl/>
              <w:jc w:val="left"/>
              <w:textAlignment w:val="center"/>
              <w:rPr>
                <w:rFonts w:ascii="Times New Roman" w:hAnsi="Times New Roman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2"/>
                <w:szCs w:val="22"/>
                <w:lang w:bidi="ar"/>
              </w:rPr>
              <w:t>LBW</w:t>
            </w: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14:paraId="5E4B6C43" w14:textId="77777777" w:rsidR="0001365F" w:rsidRDefault="004448E5">
            <w:pPr>
              <w:widowControl/>
              <w:jc w:val="left"/>
              <w:textAlignment w:val="center"/>
              <w:rPr>
                <w:rFonts w:ascii="Times New Roman" w:hAnsi="Times New Roman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 w:val="22"/>
                <w:szCs w:val="22"/>
                <w:lang w:bidi="ar"/>
              </w:rPr>
              <w:t>Neonatal unit admission</w:t>
            </w:r>
          </w:p>
        </w:tc>
      </w:tr>
      <w:tr w:rsidR="0001365F" w14:paraId="304183B9" w14:textId="77777777" w:rsidTr="00BD5940">
        <w:trPr>
          <w:trHeight w:val="638"/>
        </w:trPr>
        <w:tc>
          <w:tcPr>
            <w:tcW w:w="1591" w:type="dxa"/>
            <w:shd w:val="clear" w:color="auto" w:fill="FFFFFF"/>
            <w:noWrap/>
            <w:vAlign w:val="center"/>
          </w:tcPr>
          <w:p w14:paraId="288024B9" w14:textId="77777777" w:rsidR="0001365F" w:rsidRDefault="004448E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Compared to non-infection</w:t>
            </w:r>
          </w:p>
        </w:tc>
        <w:tc>
          <w:tcPr>
            <w:tcW w:w="1476" w:type="dxa"/>
            <w:shd w:val="clear" w:color="auto" w:fill="FFFFFF"/>
            <w:noWrap/>
            <w:vAlign w:val="center"/>
          </w:tcPr>
          <w:p w14:paraId="570D9D01" w14:textId="77777777" w:rsidR="0001365F" w:rsidRDefault="0001365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04" w:type="dxa"/>
            <w:shd w:val="clear" w:color="auto" w:fill="FFFFFF"/>
            <w:noWrap/>
            <w:vAlign w:val="center"/>
          </w:tcPr>
          <w:p w14:paraId="404D1A5C" w14:textId="77777777" w:rsidR="0001365F" w:rsidRDefault="0001365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68F923F2" w14:textId="77777777" w:rsidR="0001365F" w:rsidRDefault="0001365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6" w:type="dxa"/>
            <w:shd w:val="clear" w:color="auto" w:fill="FFFFFF"/>
            <w:noWrap/>
            <w:vAlign w:val="center"/>
          </w:tcPr>
          <w:p w14:paraId="38E4E3AA" w14:textId="77777777" w:rsidR="0001365F" w:rsidRDefault="0001365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272" w:type="dxa"/>
            <w:shd w:val="clear" w:color="auto" w:fill="FFFFFF"/>
            <w:noWrap/>
            <w:vAlign w:val="center"/>
          </w:tcPr>
          <w:p w14:paraId="3FFEC80D" w14:textId="77777777" w:rsidR="0001365F" w:rsidRDefault="0001365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14:paraId="2C4D65A7" w14:textId="77777777" w:rsidR="0001365F" w:rsidRDefault="0001365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1365F" w14:paraId="6B79CC61" w14:textId="77777777" w:rsidTr="00BD5940">
        <w:trPr>
          <w:trHeight w:val="664"/>
        </w:trPr>
        <w:tc>
          <w:tcPr>
            <w:tcW w:w="1591" w:type="dxa"/>
            <w:shd w:val="clear" w:color="auto" w:fill="FFFFFF"/>
            <w:noWrap/>
            <w:vAlign w:val="center"/>
          </w:tcPr>
          <w:p w14:paraId="5C6711B1" w14:textId="77777777" w:rsidR="0001365F" w:rsidRDefault="004448E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Acute infection</w:t>
            </w:r>
          </w:p>
        </w:tc>
        <w:tc>
          <w:tcPr>
            <w:tcW w:w="1476" w:type="dxa"/>
            <w:shd w:val="clear" w:color="auto" w:fill="FFFFFF"/>
            <w:noWrap/>
            <w:vAlign w:val="center"/>
          </w:tcPr>
          <w:p w14:paraId="791EAA0F" w14:textId="37B08995" w:rsidR="0001365F" w:rsidRDefault="004448E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4.5(2.0-10.1)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vertAlign w:val="superscript"/>
              </w:rPr>
              <w:t>#</w:t>
            </w:r>
          </w:p>
        </w:tc>
        <w:tc>
          <w:tcPr>
            <w:tcW w:w="1404" w:type="dxa"/>
            <w:shd w:val="clear" w:color="auto" w:fill="FFFFFF"/>
            <w:noWrap/>
            <w:vAlign w:val="center"/>
          </w:tcPr>
          <w:p w14:paraId="286EFDD5" w14:textId="77777777" w:rsidR="0001365F" w:rsidRDefault="004448E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1.9(1.4-2.6)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vertAlign w:val="superscript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vertAlign w:val="superscript"/>
              </w:rPr>
              <w:t>#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450C9BEF" w14:textId="77777777" w:rsidR="0001365F" w:rsidRDefault="004448E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1.3(1.1-1.7)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vertAlign w:val="superscript"/>
                <w:lang w:bidi="ar"/>
              </w:rPr>
              <w:t xml:space="preserve"> *</w:t>
            </w:r>
          </w:p>
        </w:tc>
        <w:tc>
          <w:tcPr>
            <w:tcW w:w="1416" w:type="dxa"/>
            <w:shd w:val="clear" w:color="auto" w:fill="FFFFFF"/>
            <w:noWrap/>
            <w:vAlign w:val="center"/>
          </w:tcPr>
          <w:p w14:paraId="0FC70B93" w14:textId="77777777" w:rsidR="0001365F" w:rsidRDefault="004448E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1.6(1.1-2.5)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vertAlign w:val="superscript"/>
                <w:lang w:bidi="ar"/>
              </w:rPr>
              <w:t xml:space="preserve"> *</w:t>
            </w:r>
          </w:p>
        </w:tc>
        <w:tc>
          <w:tcPr>
            <w:tcW w:w="1272" w:type="dxa"/>
            <w:shd w:val="clear" w:color="auto" w:fill="FFFFFF"/>
            <w:noWrap/>
            <w:vAlign w:val="center"/>
          </w:tcPr>
          <w:p w14:paraId="6213C185" w14:textId="77777777" w:rsidR="0001365F" w:rsidRDefault="004448E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1.5(0.9-2.5)</w:t>
            </w: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14:paraId="2AF3F138" w14:textId="77777777" w:rsidR="0001365F" w:rsidRDefault="004448E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1.5(1.0-2.1)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vertAlign w:val="superscript"/>
                <w:lang w:bidi="ar"/>
              </w:rPr>
              <w:t xml:space="preserve"> *</w:t>
            </w:r>
          </w:p>
        </w:tc>
      </w:tr>
      <w:tr w:rsidR="0001365F" w14:paraId="1CAE6243" w14:textId="77777777" w:rsidTr="00BD5940">
        <w:trPr>
          <w:trHeight w:val="664"/>
        </w:trPr>
        <w:tc>
          <w:tcPr>
            <w:tcW w:w="1591" w:type="dxa"/>
            <w:shd w:val="clear" w:color="auto" w:fill="FFFFFF"/>
            <w:noWrap/>
            <w:vAlign w:val="center"/>
          </w:tcPr>
          <w:p w14:paraId="3AA299AD" w14:textId="77777777" w:rsidR="0001365F" w:rsidRDefault="004448E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Prior infection</w:t>
            </w:r>
          </w:p>
        </w:tc>
        <w:tc>
          <w:tcPr>
            <w:tcW w:w="1476" w:type="dxa"/>
            <w:shd w:val="clear" w:color="auto" w:fill="FFFFFF"/>
            <w:noWrap/>
            <w:vAlign w:val="center"/>
          </w:tcPr>
          <w:p w14:paraId="0AEE662E" w14:textId="77777777" w:rsidR="0001365F" w:rsidRDefault="004448E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3.7(1.7-8.0)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vertAlign w:val="superscript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vertAlign w:val="superscript"/>
              </w:rPr>
              <w:t>#</w:t>
            </w:r>
          </w:p>
        </w:tc>
        <w:tc>
          <w:tcPr>
            <w:tcW w:w="1404" w:type="dxa"/>
            <w:shd w:val="clear" w:color="auto" w:fill="FFFFFF"/>
            <w:noWrap/>
            <w:vAlign w:val="center"/>
          </w:tcPr>
          <w:p w14:paraId="76D2AE80" w14:textId="77777777" w:rsidR="0001365F" w:rsidRDefault="004448E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1.0(0.8-1.4)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0B7D62C2" w14:textId="77777777" w:rsidR="0001365F" w:rsidRDefault="004448E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1.0(0.8-1.2)</w:t>
            </w:r>
          </w:p>
        </w:tc>
        <w:tc>
          <w:tcPr>
            <w:tcW w:w="1416" w:type="dxa"/>
            <w:shd w:val="clear" w:color="auto" w:fill="FFFFFF"/>
            <w:noWrap/>
            <w:vAlign w:val="center"/>
          </w:tcPr>
          <w:p w14:paraId="6442627F" w14:textId="77777777" w:rsidR="0001365F" w:rsidRDefault="004448E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1.3(0.9-1.8)</w:t>
            </w:r>
          </w:p>
        </w:tc>
        <w:tc>
          <w:tcPr>
            <w:tcW w:w="1272" w:type="dxa"/>
            <w:shd w:val="clear" w:color="auto" w:fill="FFFFFF"/>
            <w:noWrap/>
            <w:vAlign w:val="center"/>
          </w:tcPr>
          <w:p w14:paraId="61C9A0EA" w14:textId="77777777" w:rsidR="0001365F" w:rsidRDefault="004448E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1.2(0.7-1.9)</w:t>
            </w: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14:paraId="0F2F17BD" w14:textId="77777777" w:rsidR="0001365F" w:rsidRDefault="004448E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1.0(0.7-1.3)</w:t>
            </w:r>
          </w:p>
        </w:tc>
      </w:tr>
      <w:tr w:rsidR="0001365F" w14:paraId="0947DA68" w14:textId="77777777" w:rsidTr="00BD5940">
        <w:trPr>
          <w:trHeight w:val="621"/>
        </w:trPr>
        <w:tc>
          <w:tcPr>
            <w:tcW w:w="1591" w:type="dxa"/>
            <w:shd w:val="clear" w:color="auto" w:fill="FFFFFF"/>
            <w:noWrap/>
            <w:vAlign w:val="center"/>
          </w:tcPr>
          <w:p w14:paraId="68FC6B72" w14:textId="77777777" w:rsidR="0001365F" w:rsidRDefault="004448E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Compared to prior infection</w:t>
            </w:r>
          </w:p>
        </w:tc>
        <w:tc>
          <w:tcPr>
            <w:tcW w:w="1476" w:type="dxa"/>
            <w:shd w:val="clear" w:color="auto" w:fill="FFFFFF"/>
            <w:noWrap/>
            <w:vAlign w:val="center"/>
          </w:tcPr>
          <w:p w14:paraId="36B2DCB7" w14:textId="77777777" w:rsidR="0001365F" w:rsidRDefault="0001365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04" w:type="dxa"/>
            <w:shd w:val="clear" w:color="auto" w:fill="FFFFFF"/>
            <w:noWrap/>
            <w:vAlign w:val="center"/>
          </w:tcPr>
          <w:p w14:paraId="06CA2C54" w14:textId="77777777" w:rsidR="0001365F" w:rsidRDefault="0001365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15134FCF" w14:textId="77777777" w:rsidR="0001365F" w:rsidRDefault="0001365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6" w:type="dxa"/>
            <w:shd w:val="clear" w:color="auto" w:fill="FFFFFF"/>
            <w:noWrap/>
            <w:vAlign w:val="center"/>
          </w:tcPr>
          <w:p w14:paraId="20E98201" w14:textId="77777777" w:rsidR="0001365F" w:rsidRDefault="0001365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272" w:type="dxa"/>
            <w:shd w:val="clear" w:color="auto" w:fill="FFFFFF"/>
            <w:noWrap/>
            <w:vAlign w:val="center"/>
          </w:tcPr>
          <w:p w14:paraId="392D36FB" w14:textId="77777777" w:rsidR="0001365F" w:rsidRDefault="0001365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14:paraId="16A31420" w14:textId="77777777" w:rsidR="0001365F" w:rsidRDefault="0001365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01365F" w14:paraId="65675F1D" w14:textId="77777777" w:rsidTr="00BD5940">
        <w:trPr>
          <w:trHeight w:val="695"/>
        </w:trPr>
        <w:tc>
          <w:tcPr>
            <w:tcW w:w="1591" w:type="dxa"/>
            <w:shd w:val="clear" w:color="auto" w:fill="FFFFFF"/>
            <w:noWrap/>
            <w:vAlign w:val="center"/>
          </w:tcPr>
          <w:p w14:paraId="249285E6" w14:textId="77777777" w:rsidR="0001365F" w:rsidRDefault="004448E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Acute infection</w:t>
            </w:r>
          </w:p>
        </w:tc>
        <w:tc>
          <w:tcPr>
            <w:tcW w:w="1476" w:type="dxa"/>
            <w:shd w:val="clear" w:color="auto" w:fill="FFFFFF"/>
            <w:noWrap/>
            <w:vAlign w:val="center"/>
          </w:tcPr>
          <w:p w14:paraId="24279249" w14:textId="77777777" w:rsidR="0001365F" w:rsidRDefault="004448E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1.2(0.7-2.0)</w:t>
            </w:r>
          </w:p>
        </w:tc>
        <w:tc>
          <w:tcPr>
            <w:tcW w:w="1404" w:type="dxa"/>
            <w:shd w:val="clear" w:color="auto" w:fill="FFFFFF"/>
            <w:noWrap/>
            <w:vAlign w:val="center"/>
          </w:tcPr>
          <w:p w14:paraId="1D23CA2C" w14:textId="0A9AE0FD" w:rsidR="0001365F" w:rsidRDefault="004448E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1.8(1.4-2.5)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vertAlign w:val="superscript"/>
              </w:rPr>
              <w:t>#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010FB0B0" w14:textId="77777777" w:rsidR="0001365F" w:rsidRDefault="004448E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1.3(1.1-1.6)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vertAlign w:val="superscript"/>
                <w:lang w:bidi="ar"/>
              </w:rPr>
              <w:t xml:space="preserve"> *</w:t>
            </w:r>
          </w:p>
        </w:tc>
        <w:tc>
          <w:tcPr>
            <w:tcW w:w="1416" w:type="dxa"/>
            <w:shd w:val="clear" w:color="auto" w:fill="FFFFFF"/>
            <w:noWrap/>
            <w:vAlign w:val="center"/>
          </w:tcPr>
          <w:p w14:paraId="51F9F3FA" w14:textId="77777777" w:rsidR="0001365F" w:rsidRDefault="004448E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1.3(0.9-1.9)</w:t>
            </w:r>
          </w:p>
        </w:tc>
        <w:tc>
          <w:tcPr>
            <w:tcW w:w="1272" w:type="dxa"/>
            <w:shd w:val="clear" w:color="auto" w:fill="FFFFFF"/>
            <w:noWrap/>
            <w:vAlign w:val="center"/>
          </w:tcPr>
          <w:p w14:paraId="7D11A5D2" w14:textId="77777777" w:rsidR="0001365F" w:rsidRDefault="004448E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1.3(0.8-1.9)</w:t>
            </w: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14:paraId="29135317" w14:textId="77777777" w:rsidR="0001365F" w:rsidRDefault="004448E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szCs w:val="22"/>
                <w:lang w:bidi="ar"/>
              </w:rPr>
              <w:t>1.5(1.1-2.1)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vertAlign w:val="superscript"/>
                <w:lang w:bidi="ar"/>
              </w:rPr>
              <w:t xml:space="preserve"> *</w:t>
            </w:r>
          </w:p>
        </w:tc>
      </w:tr>
    </w:tbl>
    <w:p w14:paraId="49B8B97F" w14:textId="77777777" w:rsidR="0001365F" w:rsidRDefault="004448E5">
      <w:pPr>
        <w:rPr>
          <w:rFonts w:ascii="Times New Roman" w:hAnsi="Times New Roman"/>
        </w:rPr>
      </w:pPr>
      <w:r>
        <w:rPr>
          <w:rFonts w:ascii="Times New Roman" w:hAnsi="Times New Roman"/>
        </w:rPr>
        <w:t>Abbreviation: ICP: Intrahepatic cholestasis of pregnancy; PTB</w:t>
      </w:r>
      <w:r>
        <w:rPr>
          <w:rFonts w:ascii="Times New Roman" w:hAnsi="Times New Roman" w:hint="eastAsia"/>
        </w:rPr>
        <w:t>:</w:t>
      </w:r>
      <w:r>
        <w:rPr>
          <w:rFonts w:ascii="Times New Roman" w:hAnsi="Times New Roman"/>
        </w:rPr>
        <w:t xml:space="preserve"> Preterm </w:t>
      </w:r>
      <w:r>
        <w:rPr>
          <w:rFonts w:ascii="Times New Roman" w:hAnsi="Times New Roman" w:hint="eastAsia"/>
        </w:rPr>
        <w:t>birth</w:t>
      </w:r>
      <w:r>
        <w:rPr>
          <w:rFonts w:ascii="Times New Roman" w:hAnsi="Times New Roman"/>
        </w:rPr>
        <w:t>(</w:t>
      </w:r>
      <w:r>
        <w:rPr>
          <w:rFonts w:ascii="Times New Roman" w:hAnsi="Times New Roman" w:hint="eastAsia"/>
        </w:rPr>
        <w:t>＜</w:t>
      </w:r>
      <w:r>
        <w:rPr>
          <w:rFonts w:ascii="Times New Roman" w:hAnsi="Times New Roman" w:hint="eastAsia"/>
        </w:rPr>
        <w:t>3</w:t>
      </w:r>
      <w:r>
        <w:rPr>
          <w:rFonts w:ascii="Times New Roman" w:hAnsi="Times New Roman"/>
        </w:rPr>
        <w:t>7WG</w:t>
      </w:r>
      <w:r>
        <w:rPr>
          <w:rFonts w:ascii="Times New Roman" w:hAnsi="Times New Roman" w:hint="eastAsia"/>
        </w:rPr>
        <w:t>)</w:t>
      </w:r>
      <w:r>
        <w:rPr>
          <w:rFonts w:ascii="Times New Roman" w:hAnsi="Times New Roman"/>
        </w:rPr>
        <w:t>; LBW: Low birthweight</w:t>
      </w:r>
      <w:r>
        <w:rPr>
          <w:rFonts w:ascii="Times New Roman" w:hAnsi="Times New Roman" w:hint="eastAsia"/>
        </w:rPr>
        <w:t>(</w:t>
      </w:r>
      <w:r>
        <w:rPr>
          <w:rFonts w:ascii="Times New Roman" w:hAnsi="Times New Roman" w:hint="eastAsia"/>
        </w:rPr>
        <w:t>＜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/>
        </w:rPr>
        <w:t>500</w:t>
      </w:r>
      <w:r>
        <w:rPr>
          <w:rFonts w:ascii="Times New Roman" w:hAnsi="Times New Roman" w:hint="eastAsia"/>
        </w:rPr>
        <w:t>g).</w:t>
      </w:r>
    </w:p>
    <w:p w14:paraId="4EB10E6F" w14:textId="77777777" w:rsidR="0001365F" w:rsidRDefault="004448E5">
      <w:pPr>
        <w:rPr>
          <w:rFonts w:ascii="Times New Roman" w:hAnsi="Times New Roman"/>
        </w:rPr>
      </w:pPr>
      <w:r>
        <w:rPr>
          <w:rFonts w:ascii="Times New Roman" w:hAnsi="Times New Roman" w:hint="eastAsia"/>
          <w:vertAlign w:val="superscript"/>
        </w:rPr>
        <w:t xml:space="preserve">* </w:t>
      </w:r>
      <w:r>
        <w:rPr>
          <w:rFonts w:ascii="Times New Roman" w:hAnsi="Times New Roman" w:hint="eastAsia"/>
          <w:sz w:val="24"/>
        </w:rPr>
        <w:t>Unadjusted</w:t>
      </w:r>
      <w:r>
        <w:rPr>
          <w:rFonts w:ascii="Times New Roman" w:hAnsi="Times New Roman" w:hint="eastAsia"/>
        </w:rPr>
        <w:t xml:space="preserve"> P</w:t>
      </w:r>
      <w:r>
        <w:rPr>
          <w:rFonts w:ascii="Times New Roman" w:hAnsi="Times New Roman" w:hint="eastAsia"/>
        </w:rPr>
        <w:t>＜</w:t>
      </w:r>
      <w:r>
        <w:rPr>
          <w:rFonts w:ascii="Times New Roman" w:hAnsi="Times New Roman" w:hint="eastAsia"/>
        </w:rPr>
        <w:t>0.05.</w:t>
      </w:r>
    </w:p>
    <w:p w14:paraId="7983953B" w14:textId="77777777" w:rsidR="0001365F" w:rsidRDefault="004448E5">
      <w:pPr>
        <w:rPr>
          <w:rFonts w:ascii="Times New Roman" w:hAnsi="Times New Roman"/>
        </w:rPr>
      </w:pPr>
      <w:r>
        <w:rPr>
          <w:rFonts w:ascii="Times New Roman" w:hAnsi="Times New Roman" w:hint="eastAsia"/>
          <w:vertAlign w:val="superscript"/>
        </w:rPr>
        <w:t>#</w:t>
      </w:r>
      <w:r>
        <w:rPr>
          <w:rFonts w:ascii="Times New Roman" w:hAnsi="Times New Roman" w:hint="eastAsia"/>
          <w:sz w:val="24"/>
        </w:rPr>
        <w:t>Unadjusted</w:t>
      </w:r>
      <w:r>
        <w:rPr>
          <w:rFonts w:ascii="Times New Roman" w:hAnsi="Times New Roman" w:hint="eastAsia"/>
        </w:rPr>
        <w:t xml:space="preserve"> P</w:t>
      </w:r>
      <w:r>
        <w:rPr>
          <w:rFonts w:ascii="Times New Roman" w:hAnsi="Times New Roman" w:hint="eastAsia"/>
        </w:rPr>
        <w:t>＜</w:t>
      </w:r>
      <w:r>
        <w:rPr>
          <w:rFonts w:ascii="Times New Roman" w:hAnsi="Times New Roman" w:hint="eastAsia"/>
        </w:rPr>
        <w:t>0.01.</w:t>
      </w:r>
    </w:p>
    <w:p w14:paraId="480101A1" w14:textId="77777777" w:rsidR="0001365F" w:rsidRDefault="0001365F"/>
    <w:sectPr w:rsidR="000136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DNhMGU2Mjc2ODcyNzRmZTFkM2Q0Y2QzYzY1NTg4MjIifQ=="/>
  </w:docVars>
  <w:rsids>
    <w:rsidRoot w:val="0001365F"/>
    <w:rsid w:val="0001365F"/>
    <w:rsid w:val="000B500A"/>
    <w:rsid w:val="004448E5"/>
    <w:rsid w:val="00BD5940"/>
    <w:rsid w:val="00CD08AD"/>
    <w:rsid w:val="037F2BBD"/>
    <w:rsid w:val="03C044A8"/>
    <w:rsid w:val="191C48A1"/>
    <w:rsid w:val="24CE20B3"/>
    <w:rsid w:val="24DD4A5A"/>
    <w:rsid w:val="4946780A"/>
    <w:rsid w:val="4A950118"/>
    <w:rsid w:val="5AC32B55"/>
    <w:rsid w:val="5E0941C7"/>
    <w:rsid w:val="69AB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C99E9A"/>
  <w15:docId w15:val="{575C070D-653E-4F08-A6C5-DD9F2068D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Calibri" w:eastAsia="SimSun" w:hAnsi="Calibri" w:cs="Times New Roman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Dhansen Veerappan (integra)</cp:lastModifiedBy>
  <cp:revision>14</cp:revision>
  <dcterms:created xsi:type="dcterms:W3CDTF">2024-08-26T07:07:00Z</dcterms:created>
  <dcterms:modified xsi:type="dcterms:W3CDTF">2025-02-11T10:05:00Z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76D90A5722B54F1EB55C3CCE059DC331_12</vt:lpwstr>
  </property>
</Properties>
</file>