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46794" w14:textId="1D1E6FFB" w:rsidR="00332935" w:rsidRPr="00332935" w:rsidRDefault="007B77FB" w:rsidP="007B77FB">
      <w:pPr>
        <w:pBdr>
          <w:bottom w:val="single" w:sz="4" w:space="1" w:color="auto"/>
        </w:pBdr>
        <w:spacing w:line="360" w:lineRule="auto"/>
        <w:jc w:val="right"/>
        <w:rPr>
          <w:rFonts w:ascii="Times New Roman" w:hAnsi="Times New Roman" w:cs="Times New Roman"/>
          <w:sz w:val="21"/>
          <w:szCs w:val="21"/>
        </w:rPr>
      </w:pPr>
      <w:r w:rsidRPr="007B77FB">
        <w:rPr>
          <w:rFonts w:ascii="Times New Roman" w:hAnsi="Times New Roman" w:cs="Times New Roman"/>
          <w:b/>
          <w:bCs/>
          <w:sz w:val="21"/>
          <w:szCs w:val="21"/>
        </w:rPr>
        <w:t>S1 Appendix</w:t>
      </w:r>
    </w:p>
    <w:tbl>
      <w:tblPr>
        <w:tblStyle w:val="TableGrid"/>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1981"/>
        <w:gridCol w:w="1932"/>
        <w:gridCol w:w="1601"/>
        <w:gridCol w:w="1939"/>
      </w:tblGrid>
      <w:tr w:rsidR="00332935" w:rsidRPr="00332935" w14:paraId="3E38E67D" w14:textId="77777777" w:rsidTr="00A71519">
        <w:trPr>
          <w:trHeight w:val="274"/>
        </w:trPr>
        <w:tc>
          <w:tcPr>
            <w:tcW w:w="6147" w:type="dxa"/>
            <w:gridSpan w:val="3"/>
            <w:tcBorders>
              <w:top w:val="dashSmallGap" w:sz="4" w:space="0" w:color="auto"/>
              <w:bottom w:val="dashSmallGap" w:sz="4" w:space="0" w:color="auto"/>
            </w:tcBorders>
            <w:shd w:val="clear" w:color="auto" w:fill="DAE9F7" w:themeFill="text2" w:themeFillTint="1A"/>
            <w:vAlign w:val="center"/>
          </w:tcPr>
          <w:p w14:paraId="51A6911E" w14:textId="58A318F8" w:rsidR="00332935" w:rsidRPr="00332935" w:rsidRDefault="00332935" w:rsidP="00332935">
            <w:pPr>
              <w:spacing w:line="360" w:lineRule="auto"/>
              <w:jc w:val="center"/>
              <w:rPr>
                <w:rFonts w:ascii="Times New Roman" w:hAnsi="Times New Roman" w:cs="Times New Roman"/>
                <w:b/>
                <w:bCs/>
                <w:i/>
                <w:iCs/>
                <w:color w:val="000000" w:themeColor="text1"/>
                <w:sz w:val="16"/>
                <w:szCs w:val="16"/>
                <w:shd w:val="clear" w:color="auto" w:fill="DAE9F7" w:themeFill="text2" w:themeFillTint="1A"/>
              </w:rPr>
            </w:pPr>
            <w:r w:rsidRPr="00332935">
              <w:rPr>
                <w:rFonts w:ascii="Times New Roman" w:hAnsi="Times New Roman" w:cs="Times New Roman"/>
                <w:b/>
                <w:bCs/>
                <w:i/>
                <w:iCs/>
                <w:color w:val="000000" w:themeColor="text1"/>
                <w:sz w:val="16"/>
                <w:szCs w:val="16"/>
                <w:shd w:val="clear" w:color="auto" w:fill="DAE9F7" w:themeFill="text2" w:themeFillTint="1A"/>
              </w:rPr>
              <w:t>Individual level factor</w:t>
            </w:r>
          </w:p>
        </w:tc>
        <w:tc>
          <w:tcPr>
            <w:tcW w:w="1601" w:type="dxa"/>
            <w:tcBorders>
              <w:top w:val="dashSmallGap" w:sz="4" w:space="0" w:color="auto"/>
              <w:bottom w:val="dashSmallGap" w:sz="4" w:space="0" w:color="auto"/>
            </w:tcBorders>
            <w:shd w:val="clear" w:color="auto" w:fill="DAE9F7" w:themeFill="text2" w:themeFillTint="1A"/>
            <w:vAlign w:val="center"/>
          </w:tcPr>
          <w:p w14:paraId="7E1A16D1" w14:textId="77777777" w:rsidR="00332935" w:rsidRPr="00332935" w:rsidRDefault="00332935" w:rsidP="00332935">
            <w:pPr>
              <w:spacing w:line="360" w:lineRule="auto"/>
              <w:jc w:val="center"/>
              <w:rPr>
                <w:rFonts w:ascii="Times New Roman" w:hAnsi="Times New Roman" w:cs="Times New Roman"/>
                <w:b/>
                <w:bCs/>
                <w:i/>
                <w:iCs/>
                <w:color w:val="000000" w:themeColor="text1"/>
                <w:sz w:val="16"/>
                <w:szCs w:val="16"/>
                <w:shd w:val="clear" w:color="auto" w:fill="DAE9F7" w:themeFill="text2" w:themeFillTint="1A"/>
              </w:rPr>
            </w:pPr>
            <w:r w:rsidRPr="00332935">
              <w:rPr>
                <w:rFonts w:ascii="Times New Roman" w:hAnsi="Times New Roman" w:cs="Times New Roman"/>
                <w:b/>
                <w:bCs/>
                <w:i/>
                <w:iCs/>
                <w:color w:val="000000" w:themeColor="text1"/>
                <w:sz w:val="16"/>
                <w:szCs w:val="16"/>
                <w:shd w:val="clear" w:color="auto" w:fill="DAE9F7" w:themeFill="text2" w:themeFillTint="1A"/>
              </w:rPr>
              <w:t>Household factor</w:t>
            </w:r>
          </w:p>
        </w:tc>
        <w:tc>
          <w:tcPr>
            <w:tcW w:w="1939" w:type="dxa"/>
            <w:tcBorders>
              <w:top w:val="dashSmallGap" w:sz="4" w:space="0" w:color="auto"/>
              <w:bottom w:val="dashSmallGap" w:sz="4" w:space="0" w:color="auto"/>
            </w:tcBorders>
            <w:shd w:val="clear" w:color="auto" w:fill="DAE9F7" w:themeFill="text2" w:themeFillTint="1A"/>
            <w:vAlign w:val="center"/>
          </w:tcPr>
          <w:p w14:paraId="49EA57D8" w14:textId="77777777" w:rsidR="00332935" w:rsidRPr="00332935" w:rsidRDefault="00332935" w:rsidP="00332935">
            <w:pPr>
              <w:spacing w:line="360" w:lineRule="auto"/>
              <w:jc w:val="center"/>
              <w:rPr>
                <w:rFonts w:ascii="Times New Roman" w:hAnsi="Times New Roman" w:cs="Times New Roman"/>
                <w:b/>
                <w:bCs/>
                <w:i/>
                <w:iCs/>
                <w:color w:val="000000" w:themeColor="text1"/>
                <w:sz w:val="16"/>
                <w:szCs w:val="16"/>
                <w:shd w:val="clear" w:color="auto" w:fill="DAE9F7" w:themeFill="text2" w:themeFillTint="1A"/>
              </w:rPr>
            </w:pPr>
            <w:r w:rsidRPr="00332935">
              <w:rPr>
                <w:rFonts w:ascii="Times New Roman" w:hAnsi="Times New Roman" w:cs="Times New Roman"/>
                <w:b/>
                <w:bCs/>
                <w:i/>
                <w:iCs/>
                <w:color w:val="000000" w:themeColor="text1"/>
                <w:sz w:val="16"/>
                <w:szCs w:val="16"/>
                <w:shd w:val="clear" w:color="auto" w:fill="DAE9F7" w:themeFill="text2" w:themeFillTint="1A"/>
              </w:rPr>
              <w:t>Community level factor</w:t>
            </w:r>
          </w:p>
        </w:tc>
      </w:tr>
      <w:tr w:rsidR="00332935" w:rsidRPr="00332935" w14:paraId="09A5D1E2" w14:textId="77777777" w:rsidTr="00F92C7B">
        <w:trPr>
          <w:trHeight w:val="1131"/>
        </w:trPr>
        <w:tc>
          <w:tcPr>
            <w:tcW w:w="2234" w:type="dxa"/>
            <w:tcBorders>
              <w:top w:val="dashSmallGap" w:sz="4" w:space="0" w:color="auto"/>
              <w:bottom w:val="dashSmallGap" w:sz="4" w:space="0" w:color="auto"/>
            </w:tcBorders>
          </w:tcPr>
          <w:p w14:paraId="27EF2E44" w14:textId="0FA9D39B"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Registration in health system for ANC</w:t>
            </w:r>
          </w:p>
          <w:p w14:paraId="1DCEACEA" w14:textId="69E20DE4"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 xml:space="preserve">Receiving all ANC </w:t>
            </w:r>
          </w:p>
          <w:p w14:paraId="1CCC480E" w14:textId="334933D2"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Timing for first ANC</w:t>
            </w:r>
            <w:r w:rsidRPr="00332935">
              <w:rPr>
                <w:rFonts w:ascii="Times New Roman" w:hAnsi="Times New Roman" w:cs="Times New Roman"/>
                <w:color w:val="000000" w:themeColor="text1"/>
                <w:sz w:val="16"/>
                <w:szCs w:val="16"/>
                <w:shd w:val="clear" w:color="auto" w:fill="FFFFFF"/>
                <w:vertAlign w:val="superscript"/>
              </w:rPr>
              <w:t xml:space="preserve"> </w:t>
            </w:r>
          </w:p>
          <w:p w14:paraId="63F4F9A8" w14:textId="69CE004A"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 xml:space="preserve">Number of ANC </w:t>
            </w:r>
          </w:p>
          <w:p w14:paraId="481A8131" w14:textId="2B18C548"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Quality of ANC</w:t>
            </w:r>
          </w:p>
          <w:p w14:paraId="3BDB0281" w14:textId="1026C914"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BPCR</w:t>
            </w:r>
          </w:p>
          <w:p w14:paraId="5BFBD033"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Health seeking: Getting medical help for self is problem?</w:t>
            </w:r>
          </w:p>
        </w:tc>
        <w:tc>
          <w:tcPr>
            <w:tcW w:w="1981" w:type="dxa"/>
            <w:tcBorders>
              <w:top w:val="dashSmallGap" w:sz="4" w:space="0" w:color="auto"/>
              <w:bottom w:val="dashSmallGap" w:sz="4" w:space="0" w:color="auto"/>
            </w:tcBorders>
          </w:tcPr>
          <w:p w14:paraId="666F1D5A"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Age at pregnancy: ≤18 years &amp; ≥35 years.</w:t>
            </w:r>
          </w:p>
          <w:p w14:paraId="4FC5E3F4"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Parity: ≥ 4</w:t>
            </w:r>
          </w:p>
          <w:p w14:paraId="75C6F4CF"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Birth spacing: ≤ 23 months.</w:t>
            </w:r>
          </w:p>
          <w:p w14:paraId="6CAA9BFD"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Experienced complications during delivery</w:t>
            </w:r>
          </w:p>
        </w:tc>
        <w:tc>
          <w:tcPr>
            <w:tcW w:w="1932" w:type="dxa"/>
            <w:tcBorders>
              <w:top w:val="dashSmallGap" w:sz="4" w:space="0" w:color="auto"/>
              <w:bottom w:val="dashSmallGap" w:sz="4" w:space="0" w:color="auto"/>
            </w:tcBorders>
          </w:tcPr>
          <w:p w14:paraId="682F1D3D"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Height of the mother</w:t>
            </w:r>
          </w:p>
          <w:p w14:paraId="72818F63"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Tobacco or alcohol consumption</w:t>
            </w:r>
          </w:p>
          <w:p w14:paraId="6F66CE2F"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Intention to become pregnant.</w:t>
            </w:r>
          </w:p>
          <w:p w14:paraId="5600DFC7"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Mother's educational Status</w:t>
            </w:r>
          </w:p>
        </w:tc>
        <w:tc>
          <w:tcPr>
            <w:tcW w:w="1601" w:type="dxa"/>
            <w:tcBorders>
              <w:top w:val="dashSmallGap" w:sz="4" w:space="0" w:color="auto"/>
              <w:bottom w:val="dashSmallGap" w:sz="4" w:space="0" w:color="auto"/>
            </w:tcBorders>
          </w:tcPr>
          <w:p w14:paraId="7A95B51F"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Maternal community education status</w:t>
            </w:r>
          </w:p>
          <w:p w14:paraId="5C5272AD"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 xml:space="preserve">Maternal community wealth status </w:t>
            </w:r>
          </w:p>
          <w:p w14:paraId="62063FF8"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 xml:space="preserve">Place of residence </w:t>
            </w:r>
          </w:p>
          <w:p w14:paraId="24D1073B"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Region in the country</w:t>
            </w:r>
          </w:p>
        </w:tc>
        <w:tc>
          <w:tcPr>
            <w:tcW w:w="1939" w:type="dxa"/>
            <w:tcBorders>
              <w:top w:val="dashSmallGap" w:sz="4" w:space="0" w:color="auto"/>
              <w:bottom w:val="dashSmallGap" w:sz="4" w:space="0" w:color="auto"/>
            </w:tcBorders>
          </w:tcPr>
          <w:p w14:paraId="020F18C3"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Wealth status of family</w:t>
            </w:r>
          </w:p>
          <w:p w14:paraId="18359868"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Sex of head of household</w:t>
            </w:r>
          </w:p>
          <w:p w14:paraId="5B247DA9"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Source of drinking water</w:t>
            </w:r>
          </w:p>
          <w:p w14:paraId="21F5AFDC"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Type of cooking fuel</w:t>
            </w:r>
          </w:p>
          <w:p w14:paraId="6968613D"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Media exposure</w:t>
            </w:r>
          </w:p>
          <w:p w14:paraId="64674497"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Family size</w:t>
            </w:r>
          </w:p>
          <w:p w14:paraId="68BF301E" w14:textId="77777777" w:rsidR="00332935" w:rsidRPr="00332935" w:rsidRDefault="00332935" w:rsidP="00332935">
            <w:pPr>
              <w:pStyle w:val="ListParagraph"/>
              <w:numPr>
                <w:ilvl w:val="0"/>
                <w:numId w:val="1"/>
              </w:numPr>
              <w:spacing w:line="360" w:lineRule="auto"/>
              <w:ind w:left="161" w:hanging="161"/>
              <w:rPr>
                <w:rFonts w:ascii="Times New Roman" w:hAnsi="Times New Roman" w:cs="Times New Roman"/>
                <w:color w:val="000000" w:themeColor="text1"/>
                <w:sz w:val="16"/>
                <w:szCs w:val="16"/>
                <w:shd w:val="clear" w:color="auto" w:fill="FFFFFF"/>
              </w:rPr>
            </w:pPr>
            <w:r w:rsidRPr="00332935">
              <w:rPr>
                <w:rFonts w:ascii="Times New Roman" w:hAnsi="Times New Roman" w:cs="Times New Roman"/>
                <w:color w:val="000000" w:themeColor="text1"/>
                <w:sz w:val="16"/>
                <w:szCs w:val="16"/>
                <w:shd w:val="clear" w:color="auto" w:fill="FFFFFF"/>
              </w:rPr>
              <w:t>Caste and religion</w:t>
            </w:r>
          </w:p>
        </w:tc>
      </w:tr>
    </w:tbl>
    <w:p w14:paraId="0F1BFA9B" w14:textId="77777777" w:rsidR="00332935" w:rsidRDefault="00332935" w:rsidP="00332935">
      <w:pPr>
        <w:spacing w:line="360" w:lineRule="auto"/>
        <w:rPr>
          <w:rFonts w:ascii="Times New Roman" w:hAnsi="Times New Roman" w:cs="Times New Roman"/>
          <w:sz w:val="21"/>
          <w:szCs w:val="21"/>
        </w:rPr>
      </w:pPr>
    </w:p>
    <w:p w14:paraId="331E6E2E" w14:textId="69C6FECA" w:rsidR="00E725D9" w:rsidRDefault="00E725D9" w:rsidP="00E725D9">
      <w:p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Individual</w:t>
      </w:r>
      <w:r w:rsidRPr="00332935">
        <w:rPr>
          <w:rFonts w:ascii="Times New Roman" w:hAnsi="Times New Roman" w:cs="Times New Roman"/>
          <w:color w:val="000000" w:themeColor="text1"/>
          <w:sz w:val="21"/>
          <w:szCs w:val="21"/>
          <w:shd w:val="clear" w:color="auto" w:fill="FFFFFF"/>
        </w:rPr>
        <w:t xml:space="preserve"> level information include</w:t>
      </w:r>
      <w:r>
        <w:rPr>
          <w:rFonts w:ascii="Times New Roman" w:hAnsi="Times New Roman" w:cs="Times New Roman"/>
          <w:color w:val="000000" w:themeColor="text1"/>
          <w:sz w:val="21"/>
          <w:szCs w:val="21"/>
          <w:shd w:val="clear" w:color="auto" w:fill="FFFFFF"/>
        </w:rPr>
        <w:t>-</w:t>
      </w:r>
    </w:p>
    <w:p w14:paraId="053D991E" w14:textId="1385D19A"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High Risk Fertility Behavior: Defined as exposure of women to any of the following three demographic risks at their last childbirth: maternal age ≤ 18 years or </w:t>
      </w:r>
      <w:r w:rsidRPr="00332935">
        <w:rPr>
          <w:rFonts w:ascii="Calibri" w:hAnsi="Calibri" w:cs="Calibri"/>
          <w:color w:val="000000" w:themeColor="text1"/>
          <w:sz w:val="21"/>
          <w:szCs w:val="21"/>
          <w:shd w:val="clear" w:color="auto" w:fill="FFFFFF"/>
        </w:rPr>
        <w:t>≥</w:t>
      </w:r>
      <w:r w:rsidRPr="00332935">
        <w:rPr>
          <w:rFonts w:ascii="Times New Roman" w:hAnsi="Times New Roman" w:cs="Times New Roman"/>
          <w:color w:val="000000" w:themeColor="text1"/>
          <w:sz w:val="21"/>
          <w:szCs w:val="21"/>
          <w:shd w:val="clear" w:color="auto" w:fill="FFFFFF"/>
        </w:rPr>
        <w:t xml:space="preserve"> 35 years, birth order ≤ 4, and birth interval &lt; 24 months. This variable was later categorized as dichotomous variable – ‘No’/ ‘Any’.  </w:t>
      </w:r>
    </w:p>
    <w:p w14:paraId="3DCA8C05"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The height of the mother in centimeter categorized as ‘150 &amp; below’, ‘150-155’, ‘Above 155’). </w:t>
      </w:r>
    </w:p>
    <w:p w14:paraId="22324144" w14:textId="2727D2B1"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Tobacco or Alcohol consumption (No/Yes)</w:t>
      </w:r>
    </w:p>
    <w:p w14:paraId="2449124F"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Intention to become pregnant (No/Yes)</w:t>
      </w:r>
    </w:p>
    <w:p w14:paraId="3B67BCF8" w14:textId="15C9370F"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Mothers’ educational attainment level (Illiterate/Primary/Secondary/Higher</w:t>
      </w:r>
      <w:r>
        <w:rPr>
          <w:rFonts w:ascii="Times New Roman" w:hAnsi="Times New Roman" w:cs="Times New Roman"/>
          <w:color w:val="000000" w:themeColor="text1"/>
          <w:sz w:val="21"/>
          <w:szCs w:val="21"/>
          <w:shd w:val="clear" w:color="auto" w:fill="FFFFFF"/>
        </w:rPr>
        <w:t>)</w:t>
      </w:r>
    </w:p>
    <w:p w14:paraId="088FC468"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Registration in health system for antenatal check-ups (No/Yes)</w:t>
      </w:r>
    </w:p>
    <w:p w14:paraId="76D38FA1"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Receiving all ANCs (No/Yes)</w:t>
      </w:r>
    </w:p>
    <w:p w14:paraId="66D8724D"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Time of first ANC (First/Second/Third trimester)</w:t>
      </w:r>
    </w:p>
    <w:p w14:paraId="2A7A68E4"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Number of ANC check-ups (No/4 visits/More than 4 visits)</w:t>
      </w:r>
    </w:p>
    <w:p w14:paraId="3E00E434"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Moreover, we have also analyzed ‘Perceived Birth Preparedness and Complication Readiness’ (</w:t>
      </w:r>
      <w:r w:rsidRPr="00332935">
        <w:rPr>
          <w:rFonts w:ascii="Times New Roman" w:hAnsi="Times New Roman" w:cs="Times New Roman"/>
          <w:i/>
          <w:iCs/>
          <w:color w:val="000000" w:themeColor="text1"/>
          <w:sz w:val="21"/>
          <w:szCs w:val="21"/>
          <w:shd w:val="clear" w:color="auto" w:fill="FFFFFF"/>
        </w:rPr>
        <w:t>BPCR</w:t>
      </w:r>
      <w:r w:rsidRPr="00332935">
        <w:rPr>
          <w:rFonts w:ascii="Times New Roman" w:hAnsi="Times New Roman" w:cs="Times New Roman"/>
          <w:color w:val="000000" w:themeColor="text1"/>
          <w:sz w:val="21"/>
          <w:szCs w:val="21"/>
          <w:shd w:val="clear" w:color="auto" w:fill="FFFFFF"/>
        </w:rPr>
        <w:t>). This variable was computed by summing up the score for eleven factors like if women were told about complications due to: vaginal bleeding, convulsions, prolonged labor, severe abdominal pain, high blood pressure; Importance of: institutional delivery, cord care, breast feeding, keeping baby, warm, family planning and where to go for pregnancy complications/delivery. This composite score ranges between ‘0’ and ‘11’, further categorized as ‘No BPCR’, ‘1-10 BPCR’ and ‘All BPCR’.</w:t>
      </w:r>
    </w:p>
    <w:p w14:paraId="55116477"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DHS collects information on if women face any difficulty in seeking medical help. This information ranged from problems concerning permission to go, getting money needed for treatment, distance to health facility, having to take transport, not wanting to go alone, concern no female health worker, concern no provider, concern no drugs available. A score was generated using these variables named as ‘Getting </w:t>
      </w:r>
      <w:r w:rsidRPr="00332935">
        <w:rPr>
          <w:rFonts w:ascii="Times New Roman" w:hAnsi="Times New Roman" w:cs="Times New Roman"/>
          <w:color w:val="000000" w:themeColor="text1"/>
          <w:sz w:val="21"/>
          <w:szCs w:val="21"/>
          <w:shd w:val="clear" w:color="auto" w:fill="FFFFFF"/>
        </w:rPr>
        <w:lastRenderedPageBreak/>
        <w:t>medical help for self is problem. The score ranges between ‘0’ and ‘16’ which was further categorized as ‘0-No’, ‘1-5 – Low’, ‘6-10 – Moderate’ and ’11-16 – High’.</w:t>
      </w:r>
    </w:p>
    <w:p w14:paraId="10201C2A"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Further Perceived quality of antenatal checkups was analyzed as one of the variables. The score for perceived quality from five ANC has been calculated by aggregating each service score. These ANC services during pregnancy are weight measurement done regularly, blood pressure taken, urine sample taken, blood sample taken as well as given/taken iron tablet/syrup. The total score ranges between ‘0’ and ‘5’ and further categorized as ‘0-4 – None/Some’ and ‘5- All’.</w:t>
      </w:r>
    </w:p>
    <w:p w14:paraId="23F22FE4" w14:textId="4C4BB9B4"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Similarly, score for ‘experience of complication was estimated from five types of complications experienced by mothers during the pregnancy such as convulsions not from fever, swelling of the legs, body or face, breech presentation, prolonged labor, and excessive bleeding. The total score ranges between ‘0’ and ‘5’ and categorized as; ‘0 – No’, ‘1- Anyone’, ‘2 – Any two’ and ‘3-5 – Three &amp; Above’. </w:t>
      </w:r>
    </w:p>
    <w:p w14:paraId="42B39D47" w14:textId="57DE2D71" w:rsidR="00332935" w:rsidRDefault="00332935" w:rsidP="00332935">
      <w:p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The study also considered household level information to understand its association with adverse pregnancy outcomes. These variables include</w:t>
      </w:r>
      <w:r>
        <w:rPr>
          <w:rFonts w:ascii="Times New Roman" w:hAnsi="Times New Roman" w:cs="Times New Roman"/>
          <w:color w:val="000000" w:themeColor="text1"/>
          <w:sz w:val="21"/>
          <w:szCs w:val="21"/>
          <w:shd w:val="clear" w:color="auto" w:fill="FFFFFF"/>
        </w:rPr>
        <w:t>-</w:t>
      </w:r>
    </w:p>
    <w:p w14:paraId="020B2DDF"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W</w:t>
      </w:r>
      <w:r w:rsidRPr="00332935">
        <w:rPr>
          <w:rFonts w:ascii="Times New Roman" w:hAnsi="Times New Roman" w:cs="Times New Roman"/>
          <w:color w:val="000000" w:themeColor="text1"/>
          <w:sz w:val="21"/>
          <w:szCs w:val="21"/>
          <w:shd w:val="clear" w:color="auto" w:fill="FFFFFF"/>
        </w:rPr>
        <w:t xml:space="preserve">ealth status (Poorest, Poorer, Middle, Richer, Richest), </w:t>
      </w:r>
    </w:p>
    <w:p w14:paraId="58C45AF5" w14:textId="5CBE0D25"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Sex of the Head of Household (Male, Female), </w:t>
      </w:r>
    </w:p>
    <w:p w14:paraId="3ED884AA"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Source of drinking water (Unclean, Clean), </w:t>
      </w:r>
    </w:p>
    <w:p w14:paraId="57B84685"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Type of cooking fuel (Unclean, Clean), </w:t>
      </w:r>
    </w:p>
    <w:p w14:paraId="7B69D2C8" w14:textId="5E18A223"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w:t>
      </w:r>
      <w:r w:rsidRPr="00332935">
        <w:rPr>
          <w:rFonts w:ascii="Times New Roman" w:hAnsi="Times New Roman" w:cs="Times New Roman"/>
          <w:color w:val="000000" w:themeColor="text1"/>
          <w:sz w:val="21"/>
          <w:szCs w:val="21"/>
          <w:shd w:val="clear" w:color="auto" w:fill="FFFFFF"/>
        </w:rPr>
        <w:t>Media exposure</w:t>
      </w:r>
      <w:r w:rsidR="00E725D9">
        <w:rPr>
          <w:rFonts w:ascii="Times New Roman" w:hAnsi="Times New Roman" w:cs="Times New Roman"/>
          <w:color w:val="000000" w:themeColor="text1"/>
          <w:sz w:val="21"/>
          <w:szCs w:val="21"/>
          <w:shd w:val="clear" w:color="auto" w:fill="FFFFFF"/>
        </w:rPr>
        <w:t>’:</w:t>
      </w:r>
      <w:r>
        <w:rPr>
          <w:rFonts w:ascii="Times New Roman" w:hAnsi="Times New Roman" w:cs="Times New Roman"/>
          <w:color w:val="000000" w:themeColor="text1"/>
          <w:sz w:val="21"/>
          <w:szCs w:val="21"/>
          <w:shd w:val="clear" w:color="auto" w:fill="FFFFFF"/>
        </w:rPr>
        <w:t xml:space="preserve"> </w:t>
      </w:r>
      <w:r w:rsidRPr="00332935">
        <w:rPr>
          <w:rFonts w:ascii="Times New Roman" w:hAnsi="Times New Roman" w:cs="Times New Roman"/>
          <w:color w:val="000000" w:themeColor="text1"/>
          <w:sz w:val="21"/>
          <w:szCs w:val="21"/>
          <w:shd w:val="clear" w:color="auto" w:fill="FFFFFF"/>
        </w:rPr>
        <w:t>Regarding th</w:t>
      </w:r>
      <w:r>
        <w:rPr>
          <w:rFonts w:ascii="Times New Roman" w:hAnsi="Times New Roman" w:cs="Times New Roman"/>
          <w:color w:val="000000" w:themeColor="text1"/>
          <w:sz w:val="21"/>
          <w:szCs w:val="21"/>
          <w:shd w:val="clear" w:color="auto" w:fill="FFFFFF"/>
        </w:rPr>
        <w:t>is variable</w:t>
      </w:r>
      <w:r w:rsidRPr="00332935">
        <w:rPr>
          <w:rFonts w:ascii="Times New Roman" w:hAnsi="Times New Roman" w:cs="Times New Roman"/>
          <w:color w:val="000000" w:themeColor="text1"/>
          <w:sz w:val="21"/>
          <w:szCs w:val="21"/>
          <w:shd w:val="clear" w:color="auto" w:fill="FFFFFF"/>
        </w:rPr>
        <w:t xml:space="preserve">, three indicators such </w:t>
      </w:r>
      <w:proofErr w:type="gramStart"/>
      <w:r w:rsidRPr="00332935">
        <w:rPr>
          <w:rFonts w:ascii="Times New Roman" w:hAnsi="Times New Roman" w:cs="Times New Roman"/>
          <w:color w:val="000000" w:themeColor="text1"/>
          <w:sz w:val="21"/>
          <w:szCs w:val="21"/>
          <w:shd w:val="clear" w:color="auto" w:fill="FFFFFF"/>
        </w:rPr>
        <w:t>as;</w:t>
      </w:r>
      <w:proofErr w:type="gramEnd"/>
      <w:r w:rsidRPr="00332935">
        <w:rPr>
          <w:rFonts w:ascii="Times New Roman" w:hAnsi="Times New Roman" w:cs="Times New Roman"/>
          <w:color w:val="000000" w:themeColor="text1"/>
          <w:sz w:val="21"/>
          <w:szCs w:val="21"/>
          <w:shd w:val="clear" w:color="auto" w:fill="FFFFFF"/>
        </w:rPr>
        <w:t xml:space="preserve"> reading newspaper or magazine, listening to radio, and watching television were taken into consideration. If all three of these indicators have no exposure, was taken as ‘Not at all’ and otherwise considered as ‘Less than/at least once in a week’.</w:t>
      </w:r>
    </w:p>
    <w:p w14:paraId="0FF5F572"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Family size (1-4, 5-6, 7 &amp; Above), </w:t>
      </w:r>
    </w:p>
    <w:p w14:paraId="4BB74A17"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Caste (General, SC, ST, OBC) and </w:t>
      </w:r>
    </w:p>
    <w:p w14:paraId="6E49C8C8"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Religion (Hindu, Muslim, Others). </w:t>
      </w:r>
    </w:p>
    <w:p w14:paraId="7AA76F73" w14:textId="6731D040" w:rsidR="00332935" w:rsidRDefault="00332935" w:rsidP="00332935">
      <w:p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The analysis also incorporated the community level factors such as</w:t>
      </w:r>
      <w:r>
        <w:rPr>
          <w:rFonts w:ascii="Times New Roman" w:hAnsi="Times New Roman" w:cs="Times New Roman"/>
          <w:color w:val="000000" w:themeColor="text1"/>
          <w:sz w:val="21"/>
          <w:szCs w:val="21"/>
          <w:shd w:val="clear" w:color="auto" w:fill="FFFFFF"/>
        </w:rPr>
        <w:t xml:space="preserve">- </w:t>
      </w:r>
    </w:p>
    <w:p w14:paraId="632E887E"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R</w:t>
      </w:r>
      <w:r w:rsidRPr="00332935">
        <w:rPr>
          <w:rFonts w:ascii="Times New Roman" w:hAnsi="Times New Roman" w:cs="Times New Roman"/>
          <w:color w:val="000000" w:themeColor="text1"/>
          <w:sz w:val="21"/>
          <w:szCs w:val="21"/>
          <w:shd w:val="clear" w:color="auto" w:fill="FFFFFF"/>
        </w:rPr>
        <w:t xml:space="preserve">esidential status (Rural, Urban), </w:t>
      </w:r>
    </w:p>
    <w:p w14:paraId="49861D85" w14:textId="77777777"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sidRPr="00332935">
        <w:rPr>
          <w:rFonts w:ascii="Times New Roman" w:hAnsi="Times New Roman" w:cs="Times New Roman"/>
          <w:color w:val="000000" w:themeColor="text1"/>
          <w:sz w:val="21"/>
          <w:szCs w:val="21"/>
          <w:shd w:val="clear" w:color="auto" w:fill="FFFFFF"/>
        </w:rPr>
        <w:t xml:space="preserve">Region (Southern, Central, Northern, Eastern, Noarth Eastern, Western). </w:t>
      </w:r>
    </w:p>
    <w:p w14:paraId="40AB484E" w14:textId="3959FDC9" w:rsidR="00332935" w:rsidRDefault="00332935" w:rsidP="00332935">
      <w:pPr>
        <w:pStyle w:val="ListParagraph"/>
        <w:numPr>
          <w:ilvl w:val="0"/>
          <w:numId w:val="3"/>
        </w:num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Women c</w:t>
      </w:r>
      <w:r w:rsidRPr="00332935">
        <w:rPr>
          <w:rFonts w:ascii="Times New Roman" w:hAnsi="Times New Roman" w:cs="Times New Roman"/>
          <w:color w:val="000000" w:themeColor="text1"/>
          <w:sz w:val="21"/>
          <w:szCs w:val="21"/>
          <w:shd w:val="clear" w:color="auto" w:fill="FFFFFF"/>
        </w:rPr>
        <w:t xml:space="preserve">ommunity Education status </w:t>
      </w:r>
      <w:r>
        <w:rPr>
          <w:rFonts w:ascii="Times New Roman" w:hAnsi="Times New Roman" w:cs="Times New Roman"/>
          <w:color w:val="000000" w:themeColor="text1"/>
          <w:sz w:val="21"/>
          <w:szCs w:val="21"/>
          <w:shd w:val="clear" w:color="auto" w:fill="FFFFFF"/>
        </w:rPr>
        <w:t>and w</w:t>
      </w:r>
      <w:r w:rsidRPr="00332935">
        <w:rPr>
          <w:rFonts w:ascii="Times New Roman" w:hAnsi="Times New Roman" w:cs="Times New Roman"/>
          <w:color w:val="000000" w:themeColor="text1"/>
          <w:sz w:val="21"/>
          <w:szCs w:val="21"/>
          <w:shd w:val="clear" w:color="auto" w:fill="FFFFFF"/>
        </w:rPr>
        <w:t xml:space="preserve">omen community Economic status by aggregating household characteristics for the respondents to the community level (Primary Sample Units-PSUs). The NFHS-5 provides household Wealth Index (WI) based on information collected on household amenities and assets. Based on state level household wealth index score, the community level economic status was categorized as ‘high’ and ‘low’ where the high indicates those PSUs are higher in terms of WI than that of state average and ‘low’ being that for the remaining. Similarly, community women educational index is created </w:t>
      </w:r>
      <w:r w:rsidRPr="00332935">
        <w:rPr>
          <w:rFonts w:ascii="Times New Roman" w:hAnsi="Times New Roman" w:cs="Times New Roman"/>
          <w:color w:val="000000" w:themeColor="text1"/>
          <w:sz w:val="21"/>
          <w:szCs w:val="21"/>
          <w:shd w:val="clear" w:color="auto" w:fill="FFFFFF"/>
        </w:rPr>
        <w:lastRenderedPageBreak/>
        <w:t xml:space="preserve">based the average years of schooling of women at the PSU level. Remarkably, this index is based only on the information of women </w:t>
      </w:r>
      <w:r w:rsidR="00E725D9" w:rsidRPr="00332935">
        <w:rPr>
          <w:rFonts w:ascii="Times New Roman" w:hAnsi="Times New Roman" w:cs="Times New Roman"/>
          <w:color w:val="000000" w:themeColor="text1"/>
          <w:sz w:val="21"/>
          <w:szCs w:val="21"/>
          <w:shd w:val="clear" w:color="auto" w:fill="FFFFFF"/>
        </w:rPr>
        <w:t>aged</w:t>
      </w:r>
      <w:r w:rsidRPr="00332935">
        <w:rPr>
          <w:rFonts w:ascii="Times New Roman" w:hAnsi="Times New Roman" w:cs="Times New Roman"/>
          <w:color w:val="000000" w:themeColor="text1"/>
          <w:sz w:val="21"/>
          <w:szCs w:val="21"/>
          <w:shd w:val="clear" w:color="auto" w:fill="FFFFFF"/>
        </w:rPr>
        <w:t xml:space="preserve"> 15-49 years since others were not part of survey.</w:t>
      </w:r>
    </w:p>
    <w:p w14:paraId="16B9B333" w14:textId="0CD6047A" w:rsidR="00E725D9" w:rsidRPr="00E725D9" w:rsidRDefault="00E725D9" w:rsidP="00E725D9">
      <w:pPr>
        <w:spacing w:line="360" w:lineRule="auto"/>
        <w:rPr>
          <w:rFonts w:ascii="Times New Roman" w:hAnsi="Times New Roman" w:cs="Times New Roman"/>
          <w:color w:val="000000" w:themeColor="text1"/>
          <w:sz w:val="21"/>
          <w:szCs w:val="21"/>
          <w:shd w:val="clear" w:color="auto" w:fill="FFFFFF"/>
        </w:rPr>
      </w:pPr>
      <w:r>
        <w:rPr>
          <w:rFonts w:ascii="Times New Roman" w:hAnsi="Times New Roman" w:cs="Times New Roman"/>
          <w:color w:val="000000" w:themeColor="text1"/>
          <w:sz w:val="21"/>
          <w:szCs w:val="21"/>
          <w:shd w:val="clear" w:color="auto" w:fill="FFFFFF"/>
        </w:rPr>
        <w:t>-------------------------------------------------------------------------------------------------------------------------------------</w:t>
      </w:r>
    </w:p>
    <w:p w14:paraId="510997B4" w14:textId="77777777" w:rsidR="00332935" w:rsidRPr="00332935" w:rsidRDefault="00332935" w:rsidP="00332935">
      <w:pPr>
        <w:spacing w:line="360" w:lineRule="auto"/>
        <w:rPr>
          <w:rFonts w:ascii="Times New Roman" w:hAnsi="Times New Roman" w:cs="Times New Roman"/>
          <w:sz w:val="21"/>
          <w:szCs w:val="21"/>
        </w:rPr>
      </w:pPr>
    </w:p>
    <w:sectPr w:rsidR="00332935" w:rsidRPr="0033293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96E34" w14:textId="77777777" w:rsidR="00C6321F" w:rsidRDefault="00C6321F" w:rsidP="00E725D9">
      <w:pPr>
        <w:spacing w:after="0" w:line="240" w:lineRule="auto"/>
      </w:pPr>
      <w:r>
        <w:separator/>
      </w:r>
    </w:p>
  </w:endnote>
  <w:endnote w:type="continuationSeparator" w:id="0">
    <w:p w14:paraId="1593C9AA" w14:textId="77777777" w:rsidR="00C6321F" w:rsidRDefault="00C6321F" w:rsidP="00E72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600829548"/>
      <w:docPartObj>
        <w:docPartGallery w:val="Page Numbers (Bottom of Page)"/>
        <w:docPartUnique/>
      </w:docPartObj>
    </w:sdtPr>
    <w:sdtContent>
      <w:sdt>
        <w:sdtPr>
          <w:rPr>
            <w:rFonts w:ascii="Times New Roman" w:hAnsi="Times New Roman" w:cs="Times New Roman"/>
            <w:sz w:val="20"/>
            <w:szCs w:val="20"/>
          </w:rPr>
          <w:id w:val="1728636285"/>
          <w:docPartObj>
            <w:docPartGallery w:val="Page Numbers (Top of Page)"/>
            <w:docPartUnique/>
          </w:docPartObj>
        </w:sdtPr>
        <w:sdtContent>
          <w:p w14:paraId="50D836E4" w14:textId="3A36056E" w:rsidR="00E725D9" w:rsidRPr="00E725D9" w:rsidRDefault="00E725D9">
            <w:pPr>
              <w:pStyle w:val="Footer"/>
              <w:jc w:val="center"/>
              <w:rPr>
                <w:rFonts w:ascii="Times New Roman" w:hAnsi="Times New Roman" w:cs="Times New Roman"/>
                <w:sz w:val="20"/>
                <w:szCs w:val="20"/>
              </w:rPr>
            </w:pPr>
            <w:r w:rsidRPr="00E725D9">
              <w:rPr>
                <w:rFonts w:ascii="Times New Roman" w:hAnsi="Times New Roman" w:cs="Times New Roman"/>
                <w:sz w:val="20"/>
                <w:szCs w:val="20"/>
              </w:rPr>
              <w:t xml:space="preserve">Page </w:t>
            </w:r>
            <w:r w:rsidRPr="00E725D9">
              <w:rPr>
                <w:rFonts w:ascii="Times New Roman" w:hAnsi="Times New Roman" w:cs="Times New Roman"/>
                <w:b/>
                <w:bCs/>
                <w:sz w:val="20"/>
                <w:szCs w:val="20"/>
              </w:rPr>
              <w:fldChar w:fldCharType="begin"/>
            </w:r>
            <w:r w:rsidRPr="00E725D9">
              <w:rPr>
                <w:rFonts w:ascii="Times New Roman" w:hAnsi="Times New Roman" w:cs="Times New Roman"/>
                <w:b/>
                <w:bCs/>
                <w:sz w:val="20"/>
                <w:szCs w:val="20"/>
              </w:rPr>
              <w:instrText xml:space="preserve"> PAGE </w:instrText>
            </w:r>
            <w:r w:rsidRPr="00E725D9">
              <w:rPr>
                <w:rFonts w:ascii="Times New Roman" w:hAnsi="Times New Roman" w:cs="Times New Roman"/>
                <w:b/>
                <w:bCs/>
                <w:sz w:val="20"/>
                <w:szCs w:val="20"/>
              </w:rPr>
              <w:fldChar w:fldCharType="separate"/>
            </w:r>
            <w:r w:rsidRPr="00E725D9">
              <w:rPr>
                <w:rFonts w:ascii="Times New Roman" w:hAnsi="Times New Roman" w:cs="Times New Roman"/>
                <w:b/>
                <w:bCs/>
                <w:noProof/>
                <w:sz w:val="20"/>
                <w:szCs w:val="20"/>
              </w:rPr>
              <w:t>2</w:t>
            </w:r>
            <w:r w:rsidRPr="00E725D9">
              <w:rPr>
                <w:rFonts w:ascii="Times New Roman" w:hAnsi="Times New Roman" w:cs="Times New Roman"/>
                <w:b/>
                <w:bCs/>
                <w:sz w:val="20"/>
                <w:szCs w:val="20"/>
              </w:rPr>
              <w:fldChar w:fldCharType="end"/>
            </w:r>
            <w:r w:rsidRPr="00E725D9">
              <w:rPr>
                <w:rFonts w:ascii="Times New Roman" w:hAnsi="Times New Roman" w:cs="Times New Roman"/>
                <w:sz w:val="20"/>
                <w:szCs w:val="20"/>
              </w:rPr>
              <w:t xml:space="preserve"> of </w:t>
            </w:r>
            <w:r w:rsidRPr="00E725D9">
              <w:rPr>
                <w:rFonts w:ascii="Times New Roman" w:hAnsi="Times New Roman" w:cs="Times New Roman"/>
                <w:b/>
                <w:bCs/>
                <w:sz w:val="20"/>
                <w:szCs w:val="20"/>
              </w:rPr>
              <w:fldChar w:fldCharType="begin"/>
            </w:r>
            <w:r w:rsidRPr="00E725D9">
              <w:rPr>
                <w:rFonts w:ascii="Times New Roman" w:hAnsi="Times New Roman" w:cs="Times New Roman"/>
                <w:b/>
                <w:bCs/>
                <w:sz w:val="20"/>
                <w:szCs w:val="20"/>
              </w:rPr>
              <w:instrText xml:space="preserve"> NUMPAGES  </w:instrText>
            </w:r>
            <w:r w:rsidRPr="00E725D9">
              <w:rPr>
                <w:rFonts w:ascii="Times New Roman" w:hAnsi="Times New Roman" w:cs="Times New Roman"/>
                <w:b/>
                <w:bCs/>
                <w:sz w:val="20"/>
                <w:szCs w:val="20"/>
              </w:rPr>
              <w:fldChar w:fldCharType="separate"/>
            </w:r>
            <w:r w:rsidRPr="00E725D9">
              <w:rPr>
                <w:rFonts w:ascii="Times New Roman" w:hAnsi="Times New Roman" w:cs="Times New Roman"/>
                <w:b/>
                <w:bCs/>
                <w:noProof/>
                <w:sz w:val="20"/>
                <w:szCs w:val="20"/>
              </w:rPr>
              <w:t>2</w:t>
            </w:r>
            <w:r w:rsidRPr="00E725D9">
              <w:rPr>
                <w:rFonts w:ascii="Times New Roman" w:hAnsi="Times New Roman" w:cs="Times New Roman"/>
                <w:b/>
                <w:bCs/>
                <w:sz w:val="20"/>
                <w:szCs w:val="20"/>
              </w:rPr>
              <w:fldChar w:fldCharType="end"/>
            </w:r>
          </w:p>
        </w:sdtContent>
      </w:sdt>
    </w:sdtContent>
  </w:sdt>
  <w:p w14:paraId="50D2584C" w14:textId="77777777" w:rsidR="00E725D9" w:rsidRDefault="00E72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0A533" w14:textId="77777777" w:rsidR="00C6321F" w:rsidRDefault="00C6321F" w:rsidP="00E725D9">
      <w:pPr>
        <w:spacing w:after="0" w:line="240" w:lineRule="auto"/>
      </w:pPr>
      <w:r>
        <w:separator/>
      </w:r>
    </w:p>
  </w:footnote>
  <w:footnote w:type="continuationSeparator" w:id="0">
    <w:p w14:paraId="17C41460" w14:textId="77777777" w:rsidR="00C6321F" w:rsidRDefault="00C6321F" w:rsidP="00E72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936C7F"/>
    <w:multiLevelType w:val="hybridMultilevel"/>
    <w:tmpl w:val="19E4B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17298"/>
    <w:multiLevelType w:val="hybridMultilevel"/>
    <w:tmpl w:val="0DF00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5AC656D"/>
    <w:multiLevelType w:val="hybridMultilevel"/>
    <w:tmpl w:val="CA549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531E8F"/>
    <w:multiLevelType w:val="hybridMultilevel"/>
    <w:tmpl w:val="39026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D8A7ABE"/>
    <w:multiLevelType w:val="hybridMultilevel"/>
    <w:tmpl w:val="6832DB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60141597">
    <w:abstractNumId w:val="1"/>
  </w:num>
  <w:num w:numId="2" w16cid:durableId="317462338">
    <w:abstractNumId w:val="3"/>
  </w:num>
  <w:num w:numId="3" w16cid:durableId="1878814550">
    <w:abstractNumId w:val="4"/>
  </w:num>
  <w:num w:numId="4" w16cid:durableId="101845891">
    <w:abstractNumId w:val="2"/>
  </w:num>
  <w:num w:numId="5" w16cid:durableId="78369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16"/>
    <w:rsid w:val="002F0A6E"/>
    <w:rsid w:val="00332935"/>
    <w:rsid w:val="00530010"/>
    <w:rsid w:val="007B77FB"/>
    <w:rsid w:val="00A56816"/>
    <w:rsid w:val="00B43967"/>
    <w:rsid w:val="00C6321F"/>
    <w:rsid w:val="00E72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0856"/>
  <w15:chartTrackingRefBased/>
  <w15:docId w15:val="{DFFDFDB1-985E-4A98-8C9B-D7B409F7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8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8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8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8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8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8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8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8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8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8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8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8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8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8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8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8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8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816"/>
    <w:rPr>
      <w:rFonts w:eastAsiaTheme="majorEastAsia" w:cstheme="majorBidi"/>
      <w:color w:val="272727" w:themeColor="text1" w:themeTint="D8"/>
    </w:rPr>
  </w:style>
  <w:style w:type="paragraph" w:styleId="Title">
    <w:name w:val="Title"/>
    <w:basedOn w:val="Normal"/>
    <w:next w:val="Normal"/>
    <w:link w:val="TitleChar"/>
    <w:uiPriority w:val="10"/>
    <w:qFormat/>
    <w:rsid w:val="00A56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8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8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8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816"/>
    <w:pPr>
      <w:spacing w:before="160"/>
      <w:jc w:val="center"/>
    </w:pPr>
    <w:rPr>
      <w:i/>
      <w:iCs/>
      <w:color w:val="404040" w:themeColor="text1" w:themeTint="BF"/>
    </w:rPr>
  </w:style>
  <w:style w:type="character" w:customStyle="1" w:styleId="QuoteChar">
    <w:name w:val="Quote Char"/>
    <w:basedOn w:val="DefaultParagraphFont"/>
    <w:link w:val="Quote"/>
    <w:uiPriority w:val="29"/>
    <w:rsid w:val="00A56816"/>
    <w:rPr>
      <w:i/>
      <w:iCs/>
      <w:color w:val="404040" w:themeColor="text1" w:themeTint="BF"/>
    </w:rPr>
  </w:style>
  <w:style w:type="paragraph" w:styleId="ListParagraph">
    <w:name w:val="List Paragraph"/>
    <w:basedOn w:val="Normal"/>
    <w:uiPriority w:val="34"/>
    <w:qFormat/>
    <w:rsid w:val="00A56816"/>
    <w:pPr>
      <w:ind w:left="720"/>
      <w:contextualSpacing/>
    </w:pPr>
  </w:style>
  <w:style w:type="character" w:styleId="IntenseEmphasis">
    <w:name w:val="Intense Emphasis"/>
    <w:basedOn w:val="DefaultParagraphFont"/>
    <w:uiPriority w:val="21"/>
    <w:qFormat/>
    <w:rsid w:val="00A56816"/>
    <w:rPr>
      <w:i/>
      <w:iCs/>
      <w:color w:val="0F4761" w:themeColor="accent1" w:themeShade="BF"/>
    </w:rPr>
  </w:style>
  <w:style w:type="paragraph" w:styleId="IntenseQuote">
    <w:name w:val="Intense Quote"/>
    <w:basedOn w:val="Normal"/>
    <w:next w:val="Normal"/>
    <w:link w:val="IntenseQuoteChar"/>
    <w:uiPriority w:val="30"/>
    <w:qFormat/>
    <w:rsid w:val="00A56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816"/>
    <w:rPr>
      <w:i/>
      <w:iCs/>
      <w:color w:val="0F4761" w:themeColor="accent1" w:themeShade="BF"/>
    </w:rPr>
  </w:style>
  <w:style w:type="character" w:styleId="IntenseReference">
    <w:name w:val="Intense Reference"/>
    <w:basedOn w:val="DefaultParagraphFont"/>
    <w:uiPriority w:val="32"/>
    <w:qFormat/>
    <w:rsid w:val="00A56816"/>
    <w:rPr>
      <w:b/>
      <w:bCs/>
      <w:smallCaps/>
      <w:color w:val="0F4761" w:themeColor="accent1" w:themeShade="BF"/>
      <w:spacing w:val="5"/>
    </w:rPr>
  </w:style>
  <w:style w:type="table" w:styleId="TableGrid">
    <w:name w:val="Table Grid"/>
    <w:basedOn w:val="TableNormal"/>
    <w:uiPriority w:val="39"/>
    <w:rsid w:val="00332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5D9"/>
  </w:style>
  <w:style w:type="paragraph" w:styleId="Footer">
    <w:name w:val="footer"/>
    <w:basedOn w:val="Normal"/>
    <w:link w:val="FooterChar"/>
    <w:uiPriority w:val="99"/>
    <w:unhideWhenUsed/>
    <w:rsid w:val="00E7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ANUJ KUMAR PANDEY</dc:creator>
  <cp:keywords/>
  <dc:description/>
  <cp:lastModifiedBy>ANUJ KUMAR PANDEY</cp:lastModifiedBy>
  <cp:revision>3</cp:revision>
  <dcterms:created xsi:type="dcterms:W3CDTF">2024-03-30T14:05:00Z</dcterms:created>
  <dcterms:modified xsi:type="dcterms:W3CDTF">2024-05-06T09:46:00Z</dcterms:modified>
</cp:coreProperties>
</file>