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749D8">
      <w:pPr>
        <w:shd w:val="clear" w:color="auto" w:fill="FFFFFF"/>
        <w:spacing w:before="100" w:beforeAutospacing="1" w:after="100" w:afterAutospacing="1" w:line="360" w:lineRule="auto"/>
        <w:jc w:val="center"/>
        <w:outlineLvl w:val="3"/>
        <w:rPr>
          <w:rFonts w:ascii="Calibri" w:hAnsi="Calibri" w:cs="Calibri"/>
          <w:b/>
          <w:bCs/>
          <w:color w:val="000000" w:themeColor="text1"/>
          <w:sz w:val="32"/>
          <w:szCs w:val="32"/>
          <w14:textFill>
            <w14:solidFill>
              <w14:schemeClr w14:val="tx1"/>
            </w14:solidFill>
          </w14:textFill>
        </w:rPr>
      </w:pPr>
      <w:r>
        <w:rPr>
          <w:rFonts w:ascii="Calibri" w:hAnsi="Calibri" w:cs="Calibri"/>
          <w:b/>
          <w:bCs/>
          <w:color w:val="000000" w:themeColor="text1"/>
          <w:sz w:val="32"/>
          <w:szCs w:val="32"/>
          <w14:textFill>
            <w14:solidFill>
              <w14:schemeClr w14:val="tx1"/>
            </w14:solidFill>
          </w14:textFill>
        </w:rPr>
        <w:t>Supplementary methods</w:t>
      </w:r>
    </w:p>
    <w:p w14:paraId="4248918D">
      <w:pPr>
        <w:shd w:val="clear" w:color="auto" w:fill="FFFFFF"/>
        <w:spacing w:before="100" w:beforeAutospacing="1" w:after="100" w:afterAutospacing="1" w:line="360" w:lineRule="auto"/>
        <w:jc w:val="both"/>
        <w:outlineLvl w:val="3"/>
        <w:rPr>
          <w:rFonts w:ascii="Calibri" w:hAnsi="Calibri" w:cs="Calibri"/>
          <w:b/>
          <w:bCs/>
          <w:color w:val="000000" w:themeColor="text1"/>
          <w14:textFill>
            <w14:solidFill>
              <w14:schemeClr w14:val="tx1"/>
            </w14:solidFill>
          </w14:textFill>
        </w:rPr>
      </w:pPr>
      <w:r>
        <w:rPr>
          <w:rFonts w:hint="eastAsia" w:ascii="Calibri" w:hAnsi="Calibri" w:cs="Calibri"/>
          <w:b/>
          <w:bCs/>
          <w:color w:val="000000" w:themeColor="text1"/>
          <w14:textFill>
            <w14:solidFill>
              <w14:schemeClr w14:val="tx1"/>
            </w14:solidFill>
          </w14:textFill>
        </w:rPr>
        <w:t>1.</w:t>
      </w:r>
      <w:r>
        <w:rPr>
          <w:rFonts w:ascii="Calibri" w:hAnsi="Calibri" w:cs="Calibri"/>
          <w:b/>
          <w:bCs/>
          <w:color w:val="000000" w:themeColor="text1"/>
          <w14:textFill>
            <w14:solidFill>
              <w14:schemeClr w14:val="tx1"/>
            </w14:solidFill>
          </w14:textFill>
        </w:rPr>
        <w:t>Body measurement</w:t>
      </w:r>
    </w:p>
    <w:p w14:paraId="75049CE5">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Measure the height using a height and weight scale (Wuxi Weighing Instrument Factory Co., Ltd, Model, RGZ-120-RT). The subject should remove shoes and hats, stand upright, lean against the pillar, bring the heels together and the toes apart by 45 cm, look straight ahead, then pull down the head plate and gently touch the top of the head, and record the reading</w:t>
      </w:r>
      <w:bookmarkStart w:id="0" w:name="OLE_LINK4"/>
      <w:r>
        <w:rPr>
          <w:rFonts w:ascii="Calibri" w:hAnsi="Calibri" w:cs="Calibri"/>
          <w:color w:val="000000" w:themeColor="text1"/>
          <w14:textFill>
            <w14:solidFill>
              <w14:schemeClr w14:val="tx1"/>
            </w14:solidFill>
          </w14:textFill>
        </w:rPr>
        <w:t xml:space="preserve"> (accurate to 0.5 cm).</w:t>
      </w:r>
      <w:bookmarkEnd w:id="0"/>
      <w:r>
        <w:rPr>
          <w:rFonts w:ascii="Calibri" w:hAnsi="Calibri" w:cs="Calibri"/>
          <w:color w:val="000000" w:themeColor="text1"/>
          <w14:textFill>
            <w14:solidFill>
              <w14:schemeClr w14:val="tx1"/>
            </w14:solidFill>
          </w14:textFill>
        </w:rPr>
        <w:t xml:space="preserve"> Meas</w:t>
      </w:r>
      <w:bookmarkStart w:id="41" w:name="_GoBack"/>
      <w:bookmarkEnd w:id="41"/>
      <w:r>
        <w:rPr>
          <w:rFonts w:ascii="Calibri" w:hAnsi="Calibri" w:cs="Calibri"/>
          <w:color w:val="000000" w:themeColor="text1"/>
          <w14:textFill>
            <w14:solidFill>
              <w14:schemeClr w14:val="tx1"/>
            </w14:solidFill>
          </w14:textFill>
        </w:rPr>
        <w:t>ure the weight using a height and weight scale (Wuxi Weighing Instrument Factory Co., Ltd, Model, RGZ-120-RT). The subject should only wear a single shirt and pants, remove shoes and hats, fasten their stomachs and empty their bladders, stand in the center of the weight scale plate. After the pointer stops steadily, record the reading, accurate to 0.5 kg.The height and weight of the parturient will be measured at all visits. Each measurement will be conducted twice and the average value will be recorded.</w:t>
      </w:r>
    </w:p>
    <w:p w14:paraId="4D03F2C1">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Measure blood pressure using an electronic desktop sphygmomanometer (Biospace China Co.,Ltd, model No. 10000079942). Before taking the measurement, the participants need to rest quietly for 10 minutes and relax mentally. During the measurement, do not talk, do not move the arm or body. Avoid exertion and empty the bladder. Before the examination, stop smoking 15 minutes ago, and avoid drinking tea, coffee or other beverages before taking the measurement. The subject should sit upright with both feet flat on the ground. Insert the right arm into the cuff, place the elbow on the elbow pad, and raise it to the same level as the heart, with a comfortable support. Keep the back supported during the measurement. After about 5 minutes, the measurement will be taken again. The average value of the two measurements will be recorded.</w:t>
      </w:r>
      <w:bookmarkStart w:id="1" w:name="OLE_LINK3"/>
    </w:p>
    <w:p w14:paraId="2B84AFCE">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Measure the weight of newborns using an</w:t>
      </w:r>
      <w:bookmarkStart w:id="2" w:name="OLE_LINK6"/>
      <w:r>
        <w:rPr>
          <w:rFonts w:ascii="Calibri" w:hAnsi="Calibri" w:cs="Calibri"/>
          <w:color w:val="000000" w:themeColor="text1"/>
          <w14:textFill>
            <w14:solidFill>
              <w14:schemeClr w14:val="tx1"/>
            </w14:solidFill>
          </w14:textFill>
        </w:rPr>
        <w:t xml:space="preserve"> electronic baby scale</w:t>
      </w:r>
      <w:bookmarkEnd w:id="2"/>
      <w:r>
        <w:rPr>
          <w:rFonts w:ascii="Calibri" w:hAnsi="Calibri" w:cs="Calibri"/>
          <w:color w:val="000000" w:themeColor="text1"/>
          <w14:textFill>
            <w14:solidFill>
              <w14:schemeClr w14:val="tx1"/>
            </w14:solidFill>
          </w14:textFill>
        </w:rPr>
        <w:t xml:space="preserve"> (German seca 376 electronic baby scale). Place the weighing scale on a flat and hard surface, turn it on and set it to zero. Have the newborn lie flat on the scale pan, and use a soft towel to cushion the head. Wait until the reading stabilizes and record it. Take the average of 2-3 consecutive measurements.</w:t>
      </w:r>
    </w:p>
    <w:p w14:paraId="1C593593">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Measure the height of newborns using an electronic baby scale (German seca 376 electronic baby scale). Have the newborn lie on the bottom plate of the measuring board on his back. The measurer should stand on the right side or the side of the head of the newborn. The measurer should hold the baby's two knees with his left hand to keep the legs straight. Then, move the sliding board to make it touch the heel of the feet. Read the number displayed on the vertical column on the bottom surface of the sliding board, which is the height of the newborn. Note that the measurement should not be based on the toe tip, as the toe tip may curl upwards, resulting in a smaller measurement result. After the measurement is completed, it is necessary to repeat the measurement again to ensure the accuracy of the reading.</w:t>
      </w:r>
      <w:bookmarkEnd w:id="1"/>
    </w:p>
    <w:p w14:paraId="256903AC">
      <w:pPr>
        <w:shd w:val="clear" w:color="auto" w:fill="FFFFFF"/>
        <w:spacing w:before="100" w:beforeAutospacing="1" w:after="100" w:afterAutospacing="1" w:line="360" w:lineRule="auto"/>
        <w:outlineLvl w:val="3"/>
        <w:rPr>
          <w:rFonts w:ascii="Calibri" w:hAnsi="Calibri" w:cs="Calibri"/>
          <w:b/>
          <w:bCs/>
          <w:color w:val="000000" w:themeColor="text1"/>
          <w14:textFill>
            <w14:solidFill>
              <w14:schemeClr w14:val="tx1"/>
            </w14:solidFill>
          </w14:textFill>
        </w:rPr>
      </w:pPr>
      <w:r>
        <w:rPr>
          <w:rFonts w:hint="eastAsia" w:ascii="Calibri" w:hAnsi="Calibri" w:cs="Calibri"/>
          <w:b/>
          <w:bCs/>
          <w:color w:val="000000" w:themeColor="text1"/>
          <w14:textFill>
            <w14:solidFill>
              <w14:schemeClr w14:val="tx1"/>
            </w14:solidFill>
          </w14:textFill>
        </w:rPr>
        <w:t xml:space="preserve">2. </w:t>
      </w:r>
      <w:r>
        <w:rPr>
          <w:rFonts w:ascii="Calibri" w:hAnsi="Calibri" w:cs="Calibri"/>
          <w:b/>
          <w:bCs/>
          <w:color w:val="000000" w:themeColor="text1"/>
          <w14:textFill>
            <w14:solidFill>
              <w14:schemeClr w14:val="tx1"/>
            </w14:solidFill>
          </w14:textFill>
        </w:rPr>
        <w:t>Biological specimen collection procedure</w:t>
      </w:r>
    </w:p>
    <w:p w14:paraId="48BEAAF6">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In the first, second and third trimesters of pregnancy, 10m</w:t>
      </w:r>
      <w:r>
        <w:rPr>
          <w:rFonts w:hint="eastAsia" w:ascii="Calibri" w:hAnsi="Calibri" w:cs="Calibri"/>
          <w:color w:val="000000" w:themeColor="text1"/>
          <w14:textFill>
            <w14:solidFill>
              <w14:schemeClr w14:val="tx1"/>
            </w14:solidFill>
          </w14:textFill>
        </w:rPr>
        <w:t>L</w:t>
      </w:r>
      <w:r>
        <w:rPr>
          <w:rFonts w:ascii="Calibri" w:hAnsi="Calibri" w:cs="Calibri"/>
          <w:color w:val="000000" w:themeColor="text1"/>
          <w14:textFill>
            <w14:solidFill>
              <w14:schemeClr w14:val="tx1"/>
            </w14:solidFill>
          </w14:textFill>
        </w:rPr>
        <w:t xml:space="preserve"> to 15m</w:t>
      </w:r>
      <w:r>
        <w:rPr>
          <w:rFonts w:hint="eastAsia" w:ascii="Calibri" w:hAnsi="Calibri" w:cs="Calibri"/>
          <w:color w:val="000000" w:themeColor="text1"/>
          <w14:textFill>
            <w14:solidFill>
              <w14:schemeClr w14:val="tx1"/>
            </w14:solidFill>
          </w14:textFill>
        </w:rPr>
        <w:t>L</w:t>
      </w:r>
      <w:r>
        <w:rPr>
          <w:rFonts w:ascii="Calibri" w:hAnsi="Calibri" w:cs="Calibri"/>
          <w:color w:val="000000" w:themeColor="text1"/>
          <w14:textFill>
            <w14:solidFill>
              <w14:schemeClr w14:val="tx1"/>
            </w14:solidFill>
          </w14:textFill>
        </w:rPr>
        <w:t xml:space="preserve"> of venous blood is drawn from the ulnar vein and injected into serum tubes without anticoagulants, EDTA tubes or gray cap tubes containing glycolytic inhibitors. After sampling, some samples will be tested by the Laboratory Department of Peking Union Medical College Hospital within a maximum of four hours, and some samples will be centrifuged and aliquoted into a refrigerator at -80 degrees Celsius. In the early stage of pregnancy, blood tests are conducted for four items, blood routine, liver function, kidney function, thyroid function and infection. OGTT and blood routine tests are conducted between 24 and 28 weeks of pregnancy. In the late stage of pregnancy, blood routine, liver function and infection tests should be conducted. Remind pregnant women to avoid alcohol and overeating a few days before blood drawing. It is advisable to have blood drawn on an empty stomach 12 to 14 hours after a meal in the early morning. Because both after meals or extending the fasting time , hunger can cause changes in the chemical composition of the blood. One should not do vigorous exercise within 24 hours before blood drawing. Pregnant women should rest for at least 15 minutes before having their blood drawn, and at the same time, they should avoid emotional tension and excitement.</w:t>
      </w:r>
    </w:p>
    <w:p w14:paraId="55B17229">
      <w:pPr>
        <w:spacing w:line="360" w:lineRule="auto"/>
        <w:jc w:val="both"/>
        <w:rPr>
          <w:rFonts w:ascii="Calibri" w:hAnsi="Calibri" w:cs="Calibri"/>
          <w:color w:val="000000" w:themeColor="text1"/>
          <w14:textFill>
            <w14:solidFill>
              <w14:schemeClr w14:val="tx1"/>
            </w14:solidFill>
          </w14:textFill>
        </w:rPr>
      </w:pPr>
      <w:bookmarkStart w:id="3" w:name="OLE_LINK16"/>
      <w:r>
        <w:rPr>
          <w:rFonts w:ascii="Calibri" w:hAnsi="Calibri" w:cs="Calibri"/>
          <w:color w:val="000000" w:themeColor="text1"/>
          <w14:textFill>
            <w14:solidFill>
              <w14:schemeClr w14:val="tx1"/>
            </w14:solidFill>
          </w14:textFill>
        </w:rPr>
        <w:t>Feces and urine should be collected in the early, middle and late stages of pregnancy and frozen in a refrigerator at -80°C as soon as possible. Remind pregnant women of the precautions for urine collection, Before collecting urine samples, it is best to thoroughly clean the urethral opening and external genitalia, and at the same time avoid contamination by mixtures such as leucorrhea and feces. It is recommended to collect the first urine in the early morning. Take two-thirds of the urine out of the cup, if continuous urination is not interrupted, cut off the urine discharged in the middle, and pour it into a disposable urinary catheter , about 10 to 12m</w:t>
      </w:r>
      <w:r>
        <w:rPr>
          <w:rFonts w:hint="eastAsia" w:ascii="Calibri" w:hAnsi="Calibri" w:cs="Calibri"/>
          <w:color w:val="000000" w:themeColor="text1"/>
          <w14:textFill>
            <w14:solidFill>
              <w14:schemeClr w14:val="tx1"/>
            </w14:solidFill>
          </w14:textFill>
        </w:rPr>
        <w:t>L</w:t>
      </w:r>
      <w:r>
        <w:rPr>
          <w:rFonts w:ascii="Calibri" w:hAnsi="Calibri" w:cs="Calibri"/>
          <w:color w:val="000000" w:themeColor="text1"/>
          <w14:textFill>
            <w14:solidFill>
              <w14:schemeClr w14:val="tx1"/>
            </w14:solidFill>
          </w14:textFill>
        </w:rPr>
        <w:t xml:space="preserve">. Remind pregnant women of the precautions for fecal collection, Use the fecal spoon in the disposable fecal collection device to pick out a small amount of fresh feces, about the size of a broad bean. If there are no abnormalities, samples can be taken from different parts on the surface of the feces and multiple parts deep in the feces. Fecal samples must not be mixed with urine, and fecal samples must not be taken from urinals or urinals. </w:t>
      </w:r>
    </w:p>
    <w:p w14:paraId="13758416">
      <w:pPr>
        <w:spacing w:line="360" w:lineRule="auto"/>
        <w:jc w:val="both"/>
        <w:rPr>
          <w:rFonts w:ascii="Calibri" w:hAnsi="Calibri" w:cs="Calibri"/>
          <w:color w:val="000000" w:themeColor="text1"/>
          <w14:textFill>
            <w14:solidFill>
              <w14:schemeClr w14:val="tx1"/>
            </w14:solidFill>
          </w14:textFill>
        </w:rPr>
      </w:pPr>
      <w:bookmarkStart w:id="4" w:name="OLE_LINK20"/>
      <w:r>
        <w:rPr>
          <w:rFonts w:ascii="Calibri" w:hAnsi="Calibri" w:cs="Calibri"/>
          <w:color w:val="000000" w:themeColor="text1"/>
          <w14:textFill>
            <w14:solidFill>
              <w14:schemeClr w14:val="tx1"/>
            </w14:solidFill>
          </w14:textFill>
        </w:rPr>
        <w:t xml:space="preserve">Placenta and umbilical venous blood are collected after the fetus is delivered. After the fetus is delivered, the umbilical cord is cut. </w:t>
      </w:r>
      <w:bookmarkStart w:id="5" w:name="OLE_LINK19"/>
      <w:r>
        <w:rPr>
          <w:rFonts w:ascii="Calibri" w:hAnsi="Calibri" w:cs="Calibri"/>
          <w:color w:val="000000" w:themeColor="text1"/>
          <w14:textFill>
            <w14:solidFill>
              <w14:schemeClr w14:val="tx1"/>
            </w14:solidFill>
          </w14:textFill>
        </w:rPr>
        <w:t xml:space="preserve">Foreign substances such as blood, amniotic fluid and meconium on the umbilical cord are removed, and it is disinfected with iodophor and gauze at least twice. </w:t>
      </w:r>
      <w:bookmarkEnd w:id="5"/>
      <w:r>
        <w:rPr>
          <w:rFonts w:ascii="Calibri" w:hAnsi="Calibri" w:cs="Calibri"/>
          <w:color w:val="000000" w:themeColor="text1"/>
          <w14:textFill>
            <w14:solidFill>
              <w14:schemeClr w14:val="tx1"/>
            </w14:solidFill>
          </w14:textFill>
        </w:rPr>
        <w:t>After disinfection was completed, blood was collected by puncture at the umbilical vein. The blood collection process was kept as sterile as possible, and two tubes of blood were collected. The EDTA tube requires shaking the blood collection tube while collecting. The tubes without anticoagulants need to be centrifuged as soon as possible. The serum, plasma and white membrane layer after centrifugation should be frozen as soon as possible. Take the placentas from the maternal side and the fetal side respectively, and take 5 from each position. Wash the placenta with 0.9% normal saline and then freeze it in a -80°C refrigerator.</w:t>
      </w:r>
      <w:bookmarkEnd w:id="4"/>
    </w:p>
    <w:p w14:paraId="1E58F6C4">
      <w:pPr>
        <w:spacing w:line="240" w:lineRule="auto"/>
        <w:jc w:val="left"/>
        <w:rPr>
          <w:rFonts w:ascii="Calibri" w:hAnsi="Calibri" w:cs="Calibri"/>
          <w:b/>
          <w:bCs/>
          <w:color w:val="000000" w:themeColor="text1"/>
          <w:sz w:val="30"/>
          <w:szCs w:val="30"/>
          <w14:textFill>
            <w14:solidFill>
              <w14:schemeClr w14:val="tx1"/>
            </w14:solidFill>
          </w14:textFill>
        </w:rPr>
      </w:pPr>
      <w:r>
        <w:rPr>
          <w:rFonts w:ascii="Calibri" w:hAnsi="Calibri" w:cs="Calibri"/>
          <w:b/>
          <w:bCs/>
          <w:color w:val="000000" w:themeColor="text1"/>
          <w:sz w:val="30"/>
          <w:szCs w:val="30"/>
          <w14:textFill>
            <w14:solidFill>
              <w14:schemeClr w14:val="tx1"/>
            </w14:solidFill>
          </w14:textFill>
        </w:rPr>
        <w:br w:type="page"/>
      </w:r>
    </w:p>
    <w:p w14:paraId="55FF8E93">
      <w:pPr>
        <w:spacing w:line="360" w:lineRule="auto"/>
        <w:jc w:val="center"/>
        <w:rPr>
          <w:rFonts w:ascii="Calibri" w:hAnsi="Calibri" w:cs="Calibri"/>
          <w:b/>
          <w:bCs/>
          <w:color w:val="000000" w:themeColor="text1"/>
          <w:sz w:val="30"/>
          <w:szCs w:val="30"/>
          <w14:textFill>
            <w14:solidFill>
              <w14:schemeClr w14:val="tx1"/>
            </w14:solidFill>
          </w14:textFill>
        </w:rPr>
        <w:sectPr>
          <w:footerReference r:id="rId3" w:type="default"/>
          <w:pgSz w:w="11906" w:h="16838"/>
          <w:pgMar w:top="1440" w:right="1800" w:bottom="1440" w:left="1800" w:header="851" w:footer="992" w:gutter="0"/>
          <w:lnNumType w:countBy="1" w:restart="continuous"/>
          <w:cols w:space="425" w:num="1"/>
          <w:docGrid w:type="lines" w:linePitch="312" w:charSpace="0"/>
        </w:sectPr>
      </w:pPr>
    </w:p>
    <w:p w14:paraId="480D8148">
      <w:pPr>
        <w:spacing w:line="360" w:lineRule="auto"/>
        <w:jc w:val="center"/>
        <w:rPr>
          <w:rFonts w:ascii="Calibri" w:hAnsi="Calibri" w:cs="Calibri"/>
          <w:b/>
          <w:bCs/>
          <w:color w:val="000000" w:themeColor="text1"/>
          <w:sz w:val="30"/>
          <w:szCs w:val="30"/>
          <w14:textFill>
            <w14:solidFill>
              <w14:schemeClr w14:val="tx1"/>
            </w14:solidFill>
          </w14:textFill>
        </w:rPr>
      </w:pPr>
      <w:r>
        <w:rPr>
          <w:rFonts w:ascii="Calibri" w:hAnsi="Calibri" w:cs="Calibri"/>
          <w:b/>
          <w:bCs/>
          <w:color w:val="000000" w:themeColor="text1"/>
          <w:sz w:val="30"/>
          <w:szCs w:val="30"/>
          <w14:textFill>
            <w14:solidFill>
              <w14:schemeClr w14:val="tx1"/>
            </w14:solidFill>
          </w14:textFill>
        </w:rPr>
        <w:t>Supplementary tables and figures</w:t>
      </w:r>
    </w:p>
    <w:p w14:paraId="492585DE">
      <w:pPr>
        <w:pStyle w:val="3"/>
        <w:spacing w:line="360" w:lineRule="auto"/>
        <w:rPr>
          <w:rFonts w:ascii="Calibri" w:hAnsi="Calibri" w:cs="Calibri"/>
          <w:b/>
          <w:bCs/>
          <w:color w:val="000000" w:themeColor="text1"/>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Table S</w:t>
      </w:r>
      <w:r>
        <w:rPr>
          <w:rFonts w:hint="eastAsia" w:ascii="Calibri" w:hAnsi="Calibri" w:cs="Calibri"/>
          <w:b/>
          <w:bCs/>
          <w:color w:val="000000" w:themeColor="text1"/>
          <w:sz w:val="24"/>
          <w:szCs w:val="24"/>
          <w14:textFill>
            <w14:solidFill>
              <w14:schemeClr w14:val="tx1"/>
            </w14:solidFill>
          </w14:textFill>
        </w:rPr>
        <w:t>1</w:t>
      </w:r>
      <w:r>
        <w:rPr>
          <w:rFonts w:ascii="Calibri" w:hAnsi="Calibri" w:cs="Calibri"/>
          <w:b/>
          <w:bCs/>
          <w:color w:val="000000" w:themeColor="text1"/>
          <w:sz w:val="24"/>
          <w:szCs w:val="24"/>
          <w14:textFill>
            <w14:solidFill>
              <w14:schemeClr w14:val="tx1"/>
            </w14:solidFill>
          </w14:textFill>
        </w:rPr>
        <w:t>. The long-term and short-term hazards of GDM and SCH reported in the recent five years</w:t>
      </w:r>
    </w:p>
    <w:tbl>
      <w:tblPr>
        <w:tblStyle w:val="19"/>
        <w:tblW w:w="137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97"/>
        <w:gridCol w:w="1168"/>
        <w:gridCol w:w="4694"/>
        <w:gridCol w:w="6369"/>
      </w:tblGrid>
      <w:tr w14:paraId="6E18A1FF">
        <w:trPr>
          <w:wBefore w:w="0" w:type="auto"/>
          <w:trHeight w:val="295" w:hRule="atLeast"/>
        </w:trPr>
        <w:tc>
          <w:tcPr>
            <w:tcW w:w="1379" w:type="dxa"/>
            <w:tcBorders>
              <w:top w:val="single" w:color="auto" w:sz="4" w:space="0"/>
              <w:bottom w:val="single" w:color="auto" w:sz="4" w:space="0"/>
            </w:tcBorders>
          </w:tcPr>
          <w:p w14:paraId="3F8D5FE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Reference</w:t>
            </w:r>
          </w:p>
        </w:tc>
        <w:tc>
          <w:tcPr>
            <w:tcW w:w="1076" w:type="dxa"/>
            <w:tcBorders>
              <w:top w:val="single" w:color="auto" w:sz="4" w:space="0"/>
              <w:bottom w:val="single" w:color="auto" w:sz="4" w:space="0"/>
            </w:tcBorders>
          </w:tcPr>
          <w:p w14:paraId="2DA4FAF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Location</w:t>
            </w:r>
          </w:p>
        </w:tc>
        <w:tc>
          <w:tcPr>
            <w:tcW w:w="4808" w:type="dxa"/>
            <w:tcBorders>
              <w:top w:val="single" w:color="auto" w:sz="4" w:space="0"/>
              <w:bottom w:val="single" w:color="auto" w:sz="4" w:space="0"/>
            </w:tcBorders>
          </w:tcPr>
          <w:p w14:paraId="2D3D55C3">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Case and control</w:t>
            </w:r>
          </w:p>
        </w:tc>
        <w:tc>
          <w:tcPr>
            <w:tcW w:w="6465" w:type="dxa"/>
            <w:tcBorders>
              <w:top w:val="single" w:color="auto" w:sz="4" w:space="0"/>
              <w:bottom w:val="single" w:color="auto" w:sz="4" w:space="0"/>
            </w:tcBorders>
          </w:tcPr>
          <w:p w14:paraId="250FE6D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Outcomes in case gr</w:t>
            </w:r>
            <w:r>
              <w:rPr>
                <w:rFonts w:hint="eastAsia" w:ascii="Calibri" w:hAnsi="Calibri" w:eastAsia="Times New Roman" w:cs="Calibri"/>
                <w:color w:val="000000" w:themeColor="text1"/>
                <w14:textFill>
                  <w14:solidFill>
                    <w14:schemeClr w14:val="tx1"/>
                  </w14:solidFill>
                </w14:textFill>
              </w:rPr>
              <w:t>ou</w:t>
            </w:r>
            <w:r>
              <w:rPr>
                <w:rFonts w:ascii="Calibri" w:hAnsi="Calibri" w:eastAsia="Times New Roman" w:cs="Calibri"/>
                <w:color w:val="000000" w:themeColor="text1"/>
                <w14:textFill>
                  <w14:solidFill>
                    <w14:schemeClr w14:val="tx1"/>
                  </w14:solidFill>
                </w14:textFill>
              </w:rPr>
              <w:t>p</w:t>
            </w:r>
          </w:p>
        </w:tc>
      </w:tr>
      <w:tr w14:paraId="4AE8D9E6">
        <w:trPr>
          <w:wBefore w:w="0" w:type="auto"/>
          <w:trHeight w:val="591" w:hRule="atLeast"/>
        </w:trPr>
        <w:tc>
          <w:tcPr>
            <w:tcW w:w="1379" w:type="dxa"/>
            <w:tcBorders>
              <w:top w:val="single" w:color="auto" w:sz="4" w:space="0"/>
            </w:tcBorders>
          </w:tcPr>
          <w:p w14:paraId="420B9B30">
            <w:pPr>
              <w:spacing w:line="360" w:lineRule="auto"/>
              <w:rPr>
                <w:rFonts w:ascii="Calibri" w:hAnsi="Calibri" w:eastAsia="Times New Roman" w:cs="Calibri"/>
                <w:color w:val="000000" w:themeColor="text1"/>
                <w14:textFill>
                  <w14:solidFill>
                    <w14:schemeClr w14:val="tx1"/>
                  </w14:solidFill>
                </w14:textFill>
              </w:rPr>
            </w:pPr>
            <w:bookmarkStart w:id="6" w:name="_Hlk198556609"/>
            <w:r>
              <w:rPr>
                <w:rFonts w:ascii="Calibri" w:hAnsi="Calibri" w:eastAsia="Times New Roman" w:cs="Calibri"/>
                <w:color w:val="000000" w:themeColor="text1"/>
                <w14:textFill>
                  <w14:solidFill>
                    <w14:schemeClr w14:val="tx1"/>
                  </w14:solidFill>
                </w14:textFill>
              </w:rPr>
              <w:t>Page et al. (2020)</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{"citationID":"JoxPEONy","properties":{"formattedCitation":"\\super 1\\nosupersub{}","plainCitation":"1","noteIndex":0},"citationItems":[{"id":14616,"uris":["http://zotero.org/users/15404663/items/A7USERKY"],"itemData":{"id":14616,"type":"article-journal","abstract":"OBJECTIVE: To characterize stillbirths associated with pregestational diabetes and gestational diabetes mellitus (GDM) in a large, prospective, U.S.  case-control study. METHODS: A secondary analysis of stillbirths among patients  enrolled in a prospective; multisite; geographically, racially, and ethnically  diverse case-control study in the United States was performed. Singleton  gestations with complete information regarding diabetes status and with a  complete postmortem evaluation were included. A standard evaluation protocol for  stillbirth cases included postmortem evaluation, placental pathology, clinical  testing as performed at the discretion of the health care professional, and a  recommended panel of tests. A potential cause of death was assigned to stillbirth  cases using a standardized classification tool. Demographic and delivery  characteristics among women with pregestational diabetes and GDM were compared  with characteristics of women with no diabetes in pairwise comparisons using χ or  two-sample t tests as appropriate. Sensitivity analysis was performed excluding  pregnancies with genetic conditions or major fetal malformations. RESULTS: Of 455  stillbirth cases included in the primary analysis, women with stillbirth and  diabetes were more likely to be older than 35 years and have a higher body mass  index. They were also more likely to have a gestational hypertensive disorder  than women without diabetes (28% vs 9.1%; P&lt;.001). Women with pregestational  diabetes had more large-for-gestational-age (LGA) neonates (26% vs 3.4%; P&lt;.001).  Stillbirths occurred more often at term in women with pregestational diabetes  (36%) and those with GDM (52%). Maternal medical complications, including  pregestational diabetes and others, were more often identified as a probable or  possible cause of death among stillbirths with maternal diabetes (43% vs 4%,  P&lt;.001) as compared with stillbirths without diabetes. CONCLUSION: Compared with  stillbirths in women with no diabetes, stillbirths among women with  pregestational diabetes and GDM occur later in pregnancy and are associated with  hypertensive disorders of pregnancy, maternal medical complications, and LGA.","container-title":"Obstetrics and gynecology","DOI":"10.1097/AOG.0000000000004117","ISSN":"1873-233X 0029-7844","issue":"6","journalAbbreviation":"Obstet Gynecol","language":"en-US","note":"publisher-place: United States\nPMID: 33156199 \nPMCID: PMC7680368\nTLDR: Compared with stillbirths in women with no diabetes, still Births among women with pregestational diabetes and GDM occur later in pregnancy and are associated with hypertensive disorders of pregnancy, maternal medical complications, and LGA.\ntitleTranslation: </w:instrText>
            </w:r>
            <w:r>
              <w:rPr>
                <w:rFonts w:hint="eastAsia" w:ascii="微软雅黑" w:hAnsi="微软雅黑" w:eastAsia="微软雅黑" w:cs="微软雅黑"/>
                <w:color w:val="000000" w:themeColor="text1"/>
                <w14:textFill>
                  <w14:solidFill>
                    <w14:schemeClr w14:val="tx1"/>
                  </w14:solidFill>
                </w14:textFill>
              </w:rPr>
              <w:instrText xml:space="preserve">美国不同人群中与糖尿病相关的死产特征。</w:instrText>
            </w:r>
            <w:r>
              <w:rPr>
                <w:rFonts w:ascii="Calibri" w:hAnsi="Calibri" w:eastAsia="Times New Roman" w:cs="Calibri"/>
                <w:color w:val="000000" w:themeColor="text1"/>
                <w14:textFill>
                  <w14:solidFill>
                    <w14:schemeClr w14:val="tx1"/>
                  </w14:solidFill>
                </w14:textFill>
              </w:rPr>
              <w:instrText xml:space="preserve">","page":"1095-1102","title":"Characteristics of stillbirths associated with diabetes in a diverse U.S. cohort.","volume":"136","author":[{"family":"Page","given":"Jessica M."},{"family":"Allshouse","given":"Amanda A."},{"family":"Cassimatis","given":"Irina"},{"family":"Smid","given":"Marcela C."},{"family":"Arslan","given":"Erol"},{"family":"Thorsten","given":"Vanessa"},{"family":"Parker","given":"Corette"},{"family":"Varner","given":"Michael W."},{"family":"Dudley","given":"Donald J."},{"family":"Saade","given":"George R."},{"family":"Goldenberg","given":"Robert L."},{"family":"Stoll","given":"Barbara J."},{"family":"Hogue","given":"Carol J."},{"family":"Bukowski","given":"Radek"},{"family":"Conway","given":"Deborah"},{"family":"Pinar","given":"Halit"},{"family":"Reddy","given":"Uma M."},{"family":"Silver","given":"Robert M."}],"issued":{"date-parts":[["2020",12]]},"citation-key":"pageCharacteristicsStillbirthsAssociated2020"}}],"schema":"https://github.com/citation-style-language/schema/raw/master/csl-citation.json"}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w:t>
            </w:r>
            <w:r>
              <w:rPr>
                <w:rFonts w:ascii="Calibri" w:hAnsi="Calibri" w:eastAsia="Times New Roman" w:cs="Calibri"/>
                <w:color w:val="000000" w:themeColor="text1"/>
                <w14:textFill>
                  <w14:solidFill>
                    <w14:schemeClr w14:val="tx1"/>
                  </w14:solidFill>
                </w14:textFill>
              </w:rPr>
              <w:fldChar w:fldCharType="end"/>
            </w:r>
          </w:p>
        </w:tc>
        <w:tc>
          <w:tcPr>
            <w:tcW w:w="1076" w:type="dxa"/>
            <w:tcBorders>
              <w:top w:val="single" w:color="auto" w:sz="4" w:space="0"/>
            </w:tcBorders>
          </w:tcPr>
          <w:p w14:paraId="524D5B53">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USA</w:t>
            </w:r>
          </w:p>
        </w:tc>
        <w:tc>
          <w:tcPr>
            <w:tcW w:w="4808" w:type="dxa"/>
            <w:tcBorders>
              <w:top w:val="single" w:color="auto" w:sz="4" w:space="0"/>
            </w:tcBorders>
          </w:tcPr>
          <w:p w14:paraId="7CB565A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Stillbirths (n = 455) in pregnant women with prediabetes or GDM or the control group</w:t>
            </w:r>
          </w:p>
        </w:tc>
        <w:tc>
          <w:tcPr>
            <w:tcW w:w="6465" w:type="dxa"/>
            <w:tcBorders>
              <w:top w:val="single" w:color="auto" w:sz="4" w:space="0"/>
            </w:tcBorders>
          </w:tcPr>
          <w:p w14:paraId="5609A41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LGA↑, hypertensive disorders of pregnancy↑</w:t>
            </w:r>
          </w:p>
        </w:tc>
      </w:tr>
      <w:tr w14:paraId="0E064728">
        <w:trPr>
          <w:wBefore w:w="0" w:type="auto"/>
          <w:trHeight w:val="591" w:hRule="atLeast"/>
        </w:trPr>
        <w:tc>
          <w:tcPr>
            <w:tcW w:w="1379" w:type="dxa"/>
          </w:tcPr>
          <w:p w14:paraId="61FC3AB3">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Daryl et al. (202</w:t>
            </w:r>
            <w:r>
              <w:rPr>
                <w:rFonts w:hint="eastAsia" w:ascii="Calibri" w:hAnsi="Calibri" w:eastAsia="Times New Roman" w:cs="Calibri"/>
                <w:color w:val="000000" w:themeColor="text1"/>
                <w14:textFill>
                  <w14:solidFill>
                    <w14:schemeClr w14:val="tx1"/>
                  </w14:solidFill>
                </w14:textFill>
              </w:rPr>
              <w:t>3</w:t>
            </w:r>
            <w:r>
              <w:rPr>
                <w:rFonts w:ascii="Calibri" w:hAnsi="Calibri" w:eastAsia="Times New Roman" w:cs="Calibri"/>
                <w:color w:val="000000" w:themeColor="text1"/>
                <w14:textFill>
                  <w14:solidFill>
                    <w14:schemeClr w14:val="tx1"/>
                  </w14:solidFill>
                </w14:textFill>
              </w:rPr>
              <w:t>)</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{"citationID":"ahjn26tqr2","properties":{"formattedCitation":"\\super 2\\nosupersub{}","plainCitation":"2","noteIndex":0},"citationItems":[{"id":14902,"uris":["http://zotero.org/users/15404663/items/EGSMZDRY"],"itemData":{"id":14902,"type":"article-journal","abstract":"OBJECTIVE: Pregnant individuals are universally screened for gestational diabetes mellitus (GDM). Gestational glucose intolerance (GGI) (an abnormal initial GDM  screening test without a GDM diagnosis) is not a recognized diabetes risk factor.  We tested for an association between GGI and diabetes after pregnancy. RESEARCH  DESIGN AND METHODS: We conducted a retrospective cohort study of individuals  followed for prenatal and primary care. We defined GGI as an abnormal screening  glucose-loading test result at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24 weeks' gestation with an oral glucose  tolerance test (OGTT) that did not meet GDM criteria. The primary outcome was  incident diabetes. We used Cox proportional hazards models with time-varying  exposures and covariates to compare incident diabetes risk in individuals with  GGI and normal glucose tolerance. RESULTS: Among 16,836 individuals, there were  20,359 pregnancies with normal glucose tolerance, 2,943 with GGI, and 909 with  GDM. Over a median of 8.4 years of follow-up, 428 individuals developed diabetes.  Individuals with GGI had increased diabetes risk compared to those with normal  glucose tolerance in pregnancy (adjusted hazard ratio [aHR] 2.01 [95% CI  1.54-2.62], P &lt; 0.001). Diabetes risk increased with the number of abnormal OGTT  values (zero, aHR 1.54 [1.09-2.16], P = 0.01; one, aHR 2.97 [2.07-4.27], P &lt;  0.001; GDM, aHR 8.26 [6.49-10.51], P &lt; 0.001 for each compared with normal  glucose tolerance). The fraction of cases of diabetes 10 years after delivery  attributable to GGI and GDM was 8.5% and 28.1%, respectively. CONCLUSIONS: GGI  confers an increased risk of future diabetes. Routinely available clinical data  identify an unrecognized group who may benefit from enhanced diabetes screening  and prevention.","container-title":"Diabetes Care","DOI":"10.2337/dc22-1390","ISSN":"1935-5548 0149-5992","issue":"1","journalAbbreviation":"Diabetes Care","language":"en","license":"© 2022 by the American Diabetes Association.","note":"publisher-place: United States\nPMID: 36473077 \nPMCID: PMC9797650\nTLDR: Routinely available clinical data identify an unrecognized group who may benefit from enhanced diabetes screening and prevention, and GGI confers an increased risk of future diabetes.","page":"83-91","title":"Gestational glucose intolerance and risk of future diabetes","volume":"46","author":[{"family":"Selen","given":"Daryl J."},{"family":"Thaweethai","given":"Tanayott"},{"family":"Schulte","given":"Carolin C. M."},{"family":"Hsu","given":"Sarah"},{"family":"He","given":"Wei"},{"family":"James","given":"Kaitlyn"},{"family":"Kaimal","given":"Anjali"},{"family":"Meigs","given":"James B."},{"family":"Powe","given":"Camille E."}],"issued":{"date-parts":[["2023",1,1]]},"citation-key":"selenGestationalGlucoseIntolerance2023"}}],"schema":"https://github.com/citation-style-language/schema/raw/master/csl-citation.json"}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2</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2464BF5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USA</w:t>
            </w:r>
          </w:p>
        </w:tc>
        <w:tc>
          <w:tcPr>
            <w:tcW w:w="4808" w:type="dxa"/>
          </w:tcPr>
          <w:p w14:paraId="480C5B8B">
            <w:pPr>
              <w:spacing w:line="360" w:lineRule="auto"/>
              <w:rPr>
                <w:rFonts w:ascii="Calibri" w:hAnsi="Calibri" w:eastAsia="Times New Roman" w:cs="Calibri"/>
                <w:color w:val="000000" w:themeColor="text1"/>
                <w14:textFill>
                  <w14:solidFill>
                    <w14:schemeClr w14:val="tx1"/>
                  </w14:solidFill>
                </w14:textFill>
              </w:rPr>
            </w:pPr>
            <w:r>
              <w:rPr>
                <w:rFonts w:hint="eastAsia" w:ascii="Calibri" w:hAnsi="Calibri" w:eastAsia="Times New Roman" w:cs="Calibri"/>
                <w:color w:val="000000" w:themeColor="text1"/>
                <w14:textFill>
                  <w14:solidFill>
                    <w14:schemeClr w14:val="tx1"/>
                  </w14:solidFill>
                </w14:textFill>
              </w:rPr>
              <w:t>GDM</w:t>
            </w:r>
            <w:r>
              <w:rPr>
                <w:rFonts w:ascii="Calibri" w:hAnsi="Calibri" w:eastAsia="Times New Roman" w:cs="Calibri"/>
                <w:color w:val="000000" w:themeColor="text1"/>
                <w14:textFill>
                  <w14:solidFill>
                    <w14:schemeClr w14:val="tx1"/>
                  </w14:solidFill>
                </w14:textFill>
              </w:rPr>
              <w:t xml:space="preserve"> (n = 909)</w:t>
            </w:r>
            <w:r>
              <w:rPr>
                <w:rFonts w:eastAsia="Times New Roman"/>
                <w:color w:val="000000" w:themeColor="text1"/>
                <w14:textFill>
                  <w14:solidFill>
                    <w14:schemeClr w14:val="tx1"/>
                  </w14:solidFill>
                </w14:textFill>
              </w:rPr>
              <w:t>,</w:t>
            </w:r>
            <w:r>
              <w:rPr>
                <w:rFonts w:ascii="Calibri" w:hAnsi="Calibri" w:eastAsia="Times New Roman" w:cs="Calibri"/>
                <w:color w:val="000000" w:themeColor="text1"/>
                <w14:textFill>
                  <w14:solidFill>
                    <w14:schemeClr w14:val="tx1"/>
                  </w14:solidFill>
                </w14:textFill>
              </w:rPr>
              <w:t xml:space="preserve"> and control (n = 20,359)</w:t>
            </w:r>
          </w:p>
        </w:tc>
        <w:tc>
          <w:tcPr>
            <w:tcW w:w="6465" w:type="dxa"/>
          </w:tcPr>
          <w:p w14:paraId="1D20CA8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D</w:t>
            </w:r>
            <w:r>
              <w:rPr>
                <w:rFonts w:hint="eastAsia" w:ascii="Calibri" w:hAnsi="Calibri" w:eastAsia="Times New Roman" w:cs="Calibri"/>
                <w:color w:val="000000" w:themeColor="text1"/>
                <w14:textFill>
                  <w14:solidFill>
                    <w14:schemeClr w14:val="tx1"/>
                  </w14:solidFill>
                </w14:textFill>
              </w:rPr>
              <w:t>iabetes</w:t>
            </w:r>
            <w:r>
              <w:rPr>
                <w:rFonts w:ascii="Calibri" w:hAnsi="Calibri" w:eastAsia="Times New Roman" w:cs="Calibri"/>
                <w:color w:val="000000" w:themeColor="text1"/>
                <w14:textFill>
                  <w14:solidFill>
                    <w14:schemeClr w14:val="tx1"/>
                  </w14:solidFill>
                </w14:textFill>
              </w:rPr>
              <w:t>↑ (aHR 8.26, 95%CI 6.49-10.51)</w:t>
            </w:r>
          </w:p>
        </w:tc>
      </w:tr>
      <w:bookmarkEnd w:id="6"/>
      <w:tr w14:paraId="63D421ED">
        <w:trPr>
          <w:wBefore w:w="0" w:type="auto"/>
          <w:trHeight w:val="284" w:hRule="atLeast"/>
        </w:trPr>
        <w:tc>
          <w:tcPr>
            <w:tcW w:w="1379" w:type="dxa"/>
          </w:tcPr>
          <w:p w14:paraId="21E48028">
            <w:pPr>
              <w:spacing w:line="360" w:lineRule="auto"/>
              <w:rPr>
                <w:rFonts w:ascii="Calibri" w:hAnsi="Calibri" w:eastAsia="Times New Roman" w:cs="Calibri"/>
                <w:color w:val="000000" w:themeColor="text1"/>
                <w:vertAlign w:val="superscript"/>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Huang </w:t>
            </w:r>
            <w:bookmarkStart w:id="7" w:name="_Hlk198558557"/>
            <w:r>
              <w:rPr>
                <w:rFonts w:ascii="Calibri" w:hAnsi="Calibri" w:eastAsia="Times New Roman" w:cs="Calibri"/>
                <w:color w:val="000000" w:themeColor="text1"/>
                <w14:textFill>
                  <w14:solidFill>
                    <w14:schemeClr w14:val="tx1"/>
                  </w14:solidFill>
                </w14:textFill>
              </w:rPr>
              <w:t>et al. (2025)</w:t>
            </w:r>
            <w:bookmarkEnd w:id="7"/>
            <w:r>
              <w:rPr>
                <w:rFonts w:ascii="Calibri" w:hAnsi="Calibri" w:eastAsia="Times New Roman" w:cs="Calibri"/>
                <w:color w:val="000000" w:themeColor="text1"/>
                <w:vertAlign w:val="superscript"/>
                <w14:textFill>
                  <w14:solidFill>
                    <w14:schemeClr w14:val="tx1"/>
                  </w14:solidFill>
                </w14:textFill>
              </w:rPr>
              <w:fldChar w:fldCharType="begin"/>
            </w:r>
            <w:r>
              <w:rPr>
                <w:rFonts w:ascii="Calibri" w:hAnsi="Calibri" w:eastAsia="Times New Roman" w:cs="Calibri"/>
                <w:color w:val="000000" w:themeColor="text1"/>
                <w:vertAlign w:val="superscript"/>
                <w14:textFill>
                  <w14:solidFill>
                    <w14:schemeClr w14:val="tx1"/>
                  </w14:solidFill>
                </w14:textFill>
              </w:rPr>
              <w:instrText xml:space="preserve"> ADDIN ZOTERO_ITEM CSL_CITATION {"citationID":"XhIkfubV","properties":{"formattedCitation":"\\super 3\\nosupersub{}","plainCitation":"3","noteIndex":0},"citationItems":[{"id":14607,"uris":["http://zotero.org/users/15404663/items/RNYRY4Q7"],"itemData":{"id":14607,"type":"article-journal","abstract":"AIM: To elucidate risk factors associated with adverse perinatal outcomes in early-gestational diabetes mellitus (GDM). MATERIALS AND METHODS: A dataset of  385 early-GDM cases from a prospective cohort was analyzed. Early-GDM was  diagnosed if one or more of the following criteria were met: fasting plasma  glucose (PG) levels of 92-125 mg/dL, 1-h PG levels </w:instrText>
            </w:r>
            <w:r>
              <w:rPr>
                <w:rFonts w:hint="eastAsia" w:ascii="Calibri" w:hAnsi="Calibri" w:eastAsia="Times New Roman" w:cs="Calibri"/>
                <w:color w:val="000000" w:themeColor="text1"/>
                <w:vertAlign w:val="superscript"/>
                <w14:textFill>
                  <w14:solidFill>
                    <w14:schemeClr w14:val="tx1"/>
                  </w14:solidFill>
                </w14:textFill>
              </w:rPr>
              <w:instrText xml:space="preserve">≥</w:instrText>
            </w:r>
            <w:r>
              <w:rPr>
                <w:rFonts w:ascii="Calibri" w:hAnsi="Calibri" w:eastAsia="Times New Roman" w:cs="Calibri"/>
                <w:color w:val="000000" w:themeColor="text1"/>
                <w:vertAlign w:val="superscript"/>
                <w14:textFill>
                  <w14:solidFill>
                    <w14:schemeClr w14:val="tx1"/>
                  </w14:solidFill>
                </w14:textFill>
              </w:rPr>
              <w:instrText xml:space="preserve">180 mg/dL, and 2-h PG levels  </w:instrText>
            </w:r>
            <w:r>
              <w:rPr>
                <w:rFonts w:hint="eastAsia" w:ascii="Calibri" w:hAnsi="Calibri" w:eastAsia="Times New Roman" w:cs="Calibri"/>
                <w:color w:val="000000" w:themeColor="text1"/>
                <w:vertAlign w:val="superscript"/>
                <w14:textFill>
                  <w14:solidFill>
                    <w14:schemeClr w14:val="tx1"/>
                  </w14:solidFill>
                </w14:textFill>
              </w:rPr>
              <w:instrText xml:space="preserve">≥</w:instrText>
            </w:r>
            <w:r>
              <w:rPr>
                <w:rFonts w:ascii="Calibri" w:hAnsi="Calibri" w:eastAsia="Times New Roman" w:cs="Calibri"/>
                <w:color w:val="000000" w:themeColor="text1"/>
                <w:vertAlign w:val="superscript"/>
                <w14:textFill>
                  <w14:solidFill>
                    <w14:schemeClr w14:val="tx1"/>
                  </w14:solidFill>
                </w14:textFill>
              </w:rPr>
              <w:instrText xml:space="preserve">153 mg/dL during a 75-g oral glucose tolerance test before 20 weeks of  gestation. Multivariate analysis was used to examine associations between  candidate risk factors and a composite outcome of maternal and neonatal adverse  events. RESULTS: Pre-pregnancy overweight/obesity (pre-pregnancy body mass index  [BMI] </w:instrText>
            </w:r>
            <w:r>
              <w:rPr>
                <w:rFonts w:hint="eastAsia" w:ascii="Calibri" w:hAnsi="Calibri" w:eastAsia="Times New Roman" w:cs="Calibri"/>
                <w:color w:val="000000" w:themeColor="text1"/>
                <w:vertAlign w:val="superscript"/>
                <w14:textFill>
                  <w14:solidFill>
                    <w14:schemeClr w14:val="tx1"/>
                  </w14:solidFill>
                </w14:textFill>
              </w:rPr>
              <w:instrText xml:space="preserve">≥</w:instrText>
            </w:r>
            <w:r>
              <w:rPr>
                <w:rFonts w:ascii="Calibri" w:hAnsi="Calibri" w:eastAsia="Times New Roman" w:cs="Calibri"/>
                <w:color w:val="000000" w:themeColor="text1"/>
                <w:vertAlign w:val="superscript"/>
                <w14:textFill>
                  <w14:solidFill>
                    <w14:schemeClr w14:val="tx1"/>
                  </w14:solidFill>
                </w14:textFill>
              </w:rPr>
              <w:instrText xml:space="preserve">25.0 kg/m(2)) was significantly associated with a higher risk of the  composite outcome compared with normal weight (pre-pregnancy BMI of  18.5-24.9 kg/m(2)), an adjusted risk ratio (aRR) of 1.44 (95% confidence interval  [CI]: 1.08-1.93), and an adjusted risk difference (aRD) of 13.6% (95% CI:  2.6-24.6%). Compared with fasting PG levels below 92 mg/dL, levels between 95 and  125 mg/dL were associated with a significantly higher risk of the composite  outcome, with an aRR and aRD of 1.42 (95% CI: 1.01-1.99) and 12.9% (95% CI:  0.3-25.5%), respectively. CONCLUSIONS: Early-GDM, combined with pre-pregnancy  overweight/obesity and/or fasting PG levels of 95-125 mg/dL, is associated with a  higher risk of adverse perinatal outcomes and should be prioritized for  intervention.","container-title":"Journal of Diabetes Investigation","DOI":"10.1111/jdi.14411","ISSN":"2040-1124 2040-1116","issue":"4","journalAbbreviation":"J. Diabetes Investig.","language":"en","license":"© 2025 The Author(s). Journal of Diabetes Investigation published by Asian Association for the Study of Diabetes (AASD) and John Wiley &amp; Sons Australia,  Ltd.","note":"publisher-place: Japan\nPMID: 39856811 \nPMCID: PMC11970313\ntitleTranslation: </w:instrText>
            </w:r>
            <w:r>
              <w:rPr>
                <w:rFonts w:hint="eastAsia" w:ascii="微软雅黑" w:hAnsi="微软雅黑" w:eastAsia="微软雅黑" w:cs="微软雅黑"/>
                <w:color w:val="000000" w:themeColor="text1"/>
                <w:vertAlign w:val="superscript"/>
                <w14:textFill>
                  <w14:solidFill>
                    <w14:schemeClr w14:val="tx1"/>
                  </w14:solidFill>
                </w14:textFill>
              </w:rPr>
              <w:instrText xml:space="preserve">孕妇超重</w:instrText>
            </w:r>
            <w:r>
              <w:rPr>
                <w:rFonts w:ascii="Calibri" w:hAnsi="Calibri" w:eastAsia="Times New Roman" w:cs="Calibri"/>
                <w:color w:val="000000" w:themeColor="text1"/>
                <w:vertAlign w:val="superscript"/>
                <w14:textFill>
                  <w14:solidFill>
                    <w14:schemeClr w14:val="tx1"/>
                  </w14:solidFill>
                </w14:textFill>
              </w:rPr>
              <w:instrText xml:space="preserve">/</w:instrText>
            </w:r>
            <w:r>
              <w:rPr>
                <w:rFonts w:hint="eastAsia" w:ascii="微软雅黑" w:hAnsi="微软雅黑" w:eastAsia="微软雅黑" w:cs="微软雅黑"/>
                <w:color w:val="000000" w:themeColor="text1"/>
                <w:vertAlign w:val="superscript"/>
                <w14:textFill>
                  <w14:solidFill>
                    <w14:schemeClr w14:val="tx1"/>
                  </w14:solidFill>
                </w14:textFill>
              </w:rPr>
              <w:instrText xml:space="preserve">肥胖和高空腹血糖对早期妊娠糖尿病围产期不良结局的影响</w:instrText>
            </w:r>
            <w:r>
              <w:rPr>
                <w:rFonts w:ascii="Calibri" w:hAnsi="Calibri" w:eastAsia="Times New Roman" w:cs="Calibri"/>
                <w:color w:val="000000" w:themeColor="text1"/>
                <w:vertAlign w:val="superscript"/>
                <w14:textFill>
                  <w14:solidFill>
                    <w14:schemeClr w14:val="tx1"/>
                  </w14:solidFill>
                </w14:textFill>
              </w:rPr>
              <w:instrText xml:space="preserve">","page":"744-754","title":"Impact of maternal overweight/obesity and high fasting plasma glucose on adverse perinatal outcomes in early gestational diabetes mellitus","volume":"16","author":[{"family":"Iwama","given":"Noriyuki"},{"family":"Yokoyama","given":"Maki"},{"family":"Yamashita","given":"Hiroshi"},{"family":"Miyakoshi","given":"Kei"},{"family":"Yasuhi","given":"Ichiro"},{"family":"Kawasaki","given":"Maki"},{"family":"Arata","given":"Naoko"},{"family":"Sato","given":"Shiori"},{"family":"Iimura","given":"Yuko"},{"family":"Masako","given":"Waguri"},{"family":"Kawaguchi","given":"Haruna"},{"family":"Masaoka","given":"Naoki"},{"family":"Nakajima","given":"Yoshiyuki"},{"family":"Hiramatsu","given":"Yuji"},{"family":"Sugiyama","given":"Takashi"}],"issued":{"date-parts":[["2025",4]]},"citation-key":"iwamaImpactMaternalOverweight2025"}}],"schema":"https://github.com/citation-style-language/schema/raw/master/csl-citation.json"} </w:instrText>
            </w:r>
            <w:r>
              <w:rPr>
                <w:rFonts w:ascii="Calibri" w:hAnsi="Calibri" w:eastAsia="Times New Roman" w:cs="Calibri"/>
                <w:color w:val="000000" w:themeColor="text1"/>
                <w:vertAlign w:val="superscript"/>
                <w14:textFill>
                  <w14:solidFill>
                    <w14:schemeClr w14:val="tx1"/>
                  </w14:solidFill>
                </w14:textFill>
              </w:rPr>
              <w:fldChar w:fldCharType="separate"/>
            </w:r>
            <w:r>
              <w:rPr>
                <w:rFonts w:ascii="Calibri" w:hAnsi="Calibri" w:eastAsia="Times New Roman" w:cs="Calibri"/>
                <w:color w:val="000000"/>
                <w:vertAlign w:val="superscript"/>
              </w:rPr>
              <w:t>3</w:t>
            </w:r>
            <w:r>
              <w:rPr>
                <w:rFonts w:ascii="Calibri" w:hAnsi="Calibri" w:eastAsia="Times New Roman" w:cs="Calibri"/>
                <w:color w:val="000000" w:themeColor="text1"/>
                <w:vertAlign w:val="superscript"/>
                <w14:textFill>
                  <w14:solidFill>
                    <w14:schemeClr w14:val="tx1"/>
                  </w14:solidFill>
                </w14:textFill>
              </w:rPr>
              <w:fldChar w:fldCharType="end"/>
            </w:r>
          </w:p>
        </w:tc>
        <w:tc>
          <w:tcPr>
            <w:tcW w:w="1076" w:type="dxa"/>
          </w:tcPr>
          <w:p w14:paraId="561541F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c>
          <w:tcPr>
            <w:tcW w:w="4808" w:type="dxa"/>
          </w:tcPr>
          <w:p w14:paraId="08908CDB">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Gestational weight trajectory of</w:t>
            </w:r>
          </w:p>
          <w:p w14:paraId="2C786528">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(n = 2,440) and non-GDM (n = 10,984)</w:t>
            </w:r>
          </w:p>
        </w:tc>
        <w:tc>
          <w:tcPr>
            <w:tcW w:w="6465" w:type="dxa"/>
          </w:tcPr>
          <w:p w14:paraId="21CD80D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Offspring of GDM mothers with the Rapid-Slow pattern, weight z-scores ↑; BMI z-scores↑; overweight/obesity↑ </w:t>
            </w:r>
          </w:p>
        </w:tc>
      </w:tr>
      <w:tr w14:paraId="06B5C1F8">
        <w:trPr>
          <w:wBefore w:w="0" w:type="auto"/>
          <w:trHeight w:val="295" w:hRule="atLeast"/>
        </w:trPr>
        <w:tc>
          <w:tcPr>
            <w:tcW w:w="1379" w:type="dxa"/>
          </w:tcPr>
          <w:p w14:paraId="5C2663E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Beunen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{"citationID":"gvm9RxTS","properties":{"formattedCitation":"\\super 4\\nosupersub{}","plainCitation":"4","noteIndex":0},"citationItems":[{"id":14619,"uris":["http://zotero.org/users/15404663/items/64NQ4EZK"],"itemData":{"id":14619,"type":"article-journal","abstract":"AIMS: To monitor fetal size and identify predictors for birthweight in women with gestational diabetes (GDM) and normal glucose tolerance (NGT). METHODS: Cohort  study of 1843 women universally screened for GDM, with routine ultrasounds each  trimester. Women with GDM and NGT were categorized in subgroups by birthweight  centile. RESULTS: Of the total cohort, 231 (12.5%) women were diagnosed with GDM.  Fetal size, incidence of large-for-gestational age (LGA: 12.3% of GDM vs. 12.9%  of NGT, p = 0.822) and small-for-gestational age (SGA) neonates (4.8% of GDM vs.  5.1% of NGT, p = 0.886) were similar between GDM and NGT. GDM women with LGA  neonates were more insulin resistant at baseline and had more often estimated  fetal weight (EFW)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P90 on the 28-33 weeks ultrasound (p = 0.033) than those  with AGA (appropriate-for-gestational age) neonates. Compared to NGT women with  AGA neonates, those with LGA neonates were more often obese and multiparous, had  higher fasting glycemia, a worse lipid profile, and higher insulin resistance  between 24 -28 weeks, with more often excessive gestational weight gain. On the  28-33 weeks ultrasound, abdominal circumference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P95 had a high positive  predictive value for LGA neonates in GDM (100%), whereas, in both GDM and NGT,  EFW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P90 and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P10 had a high negative predictive value for LGA and SGA neonates  (&gt; 88%), respectively. CONCLUSIONS: There were no differences in fetal size  throughout pregnancy nor in LGA incidence between GDM and NGT women. EFW centile  at 28-33 weeks correlated well with birthweight. This indicates that GDM  treatment is effective and targeted ultrasound follow-up is useful. TRIAL  REGISTRATION CLINICALTRIALS.GOV: NCT02036619. Registration date: January 15,  2014. https://clinicaltrials.gov/ct2/show/NCT02036619 .","container-title":"Acta Diabetologica","DOI":"10.1007/s00592-024-02330-0","ISSN":"1432-5233 0940-5429","issue":"1","journalAbbreviation":"Acta Diabetol.","language":"en","license":"© 2024. Springer-Verlag Italia S.r.l., part of Springer Nature.","note":"publisher-place: Germany\nPMID: 39031189\nTLDR: There were no differences in fetal size throughout pregnancy nor in LGA incidence between GDM and NGT women, indicating that GDM treatment is effective and targeted ultrasound follow-up is useful.\ntitleTranslation: </w:instrText>
            </w:r>
            <w:r>
              <w:rPr>
                <w:rFonts w:hint="eastAsia" w:ascii="微软雅黑" w:hAnsi="微软雅黑" w:eastAsia="微软雅黑" w:cs="微软雅黑"/>
                <w:color w:val="000000" w:themeColor="text1"/>
                <w14:textFill>
                  <w14:solidFill>
                    <w14:schemeClr w14:val="tx1"/>
                  </w14:solidFill>
                </w14:textFill>
              </w:rPr>
              <w:instrText xml:space="preserve">妊娠期糖尿病和糖耐量正常妇女的胎儿大小监测</w:instrText>
            </w:r>
            <w:r>
              <w:rPr>
                <w:rFonts w:ascii="Calibri" w:hAnsi="Calibri" w:eastAsia="Times New Roman" w:cs="Calibri"/>
                <w:color w:val="000000" w:themeColor="text1"/>
                <w14:textFill>
                  <w14:solidFill>
                    <w14:schemeClr w14:val="tx1"/>
                  </w14:solidFill>
                </w14:textFill>
              </w:rPr>
              <w:instrText xml:space="preserve">","page":"35-48","title":"Fetal size monitoring in women with gestational diabetes and normal glucose tolerance","volume":"62","author":[{"family":"Beunen","given":"Kaat"},{"family":"Van den Abbeele","given":"Frederik"},{"family":"Van Crombrugge","given":"Paul"},{"family":"Verhaeghe","given":"Johan"},{"family":"Vandeginste","given":"Sofie"},{"family":"Verlaenen","given":"Hilde"},{"family":"Maes","given":"Toon"},{"family":"Dufraimont","given":"Els"},{"family":"Roggen","given":"Nele"},{"family":"De Block","given":"Christophe"},{"family":"Jacquemyn","given":"Yves"},{"family":"Mekahli","given":"Farah"},{"family":"De Clippel","given":"Katrien"},{"family":"Van den Bruel","given":"Annick"},{"family":"Loccufier","given":"Anne"},{"family":"Laenen","given":"Annouschka"},{"family":"Devlieger","given":"Roland"},{"family":"Mathieu","given":"Chantal"},{"family":"Benhalima","given":"Katrien"}],"issued":{"date-parts":[["2025",1]]},"citation-key":"beunenFetalSizeMonitoring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4</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47D46B5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Belgium</w:t>
            </w:r>
          </w:p>
        </w:tc>
        <w:tc>
          <w:tcPr>
            <w:tcW w:w="4808" w:type="dxa"/>
          </w:tcPr>
          <w:p w14:paraId="3B26C63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Fetal size examined by ultrasound of</w:t>
            </w:r>
          </w:p>
          <w:p w14:paraId="598E1A9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(n = 231) and non-GDM (n = 1,612)</w:t>
            </w:r>
          </w:p>
        </w:tc>
        <w:tc>
          <w:tcPr>
            <w:tcW w:w="6465" w:type="dxa"/>
          </w:tcPr>
          <w:p w14:paraId="3BA010E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Fetal size, incidence of LGA and SGA</w:t>
            </w:r>
            <w:r>
              <w:rPr>
                <w:rFonts w:ascii="Calibri" w:hAnsi="Calibri" w:eastAsia="Times New Roman" w:cs="Calibri"/>
                <w:b/>
                <w:bCs/>
                <w:color w:val="000000" w:themeColor="text1"/>
                <w14:textFill>
                  <w14:solidFill>
                    <w14:schemeClr w14:val="tx1"/>
                  </w14:solidFill>
                </w14:textFill>
              </w:rPr>
              <w:t> </w:t>
            </w:r>
            <w:r>
              <w:rPr>
                <w:rFonts w:ascii="Calibri" w:hAnsi="Calibri" w:eastAsia="Times New Roman" w:cs="Calibri"/>
                <w:color w:val="000000" w:themeColor="text1"/>
                <w14:textFill>
                  <w14:solidFill>
                    <w14:schemeClr w14:val="tx1"/>
                  </w14:solidFill>
                </w14:textFill>
              </w:rPr>
              <w:t>(-)</w:t>
            </w:r>
          </w:p>
        </w:tc>
      </w:tr>
      <w:tr w14:paraId="26D2E61D">
        <w:trPr>
          <w:wBefore w:w="0" w:type="auto"/>
          <w:trHeight w:val="295" w:hRule="atLeast"/>
        </w:trPr>
        <w:tc>
          <w:tcPr>
            <w:tcW w:w="1379" w:type="dxa"/>
          </w:tcPr>
          <w:p w14:paraId="05DEFC39">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Golshahi et al. (2025) </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{"citationID":"Or3clnxK","properties":{"formattedCitation":"\\super 5\\nosupersub{}","plainCitation":"5","noteIndex":0},"citationItems":[{"id":14620,"uris":["http://zotero.org/users/15404663/items/NN7A862A"],"itemData":{"id":14620,"type":"article-journal","abstract":"BACKGROUND: Gestational diabetes mellitus (GDM) is linked to adverse fetal outcomes like macrosomia and neonatal hypoglycemia, with its global incidence  increasing. While prior research indicates GDM may impair placental function and  fetal oxygen delivery, direct evidence is limited. This study compares umbilical  cord arterial blood gas measurements in pregnancies with and without GDM.  METHODS: This retrospective study analyzed medical records from four hospitals in  Tehran, Rasht, Ahvaz, and Isfahan in Iran, focusing on term singleton pregnancies  (gestational age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37 weeks) that underwent elective cesarean sections between  January and July 2024. Exclusions included maternal age &lt; 18 or &gt; 45 years,  pre-existing diabetes, thyroid, hypertensive, malignant, metabolic, or autoimmune  disorders, intrauterine growth restriction, hypertensive disorders of pregnancy,  and substance use during pregnancy. GDM was diagnosed using a 75-gram oral  glucose tolerance test at 24-28 weeks. Primary outcomes included umbilical cord  arterial blood gas measures (potential of hydrogen [pH], partial pressure of  carbon dioxide [PCO(2)], partial pressure of oxygen [PO(2)], bicarbonate  [HCO(3)], and base deficit). The neonatal outcomes were measured as secondary  outcomes. Statistical analyses utilized Chi-square, Fisher's exact, and  independent t-tests. RESULTS: Data from 430 pregnancies, including 87 with GDM,  were analyzed. Pregnancies with GDM showed significantly lower pH (7.33 ± 0.08  vs. 7.36 ± 0.06, P-value = 0.006) and greater base deficit (-1.82 ± 3.79 vs.  -0.50 ± 2.74 mEq/L, P-value = 0.003). However, no significant between-group  differences were observed in PCO(2), PO(2), or HCO(3) (P-value &gt; 0.05).  Furthermore, we observed no significant differences in the mean birthweight,  1-minute, or 5-minute Apgar scores (P-values &gt; 0.05), while neonates in the GDM  group required more resuscitation (28.7% vs. 12.0%, P-value &lt; 0.001) and neonatal  intensive care unit admissions (34.5% vs. 16.9%, P-value &lt; 0.001). CONCLUSIONS:  Pregnancies with GDM showed higher umbilical cord blood acidity, indicating  impaired placental function and reduced fetal oxygenation. These findings  underscore the need for enhanced monitoring, such as regular fetal surveillance  and close glycemic control, along with timely interventions like early neonatal  resuscitation protocols and preparedness for neonatal intensive care unit  admissions, to mitigate impaired fetal oxygenation in GDM. TRIAL REGISTRATION:  Not applicable.","container-title":"BMC Pregnancy and Childbirth","DOI":"10.1186/s12884-025-07522-2","ISSN":"1471-2393","issue":"1","journalAbbreviation":"BMC Pregnancy Childbirth","language":"en","license":"© 2025. The Author(s).","note":"publisher-place: England\nPMID: 40200200 \nPMCID: PMC11980337\nTLDR: Pregnancies with GDM showed higher umbilical cord blood acidity, indicating impaired placental function and reduced fetal oxygenation, and underscore the need for enhanced monitoring, such as regular fetal surveillance and close glycemic control, along with timely interventions like early neonatal resuscitation protocols and preparedness for neonatal intensive care unit admissions, to mitigate impaired fetal oxygenation.\ntitleTranslation: </w:instrText>
            </w:r>
            <w:r>
              <w:rPr>
                <w:rFonts w:hint="eastAsia" w:ascii="微软雅黑" w:hAnsi="微软雅黑" w:eastAsia="微软雅黑" w:cs="微软雅黑"/>
                <w:color w:val="000000" w:themeColor="text1"/>
                <w14:textFill>
                  <w14:solidFill>
                    <w14:schemeClr w14:val="tx1"/>
                  </w14:solidFill>
                </w14:textFill>
              </w:rPr>
              <w:instrText xml:space="preserve">比较选择性剖宫产术后有无妊娠糖尿病孕妇的脐带动脉血气结果：伊朗的一项多中心回顾性队列研究</w:instrText>
            </w:r>
            <w:r>
              <w:rPr>
                <w:rFonts w:ascii="Calibri" w:hAnsi="Calibri" w:eastAsia="Times New Roman" w:cs="Calibri"/>
                <w:color w:val="000000" w:themeColor="text1"/>
                <w14:textFill>
                  <w14:solidFill>
                    <w14:schemeClr w14:val="tx1"/>
                  </w14:solidFill>
                </w14:textFill>
              </w:rPr>
              <w:instrText xml:space="preserve">","page":"412","title":"Comparing umbilical cord arterial blood gas findings in pregnancies with and without gestational diabetes mellitus following elective cesarean section: a  multicenter retrospective cohort study in Iran","volume":"25","author":[{"family":"Golshahi","given":"Fatemeh"},{"family":"Iqbal","given":"Zufa"},{"family":"Madani","given":"Zahra Hamidi"},{"family":"Zamanpour","given":"Zeynab"},{"family":"Sahebdel","given":"Behrokh"},{"family":"Saedi","given":"Nafiseh"},{"family":"Khanjani","given":"Somayeh"},{"family":"Golshahi","given":"Jafar"},{"family":"Shirazi","given":"Mahboobeh"},{"family":"Rashidian","given":"Pegah"},{"family":"Parsaei","given":"Mohammadamin"}],"issued":{"date-parts":[["2025",4,9]]},"citation-key":"golshahiComparingUmbilicalCord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5</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567EC1D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Iran</w:t>
            </w:r>
          </w:p>
        </w:tc>
        <w:tc>
          <w:tcPr>
            <w:tcW w:w="4808" w:type="dxa"/>
          </w:tcPr>
          <w:p w14:paraId="57E02D1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Umbilical cord arterial blood gas of</w:t>
            </w:r>
          </w:p>
          <w:p w14:paraId="4E2F14E9">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(n = 87) and non-GDM (n = 345)</w:t>
            </w:r>
          </w:p>
        </w:tc>
        <w:tc>
          <w:tcPr>
            <w:tcW w:w="6465" w:type="dxa"/>
          </w:tcPr>
          <w:p w14:paraId="7F422002">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Base deficit↑; pH</w:t>
            </w:r>
            <w:bookmarkStart w:id="8" w:name="OLE_LINK48"/>
            <w:r>
              <w:rPr>
                <w:rFonts w:ascii="Calibri" w:hAnsi="Calibri" w:eastAsia="Times New Roman" w:cs="Calibri"/>
                <w:color w:val="000000" w:themeColor="text1"/>
                <w14:textFill>
                  <w14:solidFill>
                    <w14:schemeClr w14:val="tx1"/>
                  </w14:solidFill>
                </w14:textFill>
              </w:rPr>
              <w:t>↓</w:t>
            </w:r>
            <w:bookmarkEnd w:id="8"/>
          </w:p>
        </w:tc>
      </w:tr>
      <w:tr w14:paraId="56333D6E">
        <w:trPr>
          <w:wBefore w:w="0" w:type="auto"/>
          <w:trHeight w:val="1066" w:hRule="atLeast"/>
        </w:trPr>
        <w:tc>
          <w:tcPr>
            <w:tcW w:w="1379" w:type="dxa"/>
          </w:tcPr>
          <w:p w14:paraId="03D2A3E8">
            <w:pPr>
              <w:spacing w:line="360" w:lineRule="auto"/>
              <w:rPr>
                <w:rFonts w:ascii="Calibri" w:hAnsi="Calibri" w:eastAsia="Times New Roman" w:cs="Calibri"/>
                <w:color w:val="000000" w:themeColor="text1"/>
                <w14:textFill>
                  <w14:solidFill>
                    <w14:schemeClr w14:val="tx1"/>
                  </w14:solidFill>
                </w14:textFill>
              </w:rPr>
            </w:pPr>
            <w:bookmarkStart w:id="9" w:name="OLE_LINK50"/>
            <w:r>
              <w:rPr>
                <w:rFonts w:ascii="Calibri" w:hAnsi="Calibri" w:eastAsia="Times New Roman" w:cs="Calibri"/>
                <w:color w:val="000000" w:themeColor="text1"/>
                <w14:textFill>
                  <w14:solidFill>
                    <w14:schemeClr w14:val="tx1"/>
                  </w14:solidFill>
                </w14:textFill>
              </w:rPr>
              <w:t xml:space="preserve">Derakhshan </w:t>
            </w:r>
            <w:bookmarkStart w:id="10" w:name="OLE_LINK51"/>
            <w:r>
              <w:rPr>
                <w:rFonts w:ascii="Calibri" w:hAnsi="Calibri" w:eastAsia="Times New Roman" w:cs="Calibri"/>
                <w:color w:val="000000" w:themeColor="text1"/>
                <w14:textFill>
                  <w14:solidFill>
                    <w14:schemeClr w14:val="tx1"/>
                  </w14:solidFill>
                </w14:textFill>
              </w:rPr>
              <w:t>et al. (2020)</w:t>
            </w:r>
            <w:bookmarkEnd w:id="9"/>
            <w:bookmarkEnd w:id="10"/>
            <w:r>
              <w:rPr>
                <w:rFonts w:ascii="Calibri" w:hAnsi="Calibri" w:eastAsia="Times New Roman" w:cs="Calibri"/>
                <w:color w:val="000000" w:themeColor="text1"/>
                <w:vertAlign w:val="superscript"/>
                <w14:textFill>
                  <w14:solidFill>
                    <w14:schemeClr w14:val="tx1"/>
                  </w14:solidFill>
                </w14:textFill>
              </w:rPr>
              <w:fldChar w:fldCharType="begin"/>
            </w:r>
            <w:r>
              <w:rPr>
                <w:rFonts w:ascii="Calibri" w:hAnsi="Calibri" w:eastAsia="Times New Roman" w:cs="Calibri"/>
                <w:color w:val="000000" w:themeColor="text1"/>
                <w:vertAlign w:val="superscript"/>
                <w14:textFill>
                  <w14:solidFill>
                    <w14:schemeClr w14:val="tx1"/>
                  </w14:solidFill>
                </w14:textFill>
              </w:rPr>
              <w:instrText xml:space="preserve"> ADDIN ZOTERO_ITEM CSL_CITATION {"citationID":"ZOHMx4iU","properties":{"formattedCitation":"\\super 6\\nosupersub{}","plainCitation":"6","noteIndex":0},"citationItems":[{"id":14515,"uris":["http://zotero.org/users/15404663/items/C3XX9FX4"],"itemData":{"id":14515,"type":"article-journal","abstract":"BACKGROUND: Adequate transplacental passage of maternal thyroid hormone is important for normal fetal growth and development. Maternal overt hypothyroidism  and hyperthyroidism are associated with low birthweight, but important knowledge  gaps remain regarding the effect of subclinical thyroid function test  abnormalities on birthweight-both in general and during the late second and third  trimester of pregnancy. The aim of this study was to examine associations of  maternal thyroid function with birthweight. METHODS: In this systematic review  and individual-participant data meta-analysis, we searched MEDLINE (Ovid),  Embase, Web of Science, the Cochrane Central Register of Controlled Trials, and  Google Scholar from inception to Oct 15, 2019, for prospective cohort studies  with data on maternal thyroid function during pregnancy and birthweight, and we  issued open invitations to identify study authors to join the Consortium on  Thyroid and Pregnancy. We excluded participants with multiple pregnancies,  in-vitro fertilisation, pre-existing thyroid disease or thyroid medication usage,  miscarriages, and stillbirths. The main outcomes assessed were small for  gestational age (SGA) neonates, large for gestational age neonates, and newborn  birthweight. We analysed individual-participant data using mixed-effects  regression models adjusting for maternal age, BMI, ethnicity, smoking, parity,  gestational age at blood sampling, fetal sex, and gestational age at birth. The  study protocol was pre-registered at the International Prospective Register of  Systematic Reviews, CRD42016043496. FINDINGS: We identified 2526 published  reports, from which 36 cohorts met the inclusion criteria. The study authors for  15 of these cohorts agreed to participate, and five more unpublished datasets  were added, giving a study population of 48 145 mother-child pairs after  exclusions, of whom 1275 (3·1%) had subclinical hypothyroidism (increased thyroid  stimulating hormone [TSH] with normal free thyroxine [FT(4)]) and 929 (2·2%) had  isolated hypothyroxinaemia (decreased FT(4) with normal TSH). Maternal  subclinical hypothyroidism was associated with a higher risk of SGA than was  euthyroidism (11·8% vs 10·0%; adjusted risk difference 2·43%, 95% CI 0·43 to  4·81; odds ratio [OR] 1·24, 1·04 to 1·48; p=0·015) and lower mean birthweight  (mean difference -38 g, -61 to -15; p=0·0015), with a higher effect estimate for  measurement in the third trimester than in the first or second. Isolated  hypothyroxinaemia was associated with a lower risk of SGA than was euthyroidism  (7·3% vs 10·0%, adjusted risk difference -2·91, -4·49 to -0·88; OR 0·70, 0·55 to  0·91; p=0·0073) and higher mean birthweight (mean difference 45 g, 18 to 73;  p=0·0012). Each 1 SD increase in maternal TSH concentration was associated with a  6 g lower birthweight (-10 to -2; p=0·0030), with higher effect estimates in  women who were thyroid peroxidase antibody positive than for women who were  negative (p(interaction)=0·10). Each 1 SD increase in FT(4) concentration was  associated with a 21 g lower birthweight (-25 to -17; p&lt;0·0001), with a higher  effect estimate for measurement in the third trimester than the first or second.  INTERPRETATION: Maternal subclinical hypothyroidism in pregnancy is associated  with a higher risk of SGA and lower birthweight, whereas isolated  hypothyroxinaemia is associated with lower risk of SGA and higher birthweight.  There was an inverse, dose-response association of maternal TSH and FT(4) (even  within the normal range) with birthweight. These results advance our  understanding of the complex relationships between maternal thyroid function and  fetal outcomes, and they should prompt careful consideration of potential risks  and benefits of levothyroxine therapy during pregnancy. FUNDING: Netherlands  Organization for Scientific Research (grant 401.16.020).","container-title":"The Lancet. Diabetes &amp; Endocrinology","DOI":"10.1016/S2213-8587(20)30061-9","ISSN":"2213-8595 2213-8587","issue":"6","journalAbbreviation":"Lancet, Diabetes Endocrinol.","language":"en","license":"Copyright © 2020 Elsevier Ltd. All rights reserved.","note":"publisher-place: England\nPMID: 32445737 \nPMCID: PMC8168324\nTLDR: Maternal subclinical hypothyroidism in pregnancy is associated with a higher risk of SGA and lower birthweight, whereas isolated hypothyroxinaemia is associatedwith lower risk ofSGA and higher birthweight.\ntitleTranslation: </w:instrText>
            </w:r>
            <w:r>
              <w:rPr>
                <w:rFonts w:hint="eastAsia" w:ascii="微软雅黑" w:hAnsi="微软雅黑" w:eastAsia="微软雅黑" w:cs="微软雅黑"/>
                <w:color w:val="000000" w:themeColor="text1"/>
                <w:vertAlign w:val="superscript"/>
                <w14:textFill>
                  <w14:solidFill>
                    <w14:schemeClr w14:val="tx1"/>
                  </w14:solidFill>
                </w14:textFill>
              </w:rPr>
              <w:instrText xml:space="preserve">母亲甲状腺功能与出生体重的关系：系统综述和个体参与者数据荟萃分析</w:instrText>
            </w:r>
            <w:r>
              <w:rPr>
                <w:rFonts w:ascii="Calibri" w:hAnsi="Calibri" w:eastAsia="Times New Roman" w:cs="Calibri"/>
                <w:color w:val="000000" w:themeColor="text1"/>
                <w:vertAlign w:val="superscript"/>
                <w14:textFill>
                  <w14:solidFill>
                    <w14:schemeClr w14:val="tx1"/>
                  </w14:solidFill>
                </w14:textFill>
              </w:rPr>
              <w:instrText xml:space="preserve">","page":"501-510","title":"Association of maternal thyroid function with birthweight: a systematic review and individual-participant data meta-analysis","volume":"8","author":[{"family":"Derakhshan","given":"Arash"},{"family":"Peeters","given":"Robin P."},{"family":"Taylor","given":"Peter N."},{"family":"Bliddal","given":"Sofie"},{"family":"Carty","given":"David M."},{"family":"Meems","given":"Margreet"},{"family":"Vaidya","given":"Bijay"},{"family":"Chen","given":"Liangmiao"},{"family":"Knight","given":"Bridget A."},{"family":"Ghafoor","given":"Farkhanda"},{"family":"Popova","given":"Polina V."},{"family":"Mosso","given":"Lorena"},{"family":"Oken","given":"Emily"},{"family":"Suvanto","given":"Eila"},{"family":"Hisada","given":"Aya"},{"family":"Yoshinaga","given":"Jun"},{"family":"Brown","given":"Suzanne J."},{"family":"Bassols","given":"Judit"},{"family":"Auvinen","given":"Juha"},{"family":"Bramer","given":"Wichor M."},{"family":"López-Bermejo","given":"Abel"},{"family":"Dayan","given":"Colin M."},{"family":"French","given":"Robert"},{"family":"Boucai","given":"Laura"},{"family":"Vafeiadi","given":"Marina"},{"family":"Grineva","given":"Elena N."},{"family":"Pop","given":"Victor J. M."},{"family":"Vrijkotte","given":"Tanja G."},{"family":"Chatzi","given":"Leda"},{"family":"Sunyer","given":"Jordi"},{"family":"Jiménez-Zabala","given":"Ana"},{"family":"Riaño","given":"Isolina"},{"family":"Rebagliato","given":"Marisa"},{"family":"Lu","given":"Xuemian"},{"family":"Pirzada","given":"Amna"},{"family":"Männistö","given":"Tuija"},{"family":"Delles","given":"Christian"},{"family":"Feldt-Rasmussen","given":"Ulla"},{"family":"Alexander","given":"Erik K."},{"family":"Nelson","given":"Scott M."},{"family":"Chaker","given":"Layal"},{"family":"Pearce","given":"Elizabeth N."},{"family":"Guxens","given":"Mònica"},{"family":"Steegers","given":"Eric A. P."},{"family":"Walsh","given":"John P."},{"family":"Korevaar","given":"Tim I. M."}],"issued":{"date-parts":[["2020",6]]},"citation-key":"derakhshanAssociationMaternalThyroid2020"}}],"schema":"https://github.com/citation-style-language/schema/raw/master/csl-citation.json"} </w:instrText>
            </w:r>
            <w:r>
              <w:rPr>
                <w:rFonts w:ascii="Calibri" w:hAnsi="Calibri" w:eastAsia="Times New Roman" w:cs="Calibri"/>
                <w:color w:val="000000" w:themeColor="text1"/>
                <w:vertAlign w:val="superscript"/>
                <w14:textFill>
                  <w14:solidFill>
                    <w14:schemeClr w14:val="tx1"/>
                  </w14:solidFill>
                </w14:textFill>
              </w:rPr>
              <w:fldChar w:fldCharType="separate"/>
            </w:r>
            <w:r>
              <w:rPr>
                <w:rFonts w:ascii="Calibri" w:hAnsi="Calibri" w:eastAsia="Times New Roman" w:cs="Calibri"/>
                <w:color w:val="000000"/>
                <w:vertAlign w:val="superscript"/>
              </w:rPr>
              <w:t>6</w:t>
            </w:r>
            <w:r>
              <w:rPr>
                <w:rFonts w:ascii="Calibri" w:hAnsi="Calibri" w:eastAsia="Times New Roman" w:cs="Calibri"/>
                <w:color w:val="000000" w:themeColor="text1"/>
                <w:vertAlign w:val="superscript"/>
                <w14:textFill>
                  <w14:solidFill>
                    <w14:schemeClr w14:val="tx1"/>
                  </w14:solidFill>
                </w14:textFill>
              </w:rPr>
              <w:fldChar w:fldCharType="end"/>
            </w:r>
          </w:p>
        </w:tc>
        <w:tc>
          <w:tcPr>
            <w:tcW w:w="1076" w:type="dxa"/>
          </w:tcPr>
          <w:p w14:paraId="42E6A5B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Meta</w:t>
            </w:r>
          </w:p>
        </w:tc>
        <w:tc>
          <w:tcPr>
            <w:tcW w:w="4808" w:type="dxa"/>
          </w:tcPr>
          <w:p w14:paraId="256F49C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Birth weight of </w:t>
            </w:r>
          </w:p>
          <w:p w14:paraId="396EF06D">
            <w:pPr>
              <w:spacing w:line="360" w:lineRule="auto"/>
              <w:rPr>
                <w:rFonts w:ascii="Calibri" w:hAnsi="Calibri" w:eastAsia="Times New Roman" w:cs="Calibri"/>
                <w:color w:val="000000" w:themeColor="text1"/>
                <w14:textFill>
                  <w14:solidFill>
                    <w14:schemeClr w14:val="tx1"/>
                  </w14:solidFill>
                </w14:textFill>
              </w:rPr>
            </w:pPr>
            <w:bookmarkStart w:id="11" w:name="OLE_LINK36"/>
            <w:r>
              <w:rPr>
                <w:rFonts w:ascii="Calibri" w:hAnsi="Calibri" w:eastAsia="Times New Roman" w:cs="Calibri"/>
                <w:color w:val="000000" w:themeColor="text1"/>
                <w14:textFill>
                  <w14:solidFill>
                    <w14:schemeClr w14:val="tx1"/>
                  </w14:solidFill>
                </w14:textFill>
              </w:rPr>
              <w:t>SCH (n = 1,275) and euthyroid (n = 38,248</w:t>
            </w:r>
            <w:bookmarkEnd w:id="11"/>
            <w:r>
              <w:rPr>
                <w:rFonts w:ascii="Calibri" w:hAnsi="Calibri" w:eastAsia="Times New Roman" w:cs="Calibri"/>
                <w:color w:val="000000" w:themeColor="text1"/>
                <w14:textFill>
                  <w14:solidFill>
                    <w14:schemeClr w14:val="tx1"/>
                  </w14:solidFill>
                </w14:textFill>
              </w:rPr>
              <w:t>)</w:t>
            </w:r>
          </w:p>
        </w:tc>
        <w:tc>
          <w:tcPr>
            <w:tcW w:w="6465" w:type="dxa"/>
          </w:tcPr>
          <w:p w14:paraId="700A4CD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SGA↑; birth weight↓</w:t>
            </w:r>
          </w:p>
        </w:tc>
      </w:tr>
      <w:tr w14:paraId="237733E1">
        <w:trPr>
          <w:wBefore w:w="0" w:type="auto"/>
          <w:trHeight w:val="295" w:hRule="atLeast"/>
        </w:trPr>
        <w:tc>
          <w:tcPr>
            <w:tcW w:w="1379" w:type="dxa"/>
          </w:tcPr>
          <w:p w14:paraId="06C896E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Toloza et al. (2022)</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{"citationID":"hh9YO3vp","properties":{"formattedCitation":"\\super 7\\nosupersub{}","plainCitation":"7","noteIndex":0},"citationItems":[{"id":14526,"uris":["http://zotero.org/users/15404663/items/Z3MN6QN3"],"itemData":{"id":14526,"type":"article-journal","abstract":"BACKGROUND: Adequate maternal thyroid function is important for an uncomplicated pregnancy. Although multiple observational studies have evaluated the association  between thyroid dysfunction and hypertensive disorders of pregnancy, the methods  and definitions of abnormalities in thyroid function tests were heterogeneous,  and the results were conflicting. We aimed to examine the association between  abnormalities in thyroid function tests and risk of gestational hypertension and  pre-eclampsia. METHODS: In this systematic review and meta-analysis of  individual-participant data, we searched MEDLINE (Ovid), Embase, Scopus, and the  Cochrane Database of Systematic Reviews from date of inception to Dec 27, 2019,  for prospective cohort studies with data on maternal concentrations of  thyroid-stimulating hormone (TSH), free thyroxine (FT(4)), thyroid peroxidase  (TPO) antibodies, individually or in combination, as well as on gestational  hypertension, pre-eclampsia, or both. We issued open invitations to study authors  to participate in the Consortium on Thyroid and Pregnancy and to share the  individual-participant data. We excluded participants who had pre-existing  thyroid disease or multifetal pregnancy, or were taking medications that affect  thyroid function. The primary outcomes were documented gestational hypertension  and pre-eclampsia. Individual-participant data were analysed using logistic  mixed-effects regression models adjusting for maternal age, BMI, smoking, parity,  ethnicity, and gestational age at blood sampling. The study protocol was  registered with PROSPERO, CRD42019128585. FINDINGS: We identified 1539 published  studies, of which 33 cohorts met the inclusion criteria and 19 cohorts were  included after the authors agreed to participate. Our study population comprised  46 528 pregnant women, of whom 39 826 (85·6%) women had sufficient data (TSH and  FT(4) concentrations and TPO antibody status) to be classified according to their  thyroid function status. Of these women, 1275 (3·2%) had subclinical  hypothyroidism, 933 (2·3%) had isolated hypothyroxinaemia, 619 (1·6%) had  subclinical hyperthyroidism, and 337 (0·8%) had overt hyperthyroidism. Compared  with euthyroidism, subclinical hypothyroidism was associated with a higher risk  of pre-eclampsia (2·1% vs 3·6%; OR 1·53 [95% CI 1·09-2·15]). Subclinical  hyperthyroidism, isolated hypothyroxinaemia, or TPO antibody positivity were not  associated with gestational hypertension or pre-eclampsia. In continuous  analyses, both a higher and a lower TSH concentration were associated with a  higher risk of pre-eclampsia (p=0·0001). FT(4) concentrations were not associated  with the outcomes measured. INTERPRETATION: Compared with euthyroidism,  subclinical hypothyroidism during pregnancy was associated with a higher risk of  pre-eclampsia. There was a U-shaped association of TSH with pre-eclampsia. These  results quantify the risks of gestational hypertension or pre-eclampsia in women  with thyroid function test abnormalities, adding to the total body of evidence on  the risk of adverse maternal and fetal outcomes of thyroid dysfunction during  pregnancy. These findings have potential implications for defining the optimal  treatment target in women treated with levothyroxine during pregnancy, which  needs to be assessed in future interventional studies. FUNDING: Arkansas  Biosciences Institute and Netherlands Organization for Scientific Research.","container-title":"The Lancet. Diabetes &amp; Endocrinology","DOI":"10.1016/S2213-8587(22)00007-9","ISSN":"2213-8595 2213-8587","issue":"4","journalAbbreviation":"Lancet, Diabetes Endocrinol.","language":"en","license":"Copyright © 2022 Elsevier Ltd. All rights reserved.","note":"publisher-place: England\nPMID: 35255260 \nPMCID: PMC10314731\nTLDR: These results quantify the risks of gestational hypertension or pre-eclampsia in women with thyroid function test abnormalities, adding to the total body of evidence on the risk of adverse maternal and fetal outcomes of thyroid dysfunction during pregnancy.\ntitleTranslation: </w:instrText>
            </w:r>
            <w:r>
              <w:rPr>
                <w:rFonts w:hint="eastAsia" w:ascii="微软雅黑" w:hAnsi="微软雅黑" w:eastAsia="微软雅黑" w:cs="微软雅黑"/>
                <w:color w:val="000000" w:themeColor="text1"/>
                <w14:textFill>
                  <w14:solidFill>
                    <w14:schemeClr w14:val="tx1"/>
                  </w14:solidFill>
                </w14:textFill>
              </w:rPr>
              <w:instrText xml:space="preserve">母体甲状腺功能与妊娠高血压和先兆子痫风险之间的关联：系统评价和个体参与者数据荟萃分析</w:instrText>
            </w:r>
            <w:r>
              <w:rPr>
                <w:rFonts w:ascii="Calibri" w:hAnsi="Calibri" w:eastAsia="Times New Roman" w:cs="Calibri"/>
                <w:color w:val="000000" w:themeColor="text1"/>
                <w14:textFill>
                  <w14:solidFill>
                    <w14:schemeClr w14:val="tx1"/>
                  </w14:solidFill>
                </w14:textFill>
              </w:rPr>
              <w:instrText xml:space="preserve">","page":"243-252","title":"Association between maternal thyroid function and risk of gestational hypertension and pre-eclampsia: a systematic review and individual-participant  data meta-analysis","volume":"10","author":[{"family":"Toloza","given":"Freddy J. K."},{"family":"Derakhshan","given":"Arash"},{"family":"Männistö","given":"Tuija"},{"family":"Bliddal","given":"Sofie"},{"family":"Popova","given":"Polina V."},{"family":"Carty","given":"David M."},{"family":"Chen","given":"Liangmiao"},{"family":"Taylor","given":"Peter"},{"family":"Mosso","given":"Lorena"},{"family":"Oken","given":"Emily"},{"family":"Suvanto","given":"Eila"},{"family":"Itoh","given":"Sachiko"},{"family":"Kishi","given":"Reiko"},{"family":"Bassols","given":"Judit"},{"family":"Auvinen","given":"Juha"},{"family":"López-Bermejo","given":"Abel"},{"family":"Brown","given":"Suzanne J."},{"family":"Boucai","given":"Laura"},{"family":"Hisada","given":"Aya"},{"family":"Yoshinaga","given":"Jun"},{"family":"Shilova","given":"Ekaterina"},{"family":"Grineva","given":"Elena N."},{"family":"Vrijkotte","given":"Tanja G. M."},{"family":"Sunyer","given":"Jordi"},{"family":"Jiménez-Zabala","given":"Ana"},{"family":"Riaño-Galan","given":"Isolina"},{"family":"Lopez-Espinosa","given":"Maria-Jose"},{"family":"Prokop","given":"Larry J."},{"family":"Singh Ospina","given":"Naykky"},{"family":"Brito","given":"Juan P."},{"family":"Rodriguez-Gutierrez","given":"Rene"},{"family":"Alexander","given":"Erik K."},{"family":"Chaker","given":"Layal"},{"family":"Pearce","given":"Elizabeth N."},{"family":"Peeters","given":"Robin P."},{"family":"Feldt-Rasmussen","given":"Ulla"},{"family":"Guxens","given":"Mònica"},{"family":"Chatzi","given":"Leda"},{"family":"Delles","given":"Christian"},{"family":"Roeters van Lennep","given":"Jeanine E."},{"family":"Pop","given":"Victor J. M."},{"family":"Lu","given":"Xuemian"},{"family":"Walsh","given":"John P."},{"family":"Nelson","given":"Scott M."},{"family":"Korevaar","given":"Tim I. M."},{"family":"Maraka","given":"Spyridoula"}],"issued":{"date-parts":[["2022",4]]},"citation-key":"tolozaAssociationMaternalThyroid2022"}}],"schema":"https://github.com/citation-style-language/schema/raw/master/csl-citation.json"}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7</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5852E680">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Meta</w:t>
            </w:r>
          </w:p>
        </w:tc>
        <w:tc>
          <w:tcPr>
            <w:tcW w:w="4808" w:type="dxa"/>
          </w:tcPr>
          <w:p w14:paraId="7F61A59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(n = 1,275) and euthyroid (n = 30,514)</w:t>
            </w:r>
          </w:p>
        </w:tc>
        <w:tc>
          <w:tcPr>
            <w:tcW w:w="6465" w:type="dxa"/>
          </w:tcPr>
          <w:p w14:paraId="601BBEE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Preeclampsia↑</w:t>
            </w:r>
          </w:p>
        </w:tc>
      </w:tr>
      <w:tr w14:paraId="6972C007">
        <w:trPr>
          <w:wBefore w:w="0" w:type="auto"/>
          <w:trHeight w:val="295" w:hRule="atLeast"/>
        </w:trPr>
        <w:tc>
          <w:tcPr>
            <w:tcW w:w="1379" w:type="dxa"/>
          </w:tcPr>
          <w:p w14:paraId="2F0E0CAA">
            <w:pPr>
              <w:spacing w:line="360" w:lineRule="auto"/>
              <w:rPr>
                <w:rFonts w:ascii="Calibri" w:hAnsi="Calibri" w:eastAsia="Times New Roman" w:cs="Calibri"/>
                <w:color w:val="000000" w:themeColor="text1"/>
                <w:vertAlign w:val="superscript"/>
                <w14:textFill>
                  <w14:solidFill>
                    <w14:schemeClr w14:val="tx1"/>
                  </w14:solidFill>
                </w14:textFill>
              </w:rPr>
            </w:pPr>
            <w:r>
              <w:rPr>
                <w:rFonts w:ascii="Calibri" w:hAnsi="Calibri" w:eastAsia="Times New Roman" w:cs="Calibri"/>
                <w:color w:val="000000" w:themeColor="text1"/>
                <w14:textFill>
                  <w14:solidFill>
                    <w14:schemeClr w14:val="tx1"/>
                  </w14:solidFill>
                </w14:textFill>
              </w:rPr>
              <w:t>Jiao et al. (2022)</w:t>
            </w:r>
            <w:r>
              <w:rPr>
                <w:rFonts w:ascii="Calibri" w:hAnsi="Calibri" w:eastAsia="Times New Roman" w:cs="Calibri"/>
                <w:color w:val="000000" w:themeColor="text1"/>
                <w:vertAlign w:val="superscript"/>
                <w14:textFill>
                  <w14:solidFill>
                    <w14:schemeClr w14:val="tx1"/>
                  </w14:solidFill>
                </w14:textFill>
              </w:rPr>
              <w:fldChar w:fldCharType="begin"/>
            </w:r>
            <w:r>
              <w:rPr>
                <w:rFonts w:ascii="Calibri" w:hAnsi="Calibri" w:eastAsia="Times New Roman" w:cs="Calibri"/>
                <w:color w:val="000000" w:themeColor="text1"/>
                <w:vertAlign w:val="superscript"/>
                <w14:textFill>
                  <w14:solidFill>
                    <w14:schemeClr w14:val="tx1"/>
                  </w14:solidFill>
                </w14:textFill>
              </w:rPr>
              <w:instrText xml:space="preserve"> ADDIN ZOTERO_ITEM CSL_CITATION {"citationID":"wQTP4nFX","properties":{"formattedCitation":"\\super 8\\nosupersub{}","plainCitation":"8","noteIndex":0},"citationItems":[{"id":14518,"uris":["http://zotero.org/users/15404663/items/4REJTLYP"],"itemData":{"id":14518,"type":"article-journal","abstract":"BACKGROUND: Several systematic reviews and meta-analyses have investigated the effect of levothyroxine (LT4) therapy in pregnant women with subclinical  hypothyroidism (SCH). However, all these studies have clinical or methodological  problems (such as adopting the old 2011 American Thyroid Association [ATA]  diagnostic criteria, directly combining randomized controlled trials [RCTs] and  cohort studies for meta-analysis, and so on), and cannot provide accurate and  satisfactory results. Thus, we performed this updated systematic review,  meta-analysis and trial sequential analysis (TSA) to assess the effect of LT4  therapy in pregnant women with SCH, with the goal of providing more accurate and  reliable evidence for clinical practice. METHODS: We searched nine databases from  inception to February 2022. The search strategy targeted the RCTs and cohort  studies on pregnancy, neonatal and childhood outcomes following LT4 treatment in  pregnant women with SCH based on the new 2017 ATA diagnostic criteria. We  performed meta-analyses of RCTs and cohort studies separately, and further  performed meta-analyses by excluding studies with high risk of bias. TSA was  performed to test whether the current evidence was sufficient, and the quality of  evidence was evaluated using the GRADE method. RESULTS: A total of 9 RCTs and 13  cohort studies comprising 11273 pregnant women with SCH were included. There were  no statistically significant differences between LT4 group and control group in  all primary and secondary outcomes, such as preterm delivery (RR=0.46, 95%CI:  0.19-1.09, P=0.08, I(2 =) 65%), miscarriage (RR=0.36, 95%CI: 0.13-1.03, P=0.06,  I(2 =) 38%), gestational hypertension (RR=0.91, 95%CI: 0.58-1.43, P=0.69, I(2 =)  0%), preeclampsia (RR=1.10, 95%CI: 0.61-1.97, P=0.76, I(2 =) 0%), gestational  diabetes (RR=0.80, 95%CI: 0.51-1.25, P=0.32, I(2 =) 34%), and so on. TSA showed  that the results for all outcomes were insufficient and inconclusive. According  to GRADE, the evidences for four outcomes (miscarriage, gestational hypertension,  gestational diabetes, and small for gestational age) were rated as moderate  quality, while the evidences for the other outcomes were rated as low or very low  quality. CONCLUSION: Unlike previous systematic reviews and meta-analyses, our  study found no evidence of benefit of LT4 therapy on pregnancy, neonatal and  childhood outcomes in pregnant women with SCH. SYSTEMATIC REVIEW REGISTRATION:  PROSPERO,  https://www.crd.york.ac.uk/prospero/display_record.php?ID=CRD42022321937,  identifier CRD42022321937.","container-title":"Frontiers in endocrinology","DOI":"10.3389/fendo.2022.964084","ISSN":"1664-2392","journalAbbreviation":"Front. Endocrinol.","language":"en","license":"Copyright © 2022 Jiao, Zhang, Chen, Wei, Zeng, Liu, Zhang, Li, Zou, Zhang and Zhang.","note":"publisher-place: Switzerland\nPMID: 36034430 \nPMCID: PMC9400061\nTLDR: This updated systematic review, meta-analysis and trial sequential analysis (TSA) to assess the effect of LT4 therapy in pregnant women with subclinical hypothyroidism found no evidence of benefit ofLT4 therapy on pregnancy, neonatal and childhood outcomes in pregnantWomen with SCH.\ntitleTranslation: </w:instrText>
            </w:r>
            <w:r>
              <w:rPr>
                <w:rFonts w:hint="eastAsia" w:ascii="微软雅黑" w:hAnsi="微软雅黑" w:eastAsia="微软雅黑" w:cs="微软雅黑"/>
                <w:color w:val="000000" w:themeColor="text1"/>
                <w:vertAlign w:val="superscript"/>
                <w14:textFill>
                  <w14:solidFill>
                    <w14:schemeClr w14:val="tx1"/>
                  </w14:solidFill>
                </w14:textFill>
              </w:rPr>
              <w:instrText xml:space="preserve">左旋甲状腺素治疗对妊娠期亚临床甲状腺功能减退症的妊娠，新生儿和儿童结局的影响：最新的系统评价，荟萃分析和试验顺序分析</w:instrText>
            </w:r>
            <w:r>
              <w:rPr>
                <w:rFonts w:ascii="Calibri" w:hAnsi="Calibri" w:eastAsia="Times New Roman" w:cs="Calibri"/>
                <w:color w:val="000000" w:themeColor="text1"/>
                <w:vertAlign w:val="superscript"/>
                <w14:textFill>
                  <w14:solidFill>
                    <w14:schemeClr w14:val="tx1"/>
                  </w14:solidFill>
                </w14:textFill>
              </w:rPr>
              <w:instrText xml:space="preserve">","page":"964084","title":"The impact of levothyroxine therapy on the pregnancy, neonatal and childhood outcomes of subclinical hypothyroidism during pregnancy: an updated systematic  review, meta-analysis and trial sequential analysis","volume":"13","author":[{"family":"Jiao","given":"Xue-Feng"},{"family":"Zhang","given":"Miao"},{"family":"Chen","given":"Jingjing"},{"family":"Wei","given":"Qiang"},{"family":"Zeng","given":"Linan"},{"family":"Liu","given":"Dan"},{"family":"Zhang","given":"Chuan"},{"family":"Li","given":"Hailong"},{"family":"Zou","given":"Kun"},{"family":"Zhang","given":"Li"},{"family":"Zhang","given":"Lingli"}],"issued":{"date-parts":[["2022"]]},"citation-key":"jiaoImpactLevothyroxineTherapy2022"}}],"schema":"https://github.com/citation-style-language/schema/raw/master/csl-citation.json"} </w:instrText>
            </w:r>
            <w:r>
              <w:rPr>
                <w:rFonts w:ascii="Calibri" w:hAnsi="Calibri" w:eastAsia="Times New Roman" w:cs="Calibri"/>
                <w:color w:val="000000" w:themeColor="text1"/>
                <w:vertAlign w:val="superscript"/>
                <w14:textFill>
                  <w14:solidFill>
                    <w14:schemeClr w14:val="tx1"/>
                  </w14:solidFill>
                </w14:textFill>
              </w:rPr>
              <w:fldChar w:fldCharType="separate"/>
            </w:r>
            <w:r>
              <w:rPr>
                <w:rFonts w:ascii="Calibri" w:hAnsi="Calibri" w:eastAsia="Times New Roman" w:cs="Calibri"/>
                <w:color w:val="000000"/>
                <w:vertAlign w:val="superscript"/>
              </w:rPr>
              <w:t>8</w:t>
            </w:r>
            <w:r>
              <w:rPr>
                <w:rFonts w:ascii="Calibri" w:hAnsi="Calibri" w:eastAsia="Times New Roman" w:cs="Calibri"/>
                <w:color w:val="000000" w:themeColor="text1"/>
                <w:vertAlign w:val="superscript"/>
                <w14:textFill>
                  <w14:solidFill>
                    <w14:schemeClr w14:val="tx1"/>
                  </w14:solidFill>
                </w14:textFill>
              </w:rPr>
              <w:fldChar w:fldCharType="end"/>
            </w:r>
          </w:p>
        </w:tc>
        <w:tc>
          <w:tcPr>
            <w:tcW w:w="1076" w:type="dxa"/>
          </w:tcPr>
          <w:p w14:paraId="4908AC00">
            <w:pPr>
              <w:spacing w:line="360" w:lineRule="auto"/>
              <w:rPr>
                <w:rFonts w:ascii="Calibri" w:hAnsi="Calibri" w:eastAsia="Times New Roman" w:cs="Calibri"/>
                <w:color w:val="000000" w:themeColor="text1"/>
                <w14:textFill>
                  <w14:solidFill>
                    <w14:schemeClr w14:val="tx1"/>
                  </w14:solidFill>
                </w14:textFill>
              </w:rPr>
            </w:pPr>
            <w:bookmarkStart w:id="12" w:name="OLE_LINK35"/>
            <w:r>
              <w:rPr>
                <w:rFonts w:ascii="Calibri" w:hAnsi="Calibri" w:eastAsia="Times New Roman" w:cs="Calibri"/>
                <w:color w:val="000000" w:themeColor="text1"/>
                <w14:textFill>
                  <w14:solidFill>
                    <w14:schemeClr w14:val="tx1"/>
                  </w14:solidFill>
                </w14:textFill>
              </w:rPr>
              <w:t>Meta</w:t>
            </w:r>
          </w:p>
          <w:bookmarkEnd w:id="12"/>
          <w:p w14:paraId="6CBB5876">
            <w:pPr>
              <w:spacing w:line="360" w:lineRule="auto"/>
              <w:rPr>
                <w:rFonts w:ascii="Calibri" w:hAnsi="Calibri" w:eastAsia="Times New Roman" w:cs="Calibri"/>
                <w:color w:val="000000" w:themeColor="text1"/>
                <w14:textFill>
                  <w14:solidFill>
                    <w14:schemeClr w14:val="tx1"/>
                  </w14:solidFill>
                </w14:textFill>
              </w:rPr>
            </w:pPr>
          </w:p>
        </w:tc>
        <w:tc>
          <w:tcPr>
            <w:tcW w:w="4808" w:type="dxa"/>
          </w:tcPr>
          <w:p w14:paraId="6A3D8640">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(n = 11,273) receiving LT4 treatment and control</w:t>
            </w:r>
          </w:p>
          <w:p w14:paraId="555427EE">
            <w:pPr>
              <w:spacing w:line="360" w:lineRule="auto"/>
              <w:rPr>
                <w:rFonts w:ascii="Calibri" w:hAnsi="Calibri" w:eastAsia="Times New Roman" w:cs="Calibri"/>
                <w:color w:val="000000" w:themeColor="text1"/>
                <w14:textFill>
                  <w14:solidFill>
                    <w14:schemeClr w14:val="tx1"/>
                  </w14:solidFill>
                </w14:textFill>
              </w:rPr>
            </w:pPr>
          </w:p>
        </w:tc>
        <w:tc>
          <w:tcPr>
            <w:tcW w:w="6465" w:type="dxa"/>
          </w:tcPr>
          <w:p w14:paraId="188CB7C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Preterm delivery, miscarriage, gestational hypertension, preeclampsia gestational diabetes (-)</w:t>
            </w:r>
          </w:p>
        </w:tc>
      </w:tr>
      <w:tr w14:paraId="1ED54260">
        <w:trPr>
          <w:wBefore w:w="0" w:type="auto"/>
          <w:trHeight w:val="295" w:hRule="atLeast"/>
        </w:trPr>
        <w:tc>
          <w:tcPr>
            <w:tcW w:w="1379" w:type="dxa"/>
          </w:tcPr>
          <w:p w14:paraId="723DC6F9">
            <w:pPr>
              <w:spacing w:line="360" w:lineRule="auto"/>
              <w:rPr>
                <w:rFonts w:ascii="Calibri" w:hAnsi="Calibri" w:eastAsia="Times New Roman" w:cs="Calibri"/>
                <w:color w:val="000000" w:themeColor="text1"/>
                <w14:textFill>
                  <w14:solidFill>
                    <w14:schemeClr w14:val="tx1"/>
                  </w14:solidFill>
                </w14:textFill>
              </w:rPr>
            </w:pPr>
            <w:bookmarkStart w:id="13" w:name="OLE_LINK40"/>
            <w:r>
              <w:rPr>
                <w:rFonts w:ascii="Calibri" w:hAnsi="Calibri" w:eastAsia="Times New Roman" w:cs="Calibri"/>
                <w:color w:val="000000" w:themeColor="text1"/>
                <w14:textFill>
                  <w14:solidFill>
                    <w14:schemeClr w14:val="tx1"/>
                  </w14:solidFill>
                </w14:textFill>
              </w:rPr>
              <w:t>Gao et al. (2024)</w:t>
            </w:r>
            <w:bookmarkEnd w:id="13"/>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{"citationID":"oOAujucS","properties":{"formattedCitation":"\\super 9\\nosupersub{}","plainCitation":"9","noteIndex":0},"citationItems":[{"id":14886,"uris":["http://zotero.org/users/15404663/items/DPHJASC5"],"itemData":{"id":14886,"type":"article-journal","abstract":"Objective: To clarify the association between levothyroxine (LT4) treatment and various adverse pregnancy outcomes in pregnant women with thyrotropin (TSH)  levels ranging between 2.5 and 10.0 mIU/L in the first trimester, stratified  according to thyroid peroxidase antibody (TPOAb) positivity and TSH level.  Methods: This retrospective analysis of retrospectively and prospectively  collected cohort data included Chinese pregnant women with TSH levels of 2.5-10  mIU/L and normal free thyroxine levels (11.8-18.4 pmol/L) in the first trimester.  All participants were followed up until the completion of pregnancy, and  information on LT4 treatment, pregnancy complications, and pregnancy outcomes was  recorded. A 1:1 nearest-neighbor propensity score matching (PSM) between the  LT4-treated and - untreated groups with a caliper distance of 0.02 was performed  using a multivariable logistic regression model. Multivariable-adjusted modified  Poisson regression was used to estimate the relative risk (RR) and 95% confidence  interval (CI) of LT4 treatment for adverse pregnancy outcomes. Subgroup analyses  were also performed in four subgroups simultaneously stratified by TPOAb status  (negative or positive) and TSH levels (2.5-4.0 mIU/L as high-normal group and  4.0-10.0 mIU/L as SCH group). The study was registered in the Chinese Clinical  Trial Registry (ChiCTR2100047394). Results: Among the 4,370 pregnant women in the  study, 1,342 received LT4 treatment and 3,028 did not. The 1:1 PSM yielded 668  pairs of individuals and revealed that LT4 treatment was significantly associated  with a decreased risk of pregnancy loss (RR = 0.528, 95% CI: 0.344-0.812) and an  increased risk of small-for-gestational-age infants (RR = 1.595, 95% CI:  1.023-2.485). Subgroup analyses suggested that the above effects of LT4 treatment  were mainly from TPOAb-negative participants. LT4 treatment was associated with  an increased risk of preterm birth (RR = 2.214, 95% CI: 1.016-4.825) in  TPOAb-positive pregnant women with high-normal TSH levels. Conclusion: LT4  treatment was significantly associated with a lower risk of pregnancy loss and a  higher risk of small-for-gestational-age infants in pregnant women with TSH  levels of 2.5-10 mIU/L. An increased risk of preterm birth was observed in the  LT4-treated group among TPOAb-positive participants with TSH levels of 2.5-4.0  mIU/L.","container-title":"Thyroid : official journal of the American Thyroid Association","DOI":"10.1089/thy.2023.0662","ISSN":"1557-9077 1050-7256","issue":"7","journalAbbreviation":"Thyroid","language":"eng","note":"publisher-place: United States\nPMID: 38666684\nTLDR: LT-4 treatment was significantly associated with a lower risk of pregnancy loss and a higher risk of small-for-gestational-age infants in pregnant women with TSH levels of 2.5-10 mIU/L, and these effects were mainly from TPOAb-negative participants.","page":"912-919","title":"Levothyroxine treatment in pregnant women with thyrotropin levels ranging between 2.5 and 10 mIU/L: A propensity score matched analysis.","volume":"34","author":[{"family":"Gao","given":"Shen"},{"family":"Wang","given":"Xueran"},{"family":"Zhao","given":"Rong"},{"family":"Cui","given":"Yuchen"},{"family":"Su","given":"Shaofei"},{"family":"Zhang","given":"Enjie"},{"family":"Liu","given":"Jianhui"},{"family":"Xie","given":"Shuanghua"},{"family":"Zhang","given":"Yue"},{"family":"Yang","given":"Yuxi"},{"family":"Huang","given":"Kaikun"},{"family":"Hu","given":"Minhui"},{"family":"Yue","given":"Wentao"},{"family":"Liu","given":"Ruixia"},{"family":"Yin","given":"Chenghong"}],"issued":{"date-parts":[["2024",7]]},"citation-key":"gaoLevothyroxineTreatmentPregnant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9</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4707370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p w14:paraId="7AD67854">
            <w:pPr>
              <w:spacing w:line="360" w:lineRule="auto"/>
              <w:rPr>
                <w:rFonts w:ascii="Calibri" w:hAnsi="Calibri" w:eastAsia="Times New Roman" w:cs="Calibri"/>
                <w:color w:val="000000" w:themeColor="text1"/>
                <w14:textFill>
                  <w14:solidFill>
                    <w14:schemeClr w14:val="tx1"/>
                  </w14:solidFill>
                </w14:textFill>
              </w:rPr>
            </w:pPr>
          </w:p>
        </w:tc>
        <w:tc>
          <w:tcPr>
            <w:tcW w:w="4808" w:type="dxa"/>
          </w:tcPr>
          <w:p w14:paraId="10D3339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receiving LT4 treatment (n = 668) and control</w:t>
            </w:r>
            <w:bookmarkStart w:id="14" w:name="OLE_LINK41"/>
            <w:r>
              <w:rPr>
                <w:rFonts w:ascii="Calibri" w:hAnsi="Calibri" w:eastAsia="Times New Roman" w:cs="Calibri"/>
                <w:color w:val="000000" w:themeColor="text1"/>
                <w14:textFill>
                  <w14:solidFill>
                    <w14:schemeClr w14:val="tx1"/>
                  </w14:solidFill>
                </w14:textFill>
              </w:rPr>
              <w:t xml:space="preserve"> (n = 668)</w:t>
            </w:r>
            <w:bookmarkEnd w:id="14"/>
          </w:p>
          <w:p w14:paraId="116EF21D">
            <w:pPr>
              <w:spacing w:line="360" w:lineRule="auto"/>
              <w:rPr>
                <w:rFonts w:ascii="Calibri" w:hAnsi="Calibri" w:eastAsia="Times New Roman" w:cs="Calibri"/>
                <w:color w:val="000000" w:themeColor="text1"/>
                <w14:textFill>
                  <w14:solidFill>
                    <w14:schemeClr w14:val="tx1"/>
                  </w14:solidFill>
                </w14:textFill>
              </w:rPr>
            </w:pPr>
          </w:p>
        </w:tc>
        <w:tc>
          <w:tcPr>
            <w:tcW w:w="6465" w:type="dxa"/>
          </w:tcPr>
          <w:p w14:paraId="684AF63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Pregnancy loss↓ (RR = 0.528, 95% CI, 0.344-0.812); SGA infants ↑(RR = 1.595, 95% CI, 1.023-2.485)</w:t>
            </w:r>
          </w:p>
        </w:tc>
      </w:tr>
      <w:tr w14:paraId="6AFC9F9F">
        <w:trPr>
          <w:wBefore w:w="0" w:type="auto"/>
          <w:trHeight w:val="295" w:hRule="atLeast"/>
        </w:trPr>
        <w:tc>
          <w:tcPr>
            <w:tcW w:w="1379" w:type="dxa"/>
          </w:tcPr>
          <w:p w14:paraId="766029E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Foo et al. (2024)</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{"citationID":"ayfW2F07","properties":{"formattedCitation":"\\super 10\\nosupersub{}","plainCitation":"10","noteIndex":0},"citationItems":[{"id":14884,"uris":["http://zotero.org/users/15404663/items/BM7GQ4LS"],"itemData":{"id":14884,"type":"article-journal","abstract":"BACKGROUND: It is known that gestational diabetes mellitus (GDM)-complicated pregnancies could affect maternal cardiometabolic health after delivery,  resulting in hepatic dysfunction and a heightened risk of developing  non-alcoholic fatty liver disease (NAFLD). Hence, this study aims to summarise  existing literature on the impact of GDM on NAFLD in mothers and investigate the  intergenerational impact on NAFLD in offspring. METHODS: Using 4 databases  (PubMed, Embase, Web of Science and Scopus) between January 1980 and December  2023, randomized controlled trials and observational studies that assessed the  effect of maternal GDM on intergenerational liver outcomes were extracted and  analysed using random-effects meta-analysis to investigate the effect of GDM on  NAFLD in mothers and offspring. Pooled odds ratio (OR) was calculated using  hazards ratio (HR), relative risk (RR), or OR reported from each study, with  corresponding 95% confidence intervals (CI), and statistical heterogeneity was  assessed with the Cochran Q-test and I(2) statistic, with two-sided p values. The  study protocol was pre-registered on PROSPERO (CRD42023392428). FINDINGS: Twenty  studies pertaining to mothers and offspring met the inclusion criteria and 12  papers were included further for meta-analysis on intergenerational NAFLD  development. Compared with mothers without a history of GDM, mothers with a  history of GDM had a 50% increased risk of developing NAFLD (OR 1.50; 95% CI:  1.21-1.87, over a follow-up period of 16 months-25 years. Similarly, compared  with offspring born to non-GDM-complicated pregnancies, offspring born to  GDM-complicated pregnancies displayed an approximately two-fold elevated risk of  NAFLD development (2.14; 1.57-2.92), over a follow-up period of 1-17.8 years.  INTERPRETATION: This systematic review and meta-analysis suggests that both  mothers and offspring from GDM-complicated pregnancies exhibit a greater risk to  develop NAFLD. These findings underline the importance of early monitoring of  liver function and prompt intervention of NAFLD in both generations from  GDM-complicated pregnancies. FUNDING: No funding was available for this research.","container-title":"Eclinicalmedicine","DOI":"10.1016/j.eclinm.2024.102609","ISSN":"2589-5370","journalAbbreviation":"Eclinicalmedicine","language":"en","license":"© 2024 The Author(s).","note":"publisher-place: England\nPMID: 38707911 \nPMCID: PMC11067479\nTLDR: This systematic review and meta-analysis suggests that both mothers and offspring from GDM-complicated pregnancies exhibit a greater risk to develop non-alcoholic fatty liver disease (NAFLD).","page":"102609","title":"Gestational diabetes mellitus and development of intergenerational non-alcoholic fatty liver disease (NAFLD) after delivery: a systematic review and  meta-analysis","volume":"72","author":[{"family":"Foo","given":"Ru Xun"},{"family":"Ma","given":"Jenny Junyi"},{"family":"Du","given":"Ruochen"},{"family":"Goh","given":"George Boon Bee"},{"family":"Chong","given":"Yap Seng"},{"family":"Zhang","given":"Cuilin"},{"family":"Li","given":"Ling-Jun"}],"issued":{"date-parts":[["2024",6]]},"citation-key":"fooGestationalDiabetesMellitus2024"}}],"schema":"https://github.com/citation-style-language/schema/raw/master/csl-citation.json"}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10</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6234524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Meta</w:t>
            </w:r>
          </w:p>
          <w:p w14:paraId="0C44E255">
            <w:pPr>
              <w:spacing w:line="360" w:lineRule="auto"/>
              <w:rPr>
                <w:rFonts w:ascii="Calibri" w:hAnsi="Calibri" w:eastAsia="Times New Roman" w:cs="Calibri"/>
                <w:color w:val="000000" w:themeColor="text1"/>
                <w14:textFill>
                  <w14:solidFill>
                    <w14:schemeClr w14:val="tx1"/>
                  </w14:solidFill>
                </w14:textFill>
              </w:rPr>
            </w:pPr>
          </w:p>
        </w:tc>
        <w:tc>
          <w:tcPr>
            <w:tcW w:w="4808" w:type="dxa"/>
          </w:tcPr>
          <w:p w14:paraId="49AB925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and control (n = 71,758,188)</w:t>
            </w:r>
          </w:p>
        </w:tc>
        <w:tc>
          <w:tcPr>
            <w:tcW w:w="6465" w:type="dxa"/>
          </w:tcPr>
          <w:p w14:paraId="561B28E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NAFLD</w:t>
            </w:r>
            <w:bookmarkStart w:id="15" w:name="OLE_LINK45"/>
            <w:r>
              <w:rPr>
                <w:rFonts w:ascii="Calibri" w:hAnsi="Calibri" w:eastAsia="Times New Roman" w:cs="Calibri"/>
                <w:color w:val="000000" w:themeColor="text1"/>
                <w14:textFill>
                  <w14:solidFill>
                    <w14:schemeClr w14:val="tx1"/>
                  </w14:solidFill>
                </w14:textFill>
              </w:rPr>
              <w:t>↑</w:t>
            </w:r>
            <w:bookmarkEnd w:id="15"/>
            <w:r>
              <w:rPr>
                <w:rFonts w:ascii="Calibri" w:hAnsi="Calibri" w:eastAsia="Times New Roman" w:cs="Calibri"/>
                <w:color w:val="000000" w:themeColor="text1"/>
                <w14:textFill>
                  <w14:solidFill>
                    <w14:schemeClr w14:val="tx1"/>
                  </w14:solidFill>
                </w14:textFill>
              </w:rPr>
              <w:t xml:space="preserve"> (OR 1.50; 95%CI 1.21-1.87)</w:t>
            </w:r>
          </w:p>
        </w:tc>
      </w:tr>
      <w:tr w14:paraId="570DC398">
        <w:trPr>
          <w:wBefore w:w="0" w:type="auto"/>
          <w:trHeight w:val="295" w:hRule="atLeast"/>
        </w:trPr>
        <w:tc>
          <w:tcPr>
            <w:tcW w:w="1379" w:type="dxa"/>
          </w:tcPr>
          <w:p w14:paraId="78848D12">
            <w:pPr>
              <w:spacing w:line="360" w:lineRule="auto"/>
              <w:rPr>
                <w:rFonts w:ascii="Calibri" w:hAnsi="Calibri" w:eastAsia="Times New Roman" w:cs="Calibri"/>
                <w:color w:val="000000" w:themeColor="text1"/>
                <w14:textFill>
                  <w14:solidFill>
                    <w14:schemeClr w14:val="tx1"/>
                  </w14:solidFill>
                </w14:textFill>
              </w:rPr>
            </w:pPr>
            <w:bookmarkStart w:id="16" w:name="_Hlk200450729"/>
            <w:bookmarkStart w:id="17" w:name="OLE_LINK39"/>
            <w:r>
              <w:rPr>
                <w:rFonts w:ascii="Calibri" w:hAnsi="Calibri" w:eastAsia="Times New Roman" w:cs="Calibri"/>
                <w:color w:val="000000" w:themeColor="text1"/>
                <w14:textFill>
                  <w14:solidFill>
                    <w14:schemeClr w14:val="tx1"/>
                  </w14:solidFill>
                </w14:textFill>
              </w:rPr>
              <w:t>Foo et al. (2024</w:t>
            </w:r>
            <w:bookmarkEnd w:id="16"/>
            <w:r>
              <w:rPr>
                <w:rFonts w:ascii="Calibri" w:hAnsi="Calibri" w:eastAsia="Times New Roman" w:cs="Calibri"/>
                <w:color w:val="000000" w:themeColor="text1"/>
                <w14:textFill>
                  <w14:solidFill>
                    <w14:schemeClr w14:val="tx1"/>
                  </w14:solidFill>
                </w14:textFill>
              </w:rPr>
              <w:t>)</w:t>
            </w:r>
            <w:bookmarkEnd w:id="17"/>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{"citationID":"UXUsx3YJ","properties":{"formattedCitation":"\\super 10\\nosupersub{}","plainCitation":"10","noteIndex":0},"citationItems":[{"id":14884,"uris":["http://zotero.org/users/15404663/items/BM7GQ4LS"],"itemData":{"id":14884,"type":"article-journal","abstract":"BACKGROUND: It is known that gestational diabetes mellitus (GDM)-complicated pregnancies could affect maternal cardiometabolic health after delivery,  resulting in hepatic dysfunction and a heightened risk of developing  non-alcoholic fatty liver disease (NAFLD). Hence, this study aims to summarise  existing literature on the impact of GDM on NAFLD in mothers and investigate the  intergenerational impact on NAFLD in offspring. METHODS: Using 4 databases  (PubMed, Embase, Web of Science and Scopus) between January 1980 and December  2023, randomized controlled trials and observational studies that assessed the  effect of maternal GDM on intergenerational liver outcomes were extracted and  analysed using random-effects meta-analysis to investigate the effect of GDM on  NAFLD in mothers and offspring. Pooled odds ratio (OR) was calculated using  hazards ratio (HR), relative risk (RR), or OR reported from each study, with  corresponding 95% confidence intervals (CI), and statistical heterogeneity was  assessed with the Cochran Q-test and I(2) statistic, with two-sided p values. The  study protocol was pre-registered on PROSPERO (CRD42023392428). FINDINGS: Twenty  studies pertaining to mothers and offspring met the inclusion criteria and 12  papers were included further for meta-analysis on intergenerational NAFLD  development. Compared with mothers without a history of GDM, mothers with a  history of GDM had a 50% increased risk of developing NAFLD (OR 1.50; 95% CI:  1.21-1.87, over a follow-up period of 16 months-25 years. Similarly, compared  with offspring born to non-GDM-complicated pregnancies, offspring born to  GDM-complicated pregnancies displayed an approximately two-fold elevated risk of  NAFLD development (2.14; 1.57-2.92), over a follow-up period of 1-17.8 years.  INTERPRETATION: This systematic review and meta-analysis suggests that both  mothers and offspring from GDM-complicated pregnancies exhibit a greater risk to  develop NAFLD. These findings underline the importance of early monitoring of  liver function and prompt intervention of NAFLD in both generations from  GDM-complicated pregnancies. FUNDING: No funding was available for this research.","container-title":"Eclinicalmedicine","DOI":"10.1016/j.eclinm.2024.102609","ISSN":"2589-5370","journalAbbreviation":"Eclinicalmedicine","language":"en","license":"© 2024 The Author(s).","note":"publisher-place: England\nPMID: 38707911 \nPMCID: PMC11067479\nTLDR: This systematic review and meta-analysis suggests that both mothers and offspring from GDM-complicated pregnancies exhibit a greater risk to develop non-alcoholic fatty liver disease (NAFLD).","page":"102609","title":"Gestational diabetes mellitus and development of intergenerational non-alcoholic fatty liver disease (NAFLD) after delivery: a systematic review and  meta-analysis","volume":"72","author":[{"family":"Foo","given":"Ru Xun"},{"family":"Ma","given":"Jenny Junyi"},{"family":"Du","given":"Ruochen"},{"family":"Goh","given":"George Boon Bee"},{"family":"Chong","given":"Yap Seng"},{"family":"Zhang","given":"Cuilin"},{"family":"Li","given":"Ling-Jun"}],"issued":{"date-parts":[["2024",6]]},"citation-key":"fooGestationalDiabetesMellitus2024"}}],"schema":"https://github.com/citation-style-language/schema/raw/master/csl-citation.json"}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10</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1024E48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Meta</w:t>
            </w:r>
          </w:p>
          <w:p w14:paraId="7260B62F">
            <w:pPr>
              <w:spacing w:line="360" w:lineRule="auto"/>
              <w:rPr>
                <w:rFonts w:ascii="Calibri" w:hAnsi="Calibri" w:eastAsia="Times New Roman" w:cs="Calibri"/>
                <w:color w:val="000000" w:themeColor="text1"/>
                <w14:textFill>
                  <w14:solidFill>
                    <w14:schemeClr w14:val="tx1"/>
                  </w14:solidFill>
                </w14:textFill>
              </w:rPr>
            </w:pPr>
          </w:p>
        </w:tc>
        <w:tc>
          <w:tcPr>
            <w:tcW w:w="4808" w:type="dxa"/>
          </w:tcPr>
          <w:p w14:paraId="033A156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Offspring of GDM and control (n = 9,832)</w:t>
            </w:r>
          </w:p>
        </w:tc>
        <w:tc>
          <w:tcPr>
            <w:tcW w:w="6465" w:type="dxa"/>
          </w:tcPr>
          <w:p w14:paraId="66549CB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Offspring NAFLD↑(OR 2.14; 95%CI 1.57-2.92)</w:t>
            </w:r>
          </w:p>
        </w:tc>
      </w:tr>
      <w:tr w14:paraId="159CDDCE">
        <w:trPr>
          <w:wBefore w:w="0" w:type="auto"/>
          <w:trHeight w:val="295" w:hRule="atLeast"/>
        </w:trPr>
        <w:tc>
          <w:tcPr>
            <w:tcW w:w="1379" w:type="dxa"/>
          </w:tcPr>
          <w:p w14:paraId="46159342">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Wang </w:t>
            </w:r>
            <w:bookmarkStart w:id="18" w:name="OLE_LINK46"/>
            <w:r>
              <w:rPr>
                <w:rFonts w:ascii="Calibri" w:hAnsi="Calibri" w:eastAsia="Times New Roman" w:cs="Calibri"/>
                <w:color w:val="000000" w:themeColor="text1"/>
                <w14:textFill>
                  <w14:solidFill>
                    <w14:schemeClr w14:val="tx1"/>
                  </w14:solidFill>
                </w14:textFill>
              </w:rPr>
              <w:t>et al. (2024)</w:t>
            </w:r>
            <w:bookmarkEnd w:id="18"/>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{"citationID":"E7zQZ16a","properties":{"formattedCitation":"\\super 11\\nosupersub{}","plainCitation":"11","noteIndex":0},"citationItems":[{"id":14887,"uris":["http://zotero.org/users/15404663/items/LDSHQCMK"],"itemData":{"id":14887,"type":"article-journal","abstract":"BACKGROUND: Subclinical hypothyroidism (SCH) is linked to dyslipidaemia and adverse pregnancy outcomes. However, the impact of dyslipidaemia on the outcome  of pregnancy in SCH is unclear. METHODS: We enrolled 36,256 pregnant women and  evaluated their pregnancy outcomes. The following data was gathered during the  first trimester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 13(+ 6) weeks of gestation): total cholesterol (TC),  low-density lipoprotein (LDL-C), triglyceride (TG), high-density lipoprotein  (HDL-C), free thyroxine (FT4) and thyroid-stimulating hormone (TSH)  concentrations. The reference ranges for lipids were estimated to range from the  5th to the 95th percentile. Logistic regression assessed the relationships  between dyslipidaemia and adverse pregnancy outcomes, including abortion,  preeclampsia/eclampsia, low birth weight, foetal growth restriction, premature  rupture of foetal membranes, gestational hypertension, preterm birth, macrosomia  and gestational diabetes mellitus (GDM). Additionally, the best thresholds for  predicting adverse pregnancy outcomes based on TSH, FT4, and lipid levels were  determined using receiver operating characteristic curves. RESULTS: In the first  trimester, LDL-C &gt; 3.24 mmol/L, TG &gt; 1.92 mmol/L, HDL-C &lt; 1.06 mmol/L, and  TC &gt; 5.39 mmol/L were used to define dyslipidaemia. In this cohort, 952 (3.56%)  patients were diagnosed with SCH, and those who had dyslipidaemia in the first  trimester had higher incidences of gestational hypertension (6.59% vs. 3.25%),  preeclampsia/eclampsia (7.14% vs. 3.12%), GDM (22.53% vs. 13.77%), and low birth  weight (4.95% vs. 2.08%) than did those without dyslipidaemia. However, after  adjusting for prepregnancy body mass index (pre-BMI), dyslipidaemia was no longer  related to these risks. Furthermore, elevated TG dyslipidaemia in SCH patients  was connected to an enhanced potential of gestational hypertension (odds ratio  [OR]: 2.687, 95% confidence interval [CI]: 1.074 ~ 6.722), and elevated LDL-C  dyslipidaemia correlated with increased preeclampsia/eclampsia risk (OR: 3.172,  95% CI: 1.204 ~ 8.355) after accounting for age, smoking status, alcohol use,  pre-BMI, and levothyroxine use. Additionally, the combination of TC, TG, LDL-C,  pre-BMI, and TSH exhibited enhanced predictive capabilities for gestational  hypertension, preeclampsia/eclampsia, and GDM. Values of 0.767, 0.704, and 0.706  were obtained from the area under the curve. CONCLUSIONS: Among pregnant women  with SCH, dyslipidaemia in early pregnancy was related to elevated risks of  adverse pregnancy consequences. The combined consideration of age, pre-BMI, TSH,  and lipid levels in the first trimester could be beneficial for monitoring  patients and implementing interventions to reduce adverse pregnancy outcomes.","container-title":"Lipids in health and disease","DOI":"10.1186/s12944-023-01998-7","ISSN":"1476-511X","issue":"1","journalAbbreviation":"Lipids Health Dis","language":"eng","license":"© 2024. The Author(s).","note":"publisher-place: England\nPMID: 38212787 \nPMCID: PMC10782788\nTLDR: Among pregnant women with SCH, dyslipidaemia in early pregnancy was related to elevated risks of adverse pregnancy consequences, and the combined consideration of age, pre-BMI, TSH, and lipid levels in the first trimester could be beneficial for monitoring patients and implementing interventions to reduce adverse pregnancy outcomes.","page":"13","title":"The association between dyslipidaemia in the first trimester and adverse pregnancy outcomes in pregnant women with subclinical hypothyroidism: A cohort  study.","volume":"23","author":[{"family":"Wang","given":"Xueran"},{"family":"Zhang","given":"Enjie"},{"family":"Tian","given":"Zongyuan"},{"family":"Zhao","given":"Rong"},{"family":"Huang","given":"Kaikun"},{"family":"Gao","given":"Shen"},{"family":"Su","given":"Shaofei"},{"family":"Xie","given":"Shuanghua"},{"family":"Liu","given":"Jianhui"},{"family":"Luan","given":"Yingyi"},{"family":"Zhang","given":"Yue"},{"family":"Zhang","given":"Zheng"},{"family":"Yan","given":"Yousheng"},{"family":"Yue","given":"Wentao"},{"family":"Yin","given":"Chenghong"},{"family":"Liu","given":"Ruixia"}],"issued":{"date-parts":[["2024",1,11]]},"citation-key":"wangAssociationDyslipidaemiaFirst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11</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44BF1A2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c>
          <w:tcPr>
            <w:tcW w:w="4808" w:type="dxa"/>
          </w:tcPr>
          <w:p w14:paraId="725C09F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with dyslipidaemia (n = 770) or without dyslipidaemia (n = 182)</w:t>
            </w:r>
          </w:p>
          <w:p w14:paraId="4FF7057F">
            <w:pPr>
              <w:spacing w:line="360" w:lineRule="auto"/>
              <w:rPr>
                <w:rFonts w:ascii="Calibri" w:hAnsi="Calibri" w:eastAsia="Times New Roman" w:cs="Calibri"/>
                <w:color w:val="000000" w:themeColor="text1"/>
                <w14:textFill>
                  <w14:solidFill>
                    <w14:schemeClr w14:val="tx1"/>
                  </w14:solidFill>
                </w14:textFill>
              </w:rPr>
            </w:pPr>
          </w:p>
        </w:tc>
        <w:tc>
          <w:tcPr>
            <w:tcW w:w="6465" w:type="dxa"/>
          </w:tcPr>
          <w:p w14:paraId="529ABEF7">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Gestational hypertension</w:t>
            </w:r>
            <w:bookmarkStart w:id="19" w:name="OLE_LINK47"/>
            <w:r>
              <w:rPr>
                <w:rFonts w:ascii="Calibri" w:hAnsi="Calibri" w:eastAsia="Times New Roman" w:cs="Calibri"/>
                <w:color w:val="000000" w:themeColor="text1"/>
                <w14:textFill>
                  <w14:solidFill>
                    <w14:schemeClr w14:val="tx1"/>
                  </w14:solidFill>
                </w14:textFill>
              </w:rPr>
              <w:t>↑</w:t>
            </w:r>
            <w:bookmarkEnd w:id="19"/>
            <w:r>
              <w:rPr>
                <w:rFonts w:ascii="Calibri" w:hAnsi="Calibri" w:eastAsia="Times New Roman" w:cs="Calibri"/>
                <w:color w:val="000000" w:themeColor="text1"/>
                <w14:textFill>
                  <w14:solidFill>
                    <w14:schemeClr w14:val="tx1"/>
                  </w14:solidFill>
                </w14:textFill>
              </w:rPr>
              <w:t xml:space="preserve"> (6.59% vs. 3.25%), preeclampsia/eclampsia↑(7.14% vs. 3.12%), GDM↑(22.53% vs. 13.77%), and low birth weight↑ (4.95% vs. 2.08%) </w:t>
            </w:r>
          </w:p>
        </w:tc>
      </w:tr>
      <w:tr w14:paraId="4EA8159C">
        <w:trPr>
          <w:wBefore w:w="0" w:type="auto"/>
          <w:trHeight w:val="295" w:hRule="atLeast"/>
        </w:trPr>
        <w:tc>
          <w:tcPr>
            <w:tcW w:w="1379" w:type="dxa"/>
          </w:tcPr>
          <w:p w14:paraId="3DF5D3AB">
            <w:pPr>
              <w:spacing w:line="360" w:lineRule="auto"/>
              <w:rPr>
                <w:rFonts w:ascii="Calibri" w:hAnsi="Calibri" w:eastAsia="Times New Roman" w:cs="Calibri"/>
                <w:color w:val="000000" w:themeColor="text1"/>
                <w14:textFill>
                  <w14:solidFill>
                    <w14:schemeClr w14:val="tx1"/>
                  </w14:solidFill>
                </w14:textFill>
              </w:rPr>
            </w:pPr>
            <w:bookmarkStart w:id="20" w:name="_Hlk200453692"/>
            <w:r>
              <w:rPr>
                <w:rFonts w:ascii="Calibri" w:hAnsi="Calibri" w:eastAsia="Times New Roman" w:cs="Calibri"/>
                <w:color w:val="000000" w:themeColor="text1"/>
                <w14:textFill>
                  <w14:solidFill>
                    <w14:schemeClr w14:val="tx1"/>
                  </w14:solidFill>
                </w14:textFill>
              </w:rPr>
              <w:t xml:space="preserve">Mihai et al. (2024) </w:t>
            </w:r>
            <w:bookmarkEnd w:id="20"/>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{"citationID":"a235kjo4eqs","properties":{"formattedCitation":"\\super 12\\nosupersub{}","plainCitation":"12","noteIndex":0},"citationItems":[{"id":14888,"uris":["http://zotero.org/users/15404663/items/LI79JHR8"],"itemData":{"id":14888,"type":"article-journal","abstract":"OBJECTIVE: This study aimed to explore whether subclinical hypothyroidism (SCH) treated with levothyroxine in pregnancy complicated by gestational diabetes  mellitus (GDM) is associated with an increased risk of gestational hypertensive  disorders (GHDs) (gestational hypertension and preeclampsia). METHODS: 96  pregnant women with GDM were enrolled in this study and grouped as per the  European Thyroid Association criteria into the SCH (n = 21) and euthyroid groups  (n = 75). All subjects were tested for anthropometric parameters, maternal  glucose homeostasis parameters, lipid levels, thyroid function tests, and blood  pressure. All GDM pregnant women received nutritional and insulin therapy where  needed, and the SCH group received levothyroxine treatment. Then, the maternal  and newborn outcomes were compared. Data were analyzed using Student's t-test,  Mann-Whitney U, and Chi-square tests wherever applicable. p values of &lt;0.05 were  considered significant. RESULTS: Patients with GDM and SCH had a pre-pregnancy  BMI and BMI at inclusion in the study smaller than those of the euthyroid group  (p = 0.0004, p = 0.0009). There were no significant differences between groups  regarding the incidence of GHD, preterm prelabor rupture of membranes (PPROMs),  macrosomia, low birth weight, and fetal distress (p &gt; 0.05). Patients with GDM  and SCH treated with levothyroxine had more premature delivery than the euthyroid  group (p = 0.03). CONCLUSIONS: Subclinical hypothyroidism treated with  levothyroxine in women with GDM does not increase the risk of gestational  hypertensive disorders, but is associated with increased risk for prematurity.","container-title":"Biomedicines","DOI":"10.3390/biomedicines12112587","ISSN":"2227-9059","issue":"11","journalAbbreviation":"Biomedicines","language":"en","note":"publisher-place: Switzerland\nPMID: 39595153 \nPMCID: PMC11592048\nTLDR: Subclinical hypothyroidism treated with levothyroxine in women with GDM does not increase the risk of gestational hypertensive disorders, but is associated with increased risk for prematurity.","title":"Subclinical hypothyroidism and gestational hypertensive disorders in a cohort of romanian pregnant women with gestational diabetes mellitus: a pilot study","volume":"12","author":[{"family":"Mihai","given":"Muntean"},{"family":"Vladut","given":"Săsăran"},{"family":"Lucian","given":"Pop Gheorghe"},{"family":"Irina","given":"Muntean Elena"},{"family":"Victoria","given":"Nyulas"},{"family":"Claudiu","given":"Mărginean"}],"issued":{"date-parts":[["2024",11,12]]},"citation-key":"mihaiSubclinicalHypothyroidismGestational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12</w:t>
            </w:r>
            <w:r>
              <w:rPr>
                <w:rFonts w:ascii="Calibri" w:hAnsi="Calibri" w:eastAsia="Times New Roman" w:cs="Calibri"/>
                <w:color w:val="000000" w:themeColor="text1"/>
                <w14:textFill>
                  <w14:solidFill>
                    <w14:schemeClr w14:val="tx1"/>
                  </w14:solidFill>
                </w14:textFill>
              </w:rPr>
              <w:fldChar w:fldCharType="end"/>
            </w:r>
          </w:p>
        </w:tc>
        <w:tc>
          <w:tcPr>
            <w:tcW w:w="1076" w:type="dxa"/>
          </w:tcPr>
          <w:p w14:paraId="1AC62AE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Romania</w:t>
            </w:r>
          </w:p>
        </w:tc>
        <w:tc>
          <w:tcPr>
            <w:tcW w:w="4808" w:type="dxa"/>
          </w:tcPr>
          <w:p w14:paraId="3F699DD7">
            <w:pPr>
              <w:spacing w:line="360" w:lineRule="auto"/>
              <w:rPr>
                <w:rFonts w:ascii="Calibri" w:hAnsi="Calibri" w:eastAsia="Times New Roman" w:cs="Calibri"/>
                <w:color w:val="000000" w:themeColor="text1"/>
                <w14:textFill>
                  <w14:solidFill>
                    <w14:schemeClr w14:val="tx1"/>
                  </w14:solidFill>
                </w14:textFill>
              </w:rPr>
            </w:pPr>
            <w:bookmarkStart w:id="21" w:name="OLE_LINK8"/>
            <w:r>
              <w:rPr>
                <w:rFonts w:ascii="Calibri" w:hAnsi="Calibri" w:eastAsia="Times New Roman" w:cs="Calibri"/>
                <w:color w:val="000000" w:themeColor="text1"/>
                <w14:textFill>
                  <w14:solidFill>
                    <w14:schemeClr w14:val="tx1"/>
                  </w14:solidFill>
                </w14:textFill>
              </w:rPr>
              <w:t xml:space="preserve">GDM with SCH </w:t>
            </w:r>
            <w:bookmarkStart w:id="22" w:name="_Hlk200453381"/>
            <w:r>
              <w:rPr>
                <w:rFonts w:ascii="Calibri" w:hAnsi="Calibri" w:eastAsia="Times New Roman" w:cs="Calibri"/>
                <w:color w:val="000000" w:themeColor="text1"/>
                <w14:textFill>
                  <w14:solidFill>
                    <w14:schemeClr w14:val="tx1"/>
                  </w14:solidFill>
                </w14:textFill>
              </w:rPr>
              <w:t>(n = 21)</w:t>
            </w:r>
            <w:bookmarkEnd w:id="22"/>
            <w:r>
              <w:rPr>
                <w:rFonts w:ascii="Calibri" w:hAnsi="Calibri" w:eastAsia="Times New Roman" w:cs="Calibri"/>
                <w:color w:val="000000" w:themeColor="text1"/>
                <w14:textFill>
                  <w14:solidFill>
                    <w14:schemeClr w14:val="tx1"/>
                  </w14:solidFill>
                </w14:textFill>
              </w:rPr>
              <w:t xml:space="preserve"> and </w:t>
            </w:r>
            <w:r>
              <w:rPr>
                <w:rFonts w:hint="eastAsia" w:ascii="Calibri" w:hAnsi="Calibri" w:eastAsia="Times New Roman" w:cs="Calibri"/>
                <w:color w:val="000000" w:themeColor="text1"/>
                <w14:textFill>
                  <w14:solidFill>
                    <w14:schemeClr w14:val="tx1"/>
                  </w14:solidFill>
                </w14:textFill>
              </w:rPr>
              <w:t>e</w:t>
            </w:r>
            <w:r>
              <w:rPr>
                <w:rFonts w:ascii="Calibri" w:hAnsi="Calibri" w:eastAsia="Times New Roman" w:cs="Calibri"/>
                <w:color w:val="000000" w:themeColor="text1"/>
                <w14:textFill>
                  <w14:solidFill>
                    <w14:schemeClr w14:val="tx1"/>
                  </w14:solidFill>
                </w14:textFill>
              </w:rPr>
              <w:t>uthyroid (n = 75)</w:t>
            </w:r>
            <w:bookmarkEnd w:id="21"/>
          </w:p>
        </w:tc>
        <w:tc>
          <w:tcPr>
            <w:tcW w:w="6465" w:type="dxa"/>
          </w:tcPr>
          <w:p w14:paraId="51D90F7B">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Gestational hypertensive disorders, preterm, PPROMs, macrosomia, low birth weight, and fetal distress</w:t>
            </w:r>
            <w:r>
              <w:rPr>
                <w:rFonts w:hint="eastAsia" w:ascii="Calibri" w:hAnsi="Calibri" w:eastAsia="Times New Roman" w:cs="Calibri"/>
                <w:color w:val="000000" w:themeColor="text1"/>
                <w14:textFill>
                  <w14:solidFill>
                    <w14:schemeClr w14:val="tx1"/>
                  </w14:solidFill>
                </w14:textFill>
              </w:rPr>
              <w:t xml:space="preserve"> </w:t>
            </w:r>
            <w:r>
              <w:rPr>
                <w:rFonts w:ascii="Calibri" w:hAnsi="Calibri" w:eastAsia="Times New Roman" w:cs="Calibri"/>
                <w:color w:val="000000" w:themeColor="text1"/>
                <w14:textFill>
                  <w14:solidFill>
                    <w14:schemeClr w14:val="tx1"/>
                  </w14:solidFill>
                </w14:textFill>
              </w:rPr>
              <w:t>(-)</w:t>
            </w:r>
          </w:p>
          <w:p w14:paraId="0F33BB60">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Premature delivery</w:t>
            </w:r>
            <w:bookmarkStart w:id="23" w:name="OLE_LINK52"/>
            <w:r>
              <w:rPr>
                <w:rFonts w:ascii="Calibri" w:hAnsi="Calibri" w:eastAsia="Times New Roman" w:cs="Calibri"/>
                <w:color w:val="000000" w:themeColor="text1"/>
                <w14:textFill>
                  <w14:solidFill>
                    <w14:schemeClr w14:val="tx1"/>
                  </w14:solidFill>
                </w14:textFill>
              </w:rPr>
              <w:t>↑</w:t>
            </w:r>
            <w:bookmarkEnd w:id="23"/>
          </w:p>
        </w:tc>
      </w:tr>
      <w:tr w14:paraId="6EB1B805">
        <w:trPr>
          <w:wBefore w:w="0" w:type="auto"/>
          <w:trHeight w:val="295" w:hRule="atLeast"/>
        </w:trPr>
        <w:tc>
          <w:tcPr>
            <w:tcW w:w="1379" w:type="dxa"/>
            <w:tcBorders>
              <w:bottom w:val="single" w:color="auto" w:sz="4" w:space="0"/>
            </w:tcBorders>
          </w:tcPr>
          <w:p w14:paraId="2151E34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Qian et al. (2024)</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{"citationID":"a1dfpbr2443","properties":{"formattedCitation":"\\super 13\\nosupersub{}","plainCitation":"13","noteIndex":0},"citationItems":[{"id":12578,"uris":["http://zotero.org/users/15404663/items/FFZACY85"],"itemData":{"id":12578,"type":"article-journal","abstract":"BACKGROUND: To investigate the association between gestational diabetes mellitus (GDM) without subsequent overt diabetes and long-term all-cause and cardiac  mortality. METHODS: This prospective cohort study included 10,327 women (weighted  population: 132,332,187) with a pregnancy history from the National Health and  Nutrition Examination Survey (2007 to 2018). Participants were divided into three  groups (GDM alone, overt diabetes, and no diabetes). Mortality data was linked  from the National Death Index up to December 31, 2019. Multivariable Cox  regression analysis was performed to examine the association between GDM alone  and overt diabetes with all-cause mortality and cardiac mortality. Data analysis  was performed from October 2022 to April 2023. RESULTS: Among the participants,  510 (weighted 5.3%) had GDM alone and 1862 (weighted 14.1%) had overt diabetes.  Over a median follow-up period of 6.7 years (69,063 person-years), there were 758  deaths. The GDM group did not show an increased risk of all-cause mortality  (hazard ratio [HR] 0.67; 95% CI, 0.25-1.84), while the overt diabetes group had a  significantly higher risk (HR 1.95; 95% CI, 1.62-2.35). Similarly, the GDM group  did not exhibit an elevated risk of cardiac mortality (HR 1.48; 95% CI,  0.50-4.39), whereas the overt diabetes group had a significantly higher risk (HR  2.37; 95% CI, 1.69-3.32). Furthermore, sensitivity analysis focusing on women  aged 50 or above showed that the HR of GDM history for all-cause mortality was  1.14 (95% CI, 0.33-3.95) and the HR for cardiac mortality was 1.74 (95% CI,  0.49-6.20). CONCLUSIONS: GDM alone was not associated with an increased risk of  all-cause and cardiac mortality, while overt diabetes was significantly  associated with both types of mortality.","container-title":"Cardiovascular Diabetology","DOI":"10.1186/s12933-024-02131-3","ISSN":"1475-2840","issue":"1","journalAbbreviation":"Cardiovasc. Diabetol.","language":"en","license":"© 2024. The Author(s).","note":"publisher-place: England\nPMID: 38302966 \nPMCID: PMC10835835\nTLDR: GDM alone was not associated with an increased risk of all-cause and cardiac mortality, while overt diabetes was significantly associated with both types of mortality.\ntitleTranslation: </w:instrText>
            </w:r>
            <w:r>
              <w:rPr>
                <w:rFonts w:hint="eastAsia" w:ascii="微软雅黑" w:hAnsi="微软雅黑" w:eastAsia="微软雅黑" w:cs="微软雅黑"/>
                <w:color w:val="000000" w:themeColor="text1"/>
                <w14:textFill>
                  <w14:solidFill>
                    <w14:schemeClr w14:val="tx1"/>
                  </w14:solidFill>
                </w14:textFill>
              </w:rPr>
              <w:instrText xml:space="preserve">妊娠期糖尿病与长期全因和心脏死亡风险：一项前瞻性队列研究。</w:instrText>
            </w:r>
            <w:r>
              <w:rPr>
                <w:rFonts w:ascii="Calibri" w:hAnsi="Calibri" w:eastAsia="Times New Roman" w:cs="Calibri"/>
                <w:color w:val="000000" w:themeColor="text1"/>
                <w14:textFill>
                  <w14:solidFill>
                    <w14:schemeClr w14:val="tx1"/>
                  </w14:solidFill>
                </w14:textFill>
              </w:rPr>
              <w:instrText xml:space="preserve">","page":"47","title":"Gestational diabetes mellitus and risk of long-term all-cause and cardiac mortality: a prospective cohort study.","volume":"23","author":[{"family":"Ying","given":"Qian"},{"family":"Xu","given":"Yao"},{"family":"Zhang","given":"Ziyi"},{"family":"Cai","given":"Luyi"},{"family":"Zhao","given":"Yan"},{"family":"Jin","given":"Liping"}],"issued":{"date-parts":[["2024",2,1]]},"citation-key":"yingGestationalDiabetesMellitus2024"}}],"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13</w:t>
            </w:r>
            <w:r>
              <w:rPr>
                <w:rFonts w:ascii="Calibri" w:hAnsi="Calibri" w:eastAsia="Times New Roman" w:cs="Calibri"/>
                <w:color w:val="000000" w:themeColor="text1"/>
                <w14:textFill>
                  <w14:solidFill>
                    <w14:schemeClr w14:val="tx1"/>
                  </w14:solidFill>
                </w14:textFill>
              </w:rPr>
              <w:fldChar w:fldCharType="end"/>
            </w:r>
          </w:p>
        </w:tc>
        <w:tc>
          <w:tcPr>
            <w:tcW w:w="1076" w:type="dxa"/>
            <w:tcBorders>
              <w:bottom w:val="single" w:color="auto" w:sz="4" w:space="0"/>
            </w:tcBorders>
          </w:tcPr>
          <w:p w14:paraId="5D89F4C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USA</w:t>
            </w:r>
          </w:p>
        </w:tc>
        <w:tc>
          <w:tcPr>
            <w:tcW w:w="4808" w:type="dxa"/>
            <w:tcBorders>
              <w:bottom w:val="single" w:color="auto" w:sz="4" w:space="0"/>
            </w:tcBorders>
          </w:tcPr>
          <w:p w14:paraId="1081A25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(n = 510) and control (n = 7</w:t>
            </w:r>
            <w:r>
              <w:rPr>
                <w:rFonts w:eastAsia="Times New Roman"/>
                <w:color w:val="000000" w:themeColor="text1"/>
                <w14:textFill>
                  <w14:solidFill>
                    <w14:schemeClr w14:val="tx1"/>
                  </w14:solidFill>
                </w14:textFill>
              </w:rPr>
              <w:t>,</w:t>
            </w:r>
            <w:r>
              <w:rPr>
                <w:rFonts w:ascii="Calibri" w:hAnsi="Calibri" w:eastAsia="Times New Roman" w:cs="Calibri"/>
                <w:color w:val="000000" w:themeColor="text1"/>
                <w14:textFill>
                  <w14:solidFill>
                    <w14:schemeClr w14:val="tx1"/>
                  </w14:solidFill>
                </w14:textFill>
              </w:rPr>
              <w:t>955)</w:t>
            </w:r>
          </w:p>
        </w:tc>
        <w:tc>
          <w:tcPr>
            <w:tcW w:w="6465" w:type="dxa"/>
            <w:tcBorders>
              <w:bottom w:val="single" w:color="auto" w:sz="4" w:space="0"/>
            </w:tcBorders>
          </w:tcPr>
          <w:p w14:paraId="583E723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All-cause and cardiac mortality</w:t>
            </w:r>
            <w:r>
              <w:rPr>
                <w:rFonts w:hint="eastAsia" w:ascii="Calibri" w:hAnsi="Calibri" w:eastAsia="Times New Roman" w:cs="Calibri"/>
                <w:color w:val="000000" w:themeColor="text1"/>
                <w14:textFill>
                  <w14:solidFill>
                    <w14:schemeClr w14:val="tx1"/>
                  </w14:solidFill>
                </w14:textFill>
              </w:rPr>
              <w:t xml:space="preserve"> </w:t>
            </w:r>
            <w:bookmarkStart w:id="24" w:name="OLE_LINK13"/>
            <w:r>
              <w:rPr>
                <w:rFonts w:ascii="Calibri" w:hAnsi="Calibri" w:eastAsia="Times New Roman" w:cs="Calibri"/>
                <w:color w:val="000000" w:themeColor="text1"/>
                <w14:textFill>
                  <w14:solidFill>
                    <w14:schemeClr w14:val="tx1"/>
                  </w14:solidFill>
                </w14:textFill>
              </w:rPr>
              <w:t>(-)</w:t>
            </w:r>
            <w:bookmarkEnd w:id="24"/>
          </w:p>
        </w:tc>
      </w:tr>
    </w:tbl>
    <w:p w14:paraId="32ED8F8E">
      <w:pPr>
        <w:spacing w:line="360" w:lineRule="auto"/>
        <w:rPr>
          <w:color w:val="000000" w:themeColor="text1"/>
          <w14:textFill>
            <w14:solidFill>
              <w14:schemeClr w14:val="tx1"/>
            </w14:solidFill>
          </w14:textFill>
        </w:rPr>
        <w:sectPr>
          <w:pgSz w:w="16838" w:h="11906" w:orient="landscape"/>
          <w:pgMar w:top="1803" w:right="1440" w:bottom="1803" w:left="1440" w:header="851" w:footer="992" w:gutter="0"/>
          <w:lnNumType w:countBy="1" w:restart="continuous"/>
          <w:cols w:space="0" w:num="1"/>
          <w:docGrid w:type="lines" w:linePitch="332" w:charSpace="0"/>
        </w:sectPr>
      </w:pPr>
      <w:r>
        <w:rPr>
          <w:rFonts w:ascii="Calibri" w:hAnsi="Calibri" w:cs="Calibri"/>
          <w:color w:val="000000" w:themeColor="text1"/>
          <w14:textFill>
            <w14:solidFill>
              <w14:schemeClr w14:val="tx1"/>
            </w14:solidFill>
          </w14:textFill>
        </w:rPr>
        <w:t>I</w:t>
      </w:r>
      <w:r>
        <w:rPr>
          <w:rFonts w:ascii="Calibri" w:hAnsi="Calibri" w:cs="Calibri"/>
          <w:color w:val="000000" w:themeColor="text1"/>
          <w:shd w:val="clear" w:color="auto" w:fill="FFFFFF"/>
          <w14:textFill>
            <w14:solidFill>
              <w14:schemeClr w14:val="tx1"/>
            </w14:solidFill>
          </w14:textFill>
        </w:rPr>
        <w:t>n vitro fertilization and embryo transfer (IVF-ET)</w:t>
      </w:r>
      <w:r>
        <w:t xml:space="preserve">; </w:t>
      </w:r>
      <w:r>
        <w:rPr>
          <w:rFonts w:ascii="Calibri" w:hAnsi="Calibri" w:cs="Calibri"/>
          <w:color w:val="000000" w:themeColor="text1"/>
          <w:shd w:val="clear" w:color="auto" w:fill="FFFFFF"/>
          <w14:textFill>
            <w14:solidFill>
              <w14:schemeClr w14:val="tx1"/>
            </w14:solidFill>
          </w14:textFill>
        </w:rPr>
        <w:t>SGA, small-for-gestational-age; LGA, large-for-gestational-age; PPROMs, prelabor rupture of membranes; (-)</w:t>
      </w:r>
      <w:r>
        <w:rPr>
          <w:rFonts w:hint="eastAsia" w:ascii="Calibri" w:hAnsi="Calibri" w:cs="Calibri"/>
          <w:color w:val="000000" w:themeColor="text1"/>
          <w:shd w:val="clear" w:color="auto" w:fill="FFFFFF"/>
          <w14:textFill>
            <w14:solidFill>
              <w14:schemeClr w14:val="tx1"/>
            </w14:solidFill>
          </w14:textFill>
        </w:rPr>
        <w:t xml:space="preserve"> </w:t>
      </w:r>
      <w:r>
        <w:rPr>
          <w:rFonts w:ascii="Calibri" w:hAnsi="Calibri" w:cs="Calibri"/>
          <w:color w:val="000000" w:themeColor="text1"/>
          <w:shd w:val="clear" w:color="auto" w:fill="FFFFFF"/>
          <w14:textFill>
            <w14:solidFill>
              <w14:schemeClr w14:val="tx1"/>
            </w14:solidFill>
          </w14:textFill>
        </w:rPr>
        <w:t>means negative</w:t>
      </w:r>
    </w:p>
    <w:bookmarkEnd w:id="3"/>
    <w:p w14:paraId="5EA8F81A">
      <w:pPr>
        <w:spacing w:line="360" w:lineRule="auto"/>
        <w:rPr>
          <w:rFonts w:ascii="Calibri" w:hAnsi="Calibri" w:cs="Calibri"/>
          <w:b/>
          <w:bCs/>
          <w:color w:val="000000" w:themeColor="text1"/>
          <w14:textFill>
            <w14:solidFill>
              <w14:schemeClr w14:val="tx1"/>
            </w14:solidFill>
          </w14:textFill>
        </w:rPr>
      </w:pPr>
      <w:r>
        <w:rPr>
          <w:rFonts w:ascii="Calibri" w:hAnsi="Calibri" w:cs="Calibri"/>
          <w:b/>
          <w:bCs/>
          <w:color w:val="000000" w:themeColor="text1"/>
          <w14:textFill>
            <w14:solidFill>
              <w14:schemeClr w14:val="tx1"/>
            </w14:solidFill>
          </w14:textFill>
        </w:rPr>
        <w:t>Table S</w:t>
      </w:r>
      <w:r>
        <w:rPr>
          <w:rFonts w:hint="eastAsia" w:ascii="Calibri" w:hAnsi="Calibri" w:cs="Calibri"/>
          <w:b/>
          <w:bCs/>
          <w:color w:val="000000" w:themeColor="text1"/>
          <w14:textFill>
            <w14:solidFill>
              <w14:schemeClr w14:val="tx1"/>
            </w14:solidFill>
          </w14:textFill>
        </w:rPr>
        <w:t>2</w:t>
      </w:r>
      <w:r>
        <w:rPr>
          <w:rFonts w:ascii="Calibri" w:hAnsi="Calibri" w:cs="Calibri"/>
          <w:b/>
          <w:bCs/>
          <w:color w:val="000000" w:themeColor="text1"/>
          <w14:textFill>
            <w14:solidFill>
              <w14:schemeClr w14:val="tx1"/>
            </w14:solidFill>
          </w14:textFill>
        </w:rPr>
        <w:t>.</w:t>
      </w:r>
      <w:r>
        <w:rPr>
          <w:rFonts w:hint="eastAsia" w:ascii="Calibri" w:hAnsi="Calibri" w:cs="Calibri"/>
          <w:b/>
          <w:bCs/>
          <w:color w:val="000000" w:themeColor="text1"/>
          <w14:textFill>
            <w14:solidFill>
              <w14:schemeClr w14:val="tx1"/>
            </w14:solidFill>
          </w14:textFill>
        </w:rPr>
        <w:t xml:space="preserve"> </w:t>
      </w:r>
      <w:bookmarkStart w:id="25" w:name="OLE_LINK5"/>
      <w:r>
        <w:rPr>
          <w:rFonts w:ascii="Calibri" w:hAnsi="Calibri" w:cs="Calibri"/>
          <w:b/>
          <w:bCs/>
          <w:color w:val="000000" w:themeColor="text1"/>
          <w14:textFill>
            <w14:solidFill>
              <w14:schemeClr w14:val="tx1"/>
            </w14:solidFill>
          </w14:textFill>
        </w:rPr>
        <w:t>Risk factors of GDM</w:t>
      </w:r>
      <w:bookmarkEnd w:id="25"/>
      <w:r>
        <w:rPr>
          <w:rFonts w:ascii="Calibri" w:hAnsi="Calibri" w:cs="Calibri"/>
          <w:b/>
          <w:bCs/>
          <w:color w:val="000000" w:themeColor="text1"/>
          <w14:textFill>
            <w14:solidFill>
              <w14:schemeClr w14:val="tx1"/>
            </w14:solidFill>
          </w14:textFill>
        </w:rPr>
        <w:t xml:space="preserve"> and SCH reported in the recent five years of research</w:t>
      </w:r>
    </w:p>
    <w:tbl>
      <w:tblPr>
        <w:tblStyle w:val="19"/>
        <w:tblW w:w="140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67"/>
        <w:gridCol w:w="2975"/>
        <w:gridCol w:w="2363"/>
        <w:gridCol w:w="5046"/>
        <w:gridCol w:w="1445"/>
      </w:tblGrid>
      <w:tr w14:paraId="06EBDC82">
        <w:trPr>
          <w:wBefore w:w="0" w:type="auto"/>
          <w:trHeight w:val="316" w:hRule="atLeast"/>
        </w:trPr>
        <w:tc>
          <w:tcPr>
            <w:tcW w:w="2267" w:type="dxa"/>
            <w:tcBorders>
              <w:top w:val="single" w:color="auto" w:sz="4" w:space="0"/>
              <w:bottom w:val="nil"/>
            </w:tcBorders>
          </w:tcPr>
          <w:p w14:paraId="1342DC28">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Author</w:t>
            </w:r>
          </w:p>
        </w:tc>
        <w:tc>
          <w:tcPr>
            <w:tcW w:w="2975" w:type="dxa"/>
            <w:tcBorders>
              <w:top w:val="single" w:color="auto" w:sz="4" w:space="0"/>
              <w:bottom w:val="nil"/>
            </w:tcBorders>
          </w:tcPr>
          <w:p w14:paraId="0704B4C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Exposure</w:t>
            </w:r>
          </w:p>
        </w:tc>
        <w:tc>
          <w:tcPr>
            <w:tcW w:w="2363" w:type="dxa"/>
            <w:tcBorders>
              <w:top w:val="single" w:color="auto" w:sz="4" w:space="0"/>
              <w:bottom w:val="nil"/>
            </w:tcBorders>
          </w:tcPr>
          <w:p w14:paraId="5A985D1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group(s)</w:t>
            </w:r>
          </w:p>
        </w:tc>
        <w:tc>
          <w:tcPr>
            <w:tcW w:w="5046" w:type="dxa"/>
            <w:tcBorders>
              <w:top w:val="single" w:color="auto" w:sz="4" w:space="0"/>
              <w:bottom w:val="nil"/>
            </w:tcBorders>
          </w:tcPr>
          <w:p w14:paraId="2237D53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Risk factors</w:t>
            </w:r>
          </w:p>
        </w:tc>
        <w:tc>
          <w:tcPr>
            <w:tcW w:w="1445" w:type="dxa"/>
            <w:tcBorders>
              <w:top w:val="single" w:color="auto" w:sz="4" w:space="0"/>
              <w:bottom w:val="nil"/>
            </w:tcBorders>
          </w:tcPr>
          <w:p w14:paraId="52FB1F48">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shd w:val="clear" w:color="auto" w:fill="FFFFFF"/>
                <w14:textFill>
                  <w14:solidFill>
                    <w14:schemeClr w14:val="tx1"/>
                  </w14:solidFill>
                </w14:textFill>
              </w:rPr>
              <w:t>Location</w:t>
            </w:r>
          </w:p>
        </w:tc>
      </w:tr>
      <w:tr w14:paraId="01804018">
        <w:trPr>
          <w:wBefore w:w="0" w:type="auto"/>
          <w:trHeight w:val="1644" w:hRule="atLeast"/>
        </w:trPr>
        <w:tc>
          <w:tcPr>
            <w:tcW w:w="2267" w:type="dxa"/>
            <w:tcBorders>
              <w:top w:val="nil"/>
            </w:tcBorders>
          </w:tcPr>
          <w:p w14:paraId="2177286B">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Iwama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{"citationID":"XGXPOldc","properties":{"formattedCitation":"\\super 3\\nosupersub{}","plainCitation":"3","noteIndex":0},"citationItems":[{"id":14607,"uris":["http://zotero.org/users/15404663/items/RNYRY4Q7"],"itemData":{"id":14607,"type":"article-journal","abstract":"AIM: To elucidate risk factors associated with adverse perinatal outcomes in early-gestational diabetes mellitus (GDM). MATERIALS AND METHODS: A dataset of  385 early-GDM cases from a prospective cohort was analyzed. Early-GDM was  diagnosed if one or more of the following criteria were met: fasting plasma  glucose (PG) levels of 92-125 mg/dL, 1-h PG levels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180 mg/dL, and 2-h PG levels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153 mg/dL during a 75-g oral glucose tolerance test before 20 weeks of  gestation. Multivariate analysis was used to examine associations between  candidate risk factors and a composite outcome of maternal and neonatal adverse  events. RESULTS: Pre-pregnancy overweight/obesity (pre-pregnancy body mass index  [BMI]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25.0 kg/m(2)) was significantly associated with a higher risk of the  composite outcome compared with normal weight (pre-pregnancy BMI of  18.5-24.9 kg/m(2)), an adjusted risk ratio (aRR) of 1.44 (95% confidence interval  [CI]: 1.08-1.93), and an adjusted risk difference (aRD) of 13.6% (95% CI:  2.6-24.6%). Compared with fasting PG levels below 92 mg/dL, levels between 95 and  125 mg/dL were associated with a significantly higher risk of the composite  outcome, with an aRR and aRD of 1.42 (95% CI: 1.01-1.99) and 12.9% (95% CI:  0.3-25.5%), respectively. CONCLUSIONS: Early-GDM, combined with pre-pregnancy  overweight/obesity and/or fasting PG levels of 95-125 mg/dL, is associated with a  higher risk of adverse perinatal outcomes and should be prioritized for  intervention.","container-title":"Journal of Diabetes Investigation","DOI":"10.1111/jdi.14411","ISSN":"2040-1124 2040-1116","issue":"4","journalAbbreviation":"J. Diabetes Investig.","language":"en","license":"© 2025 The Author(s). Journal of Diabetes Investigation published by Asian Association for the Study of Diabetes (AASD) and John Wiley &amp; Sons Australia,  Ltd.","note":"publisher-place: Japan\nPMID: 39856811 \nPMCID: PMC11970313\ntitleTranslation: </w:instrText>
            </w:r>
            <w:r>
              <w:rPr>
                <w:rFonts w:hint="eastAsia" w:ascii="微软雅黑" w:hAnsi="微软雅黑" w:eastAsia="微软雅黑" w:cs="微软雅黑"/>
                <w:color w:val="000000" w:themeColor="text1"/>
                <w14:textFill>
                  <w14:solidFill>
                    <w14:schemeClr w14:val="tx1"/>
                  </w14:solidFill>
                </w14:textFill>
              </w:rPr>
              <w:instrText xml:space="preserve">孕妇超重</w:instrText>
            </w:r>
            <w:r>
              <w:rPr>
                <w:rFonts w:ascii="Calibri" w:hAnsi="Calibri" w:eastAsia="Times New Roman" w:cs="Calibri"/>
                <w:color w:val="000000" w:themeColor="text1"/>
                <w14:textFill>
                  <w14:solidFill>
                    <w14:schemeClr w14:val="tx1"/>
                  </w14:solidFill>
                </w14:textFill>
              </w:rPr>
              <w:instrText xml:space="preserve">/</w:instrText>
            </w:r>
            <w:r>
              <w:rPr>
                <w:rFonts w:hint="eastAsia" w:ascii="微软雅黑" w:hAnsi="微软雅黑" w:eastAsia="微软雅黑" w:cs="微软雅黑"/>
                <w:color w:val="000000" w:themeColor="text1"/>
                <w14:textFill>
                  <w14:solidFill>
                    <w14:schemeClr w14:val="tx1"/>
                  </w14:solidFill>
                </w14:textFill>
              </w:rPr>
              <w:instrText xml:space="preserve">肥胖和高空腹血糖对早期妊娠糖尿病围产期不良结局的影响</w:instrText>
            </w:r>
            <w:r>
              <w:rPr>
                <w:rFonts w:ascii="Calibri" w:hAnsi="Calibri" w:eastAsia="Times New Roman" w:cs="Calibri"/>
                <w:color w:val="000000" w:themeColor="text1"/>
                <w14:textFill>
                  <w14:solidFill>
                    <w14:schemeClr w14:val="tx1"/>
                  </w14:solidFill>
                </w14:textFill>
              </w:rPr>
              <w:instrText xml:space="preserve">","page":"744-754","title":"Impact of maternal overweight/obesity and high fasting plasma glucose on adverse perinatal outcomes in early gestational diabetes mellitus","volume":"16","author":[{"family":"Iwama","given":"Noriyuki"},{"family":"Yokoyama","given":"Maki"},{"family":"Yamashita","given":"Hiroshi"},{"family":"Miyakoshi","given":"Kei"},{"family":"Yasuhi","given":"Ichiro"},{"family":"Kawasaki","given":"Maki"},{"family":"Arata","given":"Naoko"},{"family":"Sato","given":"Shiori"},{"family":"Iimura","given":"Yuko"},{"family":"Masako","given":"Waguri"},{"family":"Kawaguchi","given":"Haruna"},{"family":"Masaoka","given":"Naoki"},{"family":"Nakajima","given":"Yoshiyuki"},{"family":"Hiramatsu","given":"Yuji"},{"family":"Sugiyama","given":"Takashi"}],"issued":{"date-parts":[["2025",4]]},"citation-key":"iwamaImpactMaternalOverweight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3</w:t>
            </w:r>
            <w:r>
              <w:rPr>
                <w:rFonts w:ascii="Calibri" w:hAnsi="Calibri" w:eastAsia="Times New Roman" w:cs="Calibri"/>
                <w:color w:val="000000" w:themeColor="text1"/>
                <w14:textFill>
                  <w14:solidFill>
                    <w14:schemeClr w14:val="tx1"/>
                  </w14:solidFill>
                </w14:textFill>
              </w:rPr>
              <w:fldChar w:fldCharType="end"/>
            </w:r>
          </w:p>
        </w:tc>
        <w:tc>
          <w:tcPr>
            <w:tcW w:w="2975" w:type="dxa"/>
            <w:tcBorders>
              <w:top w:val="nil"/>
            </w:tcBorders>
          </w:tcPr>
          <w:p w14:paraId="7356456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Weight and/or FPG</w:t>
            </w:r>
          </w:p>
        </w:tc>
        <w:tc>
          <w:tcPr>
            <w:tcW w:w="2363" w:type="dxa"/>
            <w:tcBorders>
              <w:top w:val="nil"/>
            </w:tcBorders>
          </w:tcPr>
          <w:p w14:paraId="4FB11A3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Early GDM</w:t>
            </w:r>
          </w:p>
          <w:p w14:paraId="5846B639">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385)</w:t>
            </w:r>
          </w:p>
        </w:tc>
        <w:tc>
          <w:tcPr>
            <w:tcW w:w="5046" w:type="dxa"/>
            <w:tcBorders>
              <w:top w:val="nil"/>
            </w:tcBorders>
          </w:tcPr>
          <w:p w14:paraId="2BC97C2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Composite outcome↑: pre-pregnancy BMI≥25.0 kg/m</w:t>
            </w:r>
            <w:r>
              <w:rPr>
                <w:rFonts w:ascii="Calibri" w:hAnsi="Calibri" w:eastAsia="Times New Roman" w:cs="Calibri"/>
                <w:color w:val="000000" w:themeColor="text1"/>
                <w:vertAlign w:val="superscript"/>
                <w14:textFill>
                  <w14:solidFill>
                    <w14:schemeClr w14:val="tx1"/>
                  </w14:solidFill>
                </w14:textFill>
              </w:rPr>
              <w:t>2</w:t>
            </w:r>
            <w:r>
              <w:rPr>
                <w:rFonts w:ascii="Calibri" w:hAnsi="Calibri" w:eastAsia="Times New Roman" w:cs="Calibri"/>
                <w:color w:val="000000" w:themeColor="text1"/>
                <w14:textFill>
                  <w14:solidFill>
                    <w14:schemeClr w14:val="tx1"/>
                  </w14:solidFill>
                </w14:textFill>
              </w:rPr>
              <w:t xml:space="preserve"> (aRR 1.44) and FPG levels between 95 and 125 mg/dL (aRR 1.42)</w:t>
            </w:r>
          </w:p>
        </w:tc>
        <w:tc>
          <w:tcPr>
            <w:tcW w:w="1445" w:type="dxa"/>
            <w:tcBorders>
              <w:top w:val="nil"/>
            </w:tcBorders>
          </w:tcPr>
          <w:p w14:paraId="6BADB18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Japan</w:t>
            </w:r>
          </w:p>
        </w:tc>
      </w:tr>
      <w:tr w14:paraId="10A72BE0">
        <w:trPr>
          <w:wBefore w:w="0" w:type="auto"/>
          <w:trHeight w:val="2134" w:hRule="atLeast"/>
        </w:trPr>
        <w:tc>
          <w:tcPr>
            <w:tcW w:w="2267" w:type="dxa"/>
          </w:tcPr>
          <w:p w14:paraId="3027871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Tagami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{"citationID":"weshd4xs","properties":{"formattedCitation":"\\super 14\\nosupersub{}","plainCitation":"14","noteIndex":0},"citationItems":[{"id":14608,"uris":["http://zotero.org/users/15404663/items/GMBNKN3L"],"itemData":{"id":14608,"type":"article-journal","abstract":"AIMS: This study investigated the association between maternal age and early and late gestational diabetes mellitus (GDM). METHODS: In total, 72,270 pregnant  women were included in this prospective birth cohort study. Associations between  maternal age and early GDM (diagnosed at &lt;24 gestational weeks) and late GDM  (diagnosed at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24 gestational weeks) were evaluated using a multinomial logistic  regression model with possible confounding factors. The reference category was  maternal age of 30-34.9 years. RESULTS: Higher maternal age was associated with  higher odds of early and late GDM (P-value for trend &lt;0.0001 and &lt;0.0001,  respectively). The adjusted odds ratios (aORs) for early GDM with maternal age of  35-39.9 years and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40 were 1.399 (95% confidence interval [CI]: 1.134-1.725) and  2.494 (95% CI: 1.828-3.402), respectively. The aORs for late GDM with maternal  age of 35-39 years and </w:instrText>
            </w:r>
            <w:r>
              <w:rPr>
                <w:rFonts w:hint="eastAsia" w:ascii="Calibri" w:hAnsi="Calibri" w:eastAsia="Times New Roman" w:cs="Calibri"/>
                <w:color w:val="000000" w:themeColor="text1"/>
                <w14:textFill>
                  <w14:solidFill>
                    <w14:schemeClr w14:val="tx1"/>
                  </w14:solidFill>
                </w14:textFill>
              </w:rPr>
              <w:instrText xml:space="preserve">≥</w:instrText>
            </w:r>
            <w:r>
              <w:rPr>
                <w:rFonts w:ascii="Calibri" w:hAnsi="Calibri" w:eastAsia="Times New Roman" w:cs="Calibri"/>
                <w:color w:val="000000" w:themeColor="text1"/>
                <w14:textFill>
                  <w14:solidFill>
                    <w14:schemeClr w14:val="tx1"/>
                  </w14:solidFill>
                </w14:textFill>
              </w:rPr>
              <w:instrText xml:space="preserve">40 were 1.603 (95% CI: 1.384-1.857) and 2.276 (95% CI:  1.798-2.881), respectively. CONCLUSIONS: Higher maternal age was associated with  an increased risk of GDM regardless of when GDM was diagnosed. The association  between maternal age and early GDM was similar to that between maternal age and  late GDM.","container-title":"Journal of Diabetes Investigation","DOI":"10.1111/jdi.14400","ISSN":"2040-1124 2040-1116","issue":"4","journalAbbreviation":"J. Diabetes Investig.","language":"en","license":"© 2025 The Author(s). Journal of Diabetes Investigation published by Asian Association for the Study of Diabetes (AASD) and John Wiley &amp; Sons Australia,  Ltd.","note":"publisher-place: Japan\nPMID: 39797691 \nPMCID: PMC11970309\ntitleTranslation: </w:instrText>
            </w:r>
            <w:r>
              <w:rPr>
                <w:rFonts w:hint="eastAsia" w:ascii="微软雅黑" w:hAnsi="微软雅黑" w:eastAsia="微软雅黑" w:cs="微软雅黑"/>
                <w:color w:val="000000" w:themeColor="text1"/>
                <w14:textFill>
                  <w14:solidFill>
                    <w14:schemeClr w14:val="tx1"/>
                  </w14:solidFill>
                </w14:textFill>
              </w:rPr>
              <w:instrText xml:space="preserve">高龄产妇是妊娠早期和晚期糖尿病的危险因素：日本环境与儿童研究</w:instrText>
            </w:r>
            <w:r>
              <w:rPr>
                <w:rFonts w:ascii="Calibri" w:hAnsi="Calibri" w:eastAsia="Times New Roman" w:cs="Calibri"/>
                <w:color w:val="000000" w:themeColor="text1"/>
                <w14:textFill>
                  <w14:solidFill>
                    <w14:schemeClr w14:val="tx1"/>
                  </w14:solidFill>
                </w14:textFill>
              </w:rPr>
              <w:instrText xml:space="preserve">","page":"735-743","title":"Advanced maternal age is a risk factor for both early and late gestational diabetes mellitus: the Japan environment and children's study","volume":"16","author":[{"family":"Tagami","given":"Kazuma"},{"family":"Iwama","given":"Noriyuki"},{"family":"Hamada","given":"Hirotaka"},{"family":"Tomita","given":"Hasumi"},{"family":"Kudo","given":"Rie"},{"family":"Kumagai","given":"Natsumi"},{"family":"Wang","given":"Hongxin"},{"family":"Izumi","given":"Seiya"},{"family":"Watanabe","given":"Zen"},{"family":"Ishikuro","given":"Mami"},{"family":"Obara","given":"Taku"},{"family":"Metoki","given":"Hirohito"},{"family":"Miura","given":"Yuichiro"},{"family":"Ota","given":"Chiharu"},{"family":"Sugiyama","given":"Takashi"},{"family":"Kuriyama","given":"Shinichi"},{"family":"Arima","given":"Takahiro"},{"family":"Yaegashi","given":"Nobuo"},{"family":"Saito","given":"Masatoshi"}],"issued":{"date-parts":[["2025",4]]},"citation-key":"tagamiAdvancedMaternalAge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14</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7776B4A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Maternal age </w:t>
            </w:r>
          </w:p>
          <w:p w14:paraId="1FFC7512">
            <w:pPr>
              <w:spacing w:line="360" w:lineRule="auto"/>
              <w:rPr>
                <w:rFonts w:ascii="Calibri" w:hAnsi="Calibri" w:eastAsia="Times New Roman" w:cs="Calibri"/>
                <w:color w:val="000000" w:themeColor="text1"/>
                <w14:textFill>
                  <w14:solidFill>
                    <w14:schemeClr w14:val="tx1"/>
                  </w14:solidFill>
                </w14:textFill>
              </w:rPr>
            </w:pPr>
          </w:p>
        </w:tc>
        <w:tc>
          <w:tcPr>
            <w:tcW w:w="2363" w:type="dxa"/>
          </w:tcPr>
          <w:p w14:paraId="3323F6E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Early GDM and/or GDM</w:t>
            </w:r>
          </w:p>
          <w:p w14:paraId="05C3BAB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72,270)</w:t>
            </w:r>
          </w:p>
        </w:tc>
        <w:tc>
          <w:tcPr>
            <w:tcW w:w="5046" w:type="dxa"/>
          </w:tcPr>
          <w:p w14:paraId="40DE93D6">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Early GDM↑: maternal age of 35-39.9 years (</w:t>
            </w:r>
            <w:bookmarkStart w:id="26" w:name="OLE_LINK12"/>
            <w:r>
              <w:rPr>
                <w:rFonts w:ascii="Calibri" w:hAnsi="Calibri" w:eastAsia="Times New Roman" w:cs="Calibri"/>
                <w:color w:val="000000" w:themeColor="text1"/>
                <w14:textFill>
                  <w14:solidFill>
                    <w14:schemeClr w14:val="tx1"/>
                  </w14:solidFill>
                </w14:textFill>
              </w:rPr>
              <w:t>aORs</w:t>
            </w:r>
            <w:bookmarkEnd w:id="26"/>
            <w:r>
              <w:rPr>
                <w:rFonts w:ascii="Calibri" w:hAnsi="Calibri" w:eastAsia="Times New Roman" w:cs="Calibri"/>
                <w:color w:val="000000" w:themeColor="text1"/>
                <w14:textFill>
                  <w14:solidFill>
                    <w14:schemeClr w14:val="tx1"/>
                  </w14:solidFill>
                </w14:textFill>
              </w:rPr>
              <w:t xml:space="preserve"> 1.40) and ≥40 years (aORs 2.50) </w:t>
            </w:r>
          </w:p>
          <w:p w14:paraId="35DA49A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Late GDM↑: maternal age of 35-39.9 years (aORs 1.60) and ≥40 years (aORs 2.80)</w:t>
            </w:r>
          </w:p>
        </w:tc>
        <w:tc>
          <w:tcPr>
            <w:tcW w:w="1445" w:type="dxa"/>
          </w:tcPr>
          <w:p w14:paraId="1248DF32">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Japan</w:t>
            </w:r>
          </w:p>
        </w:tc>
      </w:tr>
      <w:tr w14:paraId="08CD1097">
        <w:trPr>
          <w:wBefore w:w="0" w:type="auto"/>
          <w:trHeight w:val="1142" w:hRule="atLeast"/>
        </w:trPr>
        <w:tc>
          <w:tcPr>
            <w:tcW w:w="2267" w:type="dxa"/>
          </w:tcPr>
          <w:p w14:paraId="784AF86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Payandeh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{"citationID":"K9fUMczb","properties":{"formattedCitation":"\\super 15\\nosupersub{}","plainCitation":"15","noteIndex":0},"citationItems":[{"id":14609,"uris":["http://zotero.org/users/15404663/items/LLK23AZT"],"itemData":{"id":14609,"type":"article-journal","abstract":"INTRODUCTION: To examine the association between dietary inflammatory index (DII) and risk of gestational diabetes mellitus (GDM). METHODS: A prospective birth  cohort study was conducted in Iran. During the first trimester of pregnancy, food  intake was measured using a food frequency questionnaire. Each participant's DII  score was calculated, and then, the Cox proportional hazard model was used to  calculate the hazard ratio (HR) and 95% CI of GDM across the quartiles of DII. We  systematically searched the literature to conduct a meta-analysis of  observational studies (PROSPERO: CRD42022331703). To estimate the summary  relative risk for the highest versus lowest category of DII, a random-effects  meta-analysis was performed. The certainty of evidence was assessed using the  GRADE approach. RESULTS: In the prospective cohort study (n = 635 pregnant  mothers), the multivariable HRs of GDM for the third and fourth quartiles of DII  were 2.98 (95%CI: 1.98, 6.46) and 2.72 (95%CI: 1.11, 6.63), respectively. Based  on a meta-analysis of six prospective cohorts and a case-control study (1014  cases of GDM in 7027 pregnant mothers), being in the highest category of the DII  was associated with a 27% higher risk of GDM (relative risk: 1.27, 95%CI: 1.01,  1.59; I(2) = 50%; low certainty of evidence). A dose-response meta-analysis  suggested a positive monotonic association between DII and GDM risk. CONCLUSIONS:  Our prospective cohort demonstrated a positive correlation between GDM risk and  the inflammatory potential of diet in the first trimester of pregnancy. The  results need to be confirmed by larger cohort studies. CLINICAL TRIAL NUMBER: Not  applicable.","container-title":"BMC Endocrine Disorders","DOI":"10.1186/s12902-025-01852-0","ISSN":"1472-6823","issue":"1","journalAbbreviation":"BMC Endocr. Disord.","language":"en","license":"© 2025. The Author(s).","note":"publisher-place: England\nPMID: 39901152 \nPMCID: PMC11789316\nTLDR: A prospective cohort demonstrated a positive correlation between GDM risk and the inflammatory potential of diet in the first trimester of pregnancy and a dose-response meta-analysis suggested a positive monotonic association between DII and GDM risk.\ntitleTranslation: </w:instrText>
            </w:r>
            <w:r>
              <w:rPr>
                <w:rFonts w:hint="eastAsia" w:ascii="微软雅黑" w:hAnsi="微软雅黑" w:eastAsia="微软雅黑" w:cs="微软雅黑"/>
                <w:color w:val="000000" w:themeColor="text1"/>
                <w14:textFill>
                  <w14:solidFill>
                    <w14:schemeClr w14:val="tx1"/>
                  </w14:solidFill>
                </w14:textFill>
              </w:rPr>
              <w:instrText xml:space="preserve">妊娠期饮食炎症指数与妊娠期糖尿病风险之间的关系：一项前瞻性队列研究和荟萃分析</w:instrText>
            </w:r>
            <w:r>
              <w:rPr>
                <w:rFonts w:ascii="Calibri" w:hAnsi="Calibri" w:eastAsia="Times New Roman" w:cs="Calibri"/>
                <w:color w:val="000000" w:themeColor="text1"/>
                <w14:textFill>
                  <w14:solidFill>
                    <w14:schemeClr w14:val="tx1"/>
                  </w14:solidFill>
                </w14:textFill>
              </w:rPr>
              <w:instrText xml:space="preserve">","page":"29","title":"The association between the dietary inflammatory index during pregnancy and risk of gestational diabetes: a prospective cohort study and a meta-analysis","volume":"25","author":[{"family":"Payandeh","given":"Nastaran"},{"family":"Shahinfar","given":"Hossein"},{"family":"Jayedi","given":"Ahmad"},{"family":"Mirmohammadkhani","given":"Majid"},{"family":"Emadi","given":"Alireza"},{"family":"Shab-Bidar","given":"Sakineh"}],"issued":{"date-parts":[["2025",2,3]]},"citation-key":"payandehAssociationDietaryInflammatory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15</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6F27906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Dietary inflammatory index</w:t>
            </w:r>
          </w:p>
          <w:p w14:paraId="5BDCBB1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(DII)</w:t>
            </w:r>
          </w:p>
        </w:tc>
        <w:tc>
          <w:tcPr>
            <w:tcW w:w="2363" w:type="dxa"/>
          </w:tcPr>
          <w:p w14:paraId="3E01D67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and control</w:t>
            </w:r>
          </w:p>
          <w:p w14:paraId="678E6CA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635)</w:t>
            </w:r>
          </w:p>
        </w:tc>
        <w:tc>
          <w:tcPr>
            <w:tcW w:w="5046" w:type="dxa"/>
          </w:tcPr>
          <w:p w14:paraId="5DEB041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the third (HR 2.98, 95%CI 1.98-6.46) and fourth (HR 2.72, 95%CI 1.11, 6.63) quartiles of DII</w:t>
            </w:r>
          </w:p>
        </w:tc>
        <w:tc>
          <w:tcPr>
            <w:tcW w:w="1445" w:type="dxa"/>
          </w:tcPr>
          <w:p w14:paraId="1C086310">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Iran</w:t>
            </w:r>
          </w:p>
        </w:tc>
      </w:tr>
      <w:tr w14:paraId="7FDAC016">
        <w:trPr>
          <w:wBefore w:w="0" w:type="auto"/>
          <w:trHeight w:val="2134" w:hRule="atLeast"/>
        </w:trPr>
        <w:tc>
          <w:tcPr>
            <w:tcW w:w="2267" w:type="dxa"/>
          </w:tcPr>
          <w:p w14:paraId="3E02380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Talebi et al. (2025)  </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{"citationID":"XQnuYLTD","properties":{"formattedCitation":"\\super 16\\nosupersub{}","plainCitation":"16","noteIndex":0},"citationItems":[{"id":14610,"uris":["http://zotero.org/users/15404663/items/DXMFK9IR"],"itemData":{"id":14610,"type":"article-journal","abstract":"CONTEXT: Gestational diabetes mellitus (GDM) and preeclampsia (PE) are commonly observed medical complications in pregnancy. Dietary total fat and fatty acids  associated with GDM and PE risk have been examined in several epidemiological  studies. In some instances, systematic reviews and meta-analyses might provide  more accurate dietary recommendations. OBJECTIVES: This systematic review and  dose-response meta-analysis was conducted to investigate the association between  dietary total fat and fatty acids and the risk of GDM and PE. DATA SOURCES:  Research on dietary fat intake and the risk of GDM and PE was conducted through  systematic searches of the PubMed, Scopus, and Web of Science databases for  articles published up to August 19, 2023. An investigation of associations  between dietary intake of total fat and fatty acids and the risk of GDM and PE  was performed using prospective cohort study designs. RESULTS: Twenty-one  prospective cohort studies were considered eligible. Findings indicated that  higher intakes of total fat (relative risk [RR], 1.08; 95% confidence interval  [CI], 1.02-1.14), animal fat (RR, 1.56; 95%CI, 1.34-1.89), vegetable fat (RR,  1.23; 95%CI, 1.05-1.45), dietary cholesterol (RR, 1.48; 95%CI, 1.10-2.00), and  omega-3 fatty acid (RR, 1.11; 95%CI, 1.02-1.20) are associated with a greater  risk of GDM. However, no significant association was found between dietary total  fat and fatty acids and the risk of PE. Dose-response meta-analyses suggested  every 10% increment in total energy intake from total fat, 5% from animal fat, 5%  from vegetable fat, and 100 mg from cholesterol was related to 15%, 12%, 7%, 14%,  and 20% higher GDM risk, respectively. CONCLUSIONS: Overall, total fat, animal  fat, vegetable fat, dietary cholesterol, and omega-3 fatty acid consumption are  associated with a small but statistically significant increase in GDM risk.  PROTOCOL REGISTRATION: PROSPERO (CRD42023466844).","container-title":"Nutrition Reviews","DOI":"10.1093/nutrit/nuae033","ISSN":"1753-4887 0029-6643","issue":"2","journalAbbreviation":"Nutr. Rev.","language":"en","license":"© The Author(s) 2024. Published by Oxford University Press on behalf of the International Life Sciences Institute. All rights reserved. For permissions,  please e-mail: journals.permissions@oup.com.","note":"publisher-place: United States\nPMID: 38568994\nTLDR: Overall, total fat, animal fat, vegetable fat, dietary cholesterol, and omega-3 fatty acid consumption are associated with a small but statistically significant increase in GDM risk.\ntitleTranslation: </w:instrText>
            </w:r>
            <w:r>
              <w:rPr>
                <w:rFonts w:hint="eastAsia" w:ascii="微软雅黑" w:hAnsi="微软雅黑" w:eastAsia="微软雅黑" w:cs="微软雅黑"/>
                <w:color w:val="000000" w:themeColor="text1"/>
                <w14:textFill>
                  <w14:solidFill>
                    <w14:schemeClr w14:val="tx1"/>
                  </w14:solidFill>
                </w14:textFill>
              </w:rPr>
              <w:instrText xml:space="preserve">饮食脂肪摄入与妊娠糖尿病和先兆子痫的风险：前瞻性队列研究的系统综述和荟萃分析</w:instrText>
            </w:r>
            <w:r>
              <w:rPr>
                <w:rFonts w:ascii="Calibri" w:hAnsi="Calibri" w:eastAsia="Times New Roman" w:cs="Calibri"/>
                <w:color w:val="000000" w:themeColor="text1"/>
                <w14:textFill>
                  <w14:solidFill>
                    <w14:schemeClr w14:val="tx1"/>
                  </w14:solidFill>
                </w14:textFill>
              </w:rPr>
              <w:instrText xml:space="preserve">","page":"e74-e87","title":"Dietary fat intake with risk of gestational diabetes mellitus and preeclampsia: a systematic review and meta-analysis of prospective cohort studies","volume":"83","author":[{"family":"Talebi","given":"Sepide"},{"family":"Zeraattalab-Motlagh","given":"Sheida"},{"family":"Rahimlou","given":"Mehran"},{"family":"Sadeghi","given":"Erfan"},{"family":"Rashedi","given":"Minoo Hasan"},{"family":"Ghoreishy","given":"Seyed Mojtaba"},{"family":"Mohammadi","given":"Hamed"}],"issued":{"date-parts":[["2025",2,1]]},"citation-key":"talebiDietaryFatIntake2025"}}],"schema":"https://github.com/citation-style-language/schema/raw/master/csl-citation.json"}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16</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762CA089">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Dietary fat intake</w:t>
            </w:r>
          </w:p>
        </w:tc>
        <w:tc>
          <w:tcPr>
            <w:tcW w:w="2363" w:type="dxa"/>
          </w:tcPr>
          <w:p w14:paraId="29179DD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(3954 events) and PE (4,234 events)</w:t>
            </w:r>
          </w:p>
        </w:tc>
        <w:tc>
          <w:tcPr>
            <w:tcW w:w="5046" w:type="dxa"/>
          </w:tcPr>
          <w:p w14:paraId="0A0FBE97">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GDM↑: consumption of total fat (RR = 1.08), animal fat (RR = 1.56), vegetable fat (RR = 1.23), dietary cholesterol (RR = 1.48), and omega-3 fatty acid (RR = 1.11) </w:t>
            </w:r>
          </w:p>
        </w:tc>
        <w:tc>
          <w:tcPr>
            <w:tcW w:w="1445" w:type="dxa"/>
          </w:tcPr>
          <w:p w14:paraId="190F6D24">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Meta Iran</w:t>
            </w:r>
          </w:p>
        </w:tc>
      </w:tr>
      <w:tr w14:paraId="79701DCA">
        <w:trPr>
          <w:wBefore w:w="0" w:type="auto"/>
          <w:trHeight w:val="2134" w:hRule="atLeast"/>
        </w:trPr>
        <w:tc>
          <w:tcPr>
            <w:tcW w:w="2267" w:type="dxa"/>
          </w:tcPr>
          <w:p w14:paraId="06080D2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Zhao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{"citationID":"VncNM2mZ","properties":{"formattedCitation":"\\super 17\\nosupersub{}","plainCitation":"17","noteIndex":0},"citationItems":[{"id":14606,"uris":["http://zotero.org/users/15404663/items/FS8GFMAS"],"itemData":{"id":14606,"type":"article-journal","abstract":"BACKGROUND: Exposure to metals during early pregnancy may affect maternal glucose metabolism. We were aimed to assess the associations between early pregnancy  whole blood concentrations of copper (Cu), zinc (Zn), calcium (Ca), iron (Fe),  and magnesium (Mg) with GDM later in the second trimester among pregnant women in  Northwest China. METHODS: This study included 5478 first-trimester pregnant women  who participated in the birth cohort of the Northwest Women's and Children's  Hospital between July 2018 and December 2023. Metal concentrations, basic  demographic characteristics, lifestyle and behavior patterns were collected. An  oral glucose tolerance test was performed in the second trimester. A generalized  linear model was used to analyze the effects of metal concentrations on GDM. A  two-piecewise regression model was adopted to examine the threshold effect and  find out the turning point. Weighted Quantile Sum (WQS) regression was conducted  using a dataset randomly split into training and validation sets at a 4:6 ratio  to investigate the association between metal mixtures and GDM. RESULTS: Compared  to the lowest tertile, the middle (RR = 0.82, 95%CI = 0.71, 0.95) and highest  (RR = 0.84, 95%CI = 0.73, 0.97) tertiles of Ca concentrations could decrease the  risk of GDM. However, the highest tertile of Cu concentration could increase the  risk of GDM (RR = 1.18, 95%CI = 1.01, 1.39). Additionally, a non-linear  relationship between Ca concentration with GDM and FPG was observed. The risk of  GDM (RR = 0.08, 95%CI: 0.02, 0.31) and FPG (β=-0.56, 95%CI: -0.99, -0.12)  decreased with 1 unit increase in ln-transformed Ca concentration below the  turning point. However, the WQS index of maternal mixed metals was not correlated  with the incidence of GDM (RR = 1.08, 95%CI = 0.98, 1.19). CONCLUSIONS: Higher Cu  concentration during early pregnancy may increase the risk of GDM in mothers.  Increased Ca concentration may reduce the risk of GDM and lower the concentration  of FPG below the turning point. Our findings could provide an early marker for  potentially modifiable risk factors associated with maternal glucose  dysregulation during pregnancy.","container-title":"BMC Pregnancy and Childbirth","DOI":"10.1186/s12884-025-07336-2","ISSN":"1471-2393","issue":"1","journalAbbreviation":"BMC Pregnancy Childbirth","language":"en","license":"© 2025. The Author(s).","note":"publisher-place: England\nPMID: 40175910 \nPMCID: PMC11967153\nTLDR: Higher Cu concentration during early pregnancy may increase the risk of GDM in mothers and increased Ca concentration may reduce the risk of GDM and lower the concentration of FPG below the turning point.\ntitleTranslation: </w:instrText>
            </w:r>
            <w:r>
              <w:rPr>
                <w:rFonts w:hint="eastAsia" w:ascii="微软雅黑" w:hAnsi="微软雅黑" w:eastAsia="微软雅黑" w:cs="微软雅黑"/>
                <w:color w:val="000000" w:themeColor="text1"/>
                <w14:textFill>
                  <w14:solidFill>
                    <w14:schemeClr w14:val="tx1"/>
                  </w14:solidFill>
                </w14:textFill>
              </w:rPr>
              <w:instrText xml:space="preserve">基于中国西北地区出生队列的早孕期金属浓度与妊娠期糖尿病的前瞻性研究</w:instrText>
            </w:r>
            <w:r>
              <w:rPr>
                <w:rFonts w:ascii="Calibri" w:hAnsi="Calibri" w:eastAsia="Times New Roman" w:cs="Calibri"/>
                <w:color w:val="000000" w:themeColor="text1"/>
                <w14:textFill>
                  <w14:solidFill>
                    <w14:schemeClr w14:val="tx1"/>
                  </w14:solidFill>
                </w14:textFill>
              </w:rPr>
              <w:instrText xml:space="preserve">","page":"387","title":"A prospective study of early pregnancy metal concentrations and gestational diabetes mellitus based on a birth cohort in northwest China","volume":"25","author":[{"family":"Zhao","given":"Doudou"},{"family":"Chen","given":"Jie"},{"family":"Li","given":"Xiayang"},{"family":"Huang","given":"Yishuai"},{"family":"Zhang","given":"Yu"},{"family":"Zhao","given":"Fuyang"},{"family":"Liu","given":"Danmeng"},{"family":"Shan","given":"Li"},{"family":"Mi","given":"Yang"},{"family":"Shang","given":"Lei"},{"family":"Qu","given":"Pengfei"}],"issued":{"date-parts":[["2025",4,2]]},"citation-key":"zhaoProspectiveStudyEarly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17</w:t>
            </w:r>
            <w:r>
              <w:rPr>
                <w:rFonts w:ascii="Calibri" w:hAnsi="Calibri" w:eastAsia="Times New Roman" w:cs="Calibri"/>
                <w:color w:val="000000" w:themeColor="text1"/>
                <w14:textFill>
                  <w14:solidFill>
                    <w14:schemeClr w14:val="tx1"/>
                  </w14:solidFill>
                </w14:textFill>
              </w:rPr>
              <w:fldChar w:fldCharType="end"/>
            </w:r>
          </w:p>
          <w:p w14:paraId="7DEE0A27">
            <w:pPr>
              <w:spacing w:line="360" w:lineRule="auto"/>
              <w:rPr>
                <w:rFonts w:ascii="Calibri" w:hAnsi="Calibri" w:eastAsia="Times New Roman" w:cs="Calibri"/>
                <w:color w:val="000000" w:themeColor="text1"/>
                <w14:textFill>
                  <w14:solidFill>
                    <w14:schemeClr w14:val="tx1"/>
                  </w14:solidFill>
                </w14:textFill>
              </w:rPr>
            </w:pPr>
          </w:p>
        </w:tc>
        <w:tc>
          <w:tcPr>
            <w:tcW w:w="2975" w:type="dxa"/>
          </w:tcPr>
          <w:p w14:paraId="30086AB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Whole blood concentrations of copper (Cu) in first semester</w:t>
            </w:r>
          </w:p>
        </w:tc>
        <w:tc>
          <w:tcPr>
            <w:tcW w:w="2363" w:type="dxa"/>
          </w:tcPr>
          <w:p w14:paraId="4DF29B3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(n = 1262) and</w:t>
            </w:r>
          </w:p>
          <w:p w14:paraId="6F395150">
            <w:pPr>
              <w:spacing w:line="360" w:lineRule="auto"/>
              <w:rPr>
                <w:rFonts w:ascii="Calibri" w:hAnsi="Calibri" w:eastAsia="Times New Roman" w:cs="Calibri"/>
                <w:color w:val="000000" w:themeColor="text1"/>
                <w14:textFill>
                  <w14:solidFill>
                    <w14:schemeClr w14:val="tx1"/>
                  </w14:solidFill>
                </w14:textFill>
              </w:rPr>
            </w:pPr>
            <w:bookmarkStart w:id="27" w:name="OLE_LINK42"/>
            <w:r>
              <w:rPr>
                <w:rFonts w:ascii="Calibri" w:hAnsi="Calibri" w:eastAsia="Times New Roman" w:cs="Calibri"/>
                <w:color w:val="000000" w:themeColor="text1"/>
                <w14:textFill>
                  <w14:solidFill>
                    <w14:schemeClr w14:val="tx1"/>
                  </w14:solidFill>
                </w14:textFill>
              </w:rPr>
              <w:t>non-GDM</w:t>
            </w:r>
          </w:p>
          <w:bookmarkEnd w:id="27"/>
          <w:p w14:paraId="04F15D1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4216)</w:t>
            </w:r>
          </w:p>
          <w:p w14:paraId="3A8C9B36">
            <w:pPr>
              <w:spacing w:line="360" w:lineRule="auto"/>
              <w:ind w:firstLine="240" w:firstLineChars="100"/>
              <w:rPr>
                <w:rFonts w:ascii="Calibri" w:hAnsi="Calibri" w:eastAsia="Times New Roman" w:cs="Calibri"/>
                <w:color w:val="000000" w:themeColor="text1"/>
                <w14:textFill>
                  <w14:solidFill>
                    <w14:schemeClr w14:val="tx1"/>
                  </w14:solidFill>
                </w14:textFill>
              </w:rPr>
            </w:pPr>
          </w:p>
        </w:tc>
        <w:tc>
          <w:tcPr>
            <w:tcW w:w="5046" w:type="dxa"/>
          </w:tcPr>
          <w:p w14:paraId="3F2B436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GDM↑: the highest tertile of Cu concentration </w:t>
            </w:r>
            <w:bookmarkStart w:id="28" w:name="OLE_LINK44"/>
            <w:r>
              <w:rPr>
                <w:rFonts w:ascii="Calibri" w:hAnsi="Calibri" w:eastAsia="Times New Roman" w:cs="Calibri"/>
                <w:color w:val="000000" w:themeColor="text1"/>
                <w14:textFill>
                  <w14:solidFill>
                    <w14:schemeClr w14:val="tx1"/>
                  </w14:solidFill>
                </w14:textFill>
              </w:rPr>
              <w:t>(RR = 1.18, 95%CI = 1.01-1.39)</w:t>
            </w:r>
          </w:p>
          <w:bookmarkEnd w:id="28"/>
          <w:p w14:paraId="79C4B521">
            <w:pPr>
              <w:spacing w:line="360" w:lineRule="auto"/>
              <w:rPr>
                <w:rFonts w:ascii="Calibri" w:hAnsi="Calibri" w:eastAsia="Times New Roman" w:cs="Calibri"/>
                <w:color w:val="000000" w:themeColor="text1"/>
                <w14:textFill>
                  <w14:solidFill>
                    <w14:schemeClr w14:val="tx1"/>
                  </w14:solidFill>
                </w14:textFill>
              </w:rPr>
            </w:pPr>
          </w:p>
        </w:tc>
        <w:tc>
          <w:tcPr>
            <w:tcW w:w="1445" w:type="dxa"/>
          </w:tcPr>
          <w:p w14:paraId="0A65AB7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r>
      <w:tr w14:paraId="568154AB">
        <w:trPr>
          <w:wBefore w:w="0" w:type="auto"/>
          <w:trHeight w:val="1787" w:hRule="atLeast"/>
        </w:trPr>
        <w:tc>
          <w:tcPr>
            <w:tcW w:w="2267" w:type="dxa"/>
          </w:tcPr>
          <w:p w14:paraId="5D33D09B">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Hu et al. (2025)</w:t>
            </w:r>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{"citationID":"7juUglsO","properties":{"formattedCitation":"\\super 18\\nosupersub{}","plainCitation":"18","noteIndex":0},"citationItems":[{"id":14621,"uris":["http://zotero.org/users/15404663/items/4MIVBJ3X"],"itemData":{"id":14621,"type":"article-journal","abstract":"OBJECTIVE: Gestational diabetes mellitus (GDM) seriously endangers the health of pregnant women and their offspring. Early prediction and diagnosis allow timely  treatment of GDM, preventing adverse pregnancy outcomes and related diseases.  This research aims to explore the predictive significance of miR-486-3p  expression levels in diagnosing GDM in early pregnancy. METHODS: A retrospective  study was conducted by enrolling 103 subjects with GDM and 98 healthy subjects.  qRT-PCR was used to analyze the expression level of miR-486-3p. The chi-square  test and t-test were used to evaluate the differences in miR-486-3p expression  levels between the GDM and control groups. The predictive value of miR-486-3p in  early diagnosis of GDM was analyzed by receiver operating characteristic (ROC).  Potential indicators that may lead to adverse pregnancy outcomes in patients with  GDM were predicted by multivariate logistic regression analysis. RESULTS:  Downregulation of miR-486-3p expression level was observed in the GDM group  compared with healthy individuals. The predictive value of miR-486-3p for early  diagnosis of GDM was indicated by the ROC curve. The expression level of  miR-486-3p in the GDM group was negatively correlated with glycated hemoglobin  (HbA1c), fasting blood glucose (FBG), homeostasis model-insulin resistance index  (HOMA-IR), and leptin (LEP). Multivariate logistic regression analysis suggested  that miR-486-3p, HbA1c, HOMA-IR, and FBG could be regarded as adverse pregnancy  outcome risk factors in GDM subjects. CONCLUSION: miR-486-3p showed a clinical  predictive value for GDM in early pregnancy. miR-486-3p, HbA1c, HOMA-IR, and FBG  indicators can be considered adverse pregnancy outcome risk factors in GDM  patients.","container-title":"BMC Pregnancy and Childbirth","DOI":"10.1186/s12884-025-07405-6","ISSN":"1471-2393","issue":"1","journalAbbreviation":"BMC Pregnancy Childbirth","language":"en","license":"© 2025. The Author(s).","note":"publisher-place: England\nPMID: 40089727 \nPMCID: PMC11910836\ntitleTranslation: </w:instrText>
            </w:r>
            <w:r>
              <w:rPr>
                <w:rFonts w:hint="eastAsia" w:ascii="微软雅黑" w:hAnsi="微软雅黑" w:eastAsia="微软雅黑" w:cs="微软雅黑"/>
                <w:color w:val="000000" w:themeColor="text1"/>
                <w14:textFill>
                  <w14:solidFill>
                    <w14:schemeClr w14:val="tx1"/>
                  </w14:solidFill>
                </w14:textFill>
              </w:rPr>
              <w:instrText xml:space="preserve">循环</w:instrText>
            </w:r>
            <w:r>
              <w:rPr>
                <w:rFonts w:ascii="Calibri" w:hAnsi="Calibri" w:eastAsia="Times New Roman" w:cs="Calibri"/>
                <w:color w:val="000000" w:themeColor="text1"/>
                <w14:textFill>
                  <w14:solidFill>
                    <w14:schemeClr w14:val="tx1"/>
                  </w14:solidFill>
                </w14:textFill>
              </w:rPr>
              <w:instrText xml:space="preserve">miR-486-3p</w:instrText>
            </w:r>
            <w:r>
              <w:rPr>
                <w:rFonts w:hint="eastAsia" w:ascii="微软雅黑" w:hAnsi="微软雅黑" w:eastAsia="微软雅黑" w:cs="微软雅黑"/>
                <w:color w:val="000000" w:themeColor="text1"/>
                <w14:textFill>
                  <w14:solidFill>
                    <w14:schemeClr w14:val="tx1"/>
                  </w14:solidFill>
                </w14:textFill>
              </w:rPr>
              <w:instrText xml:space="preserve">作为妊娠期糖尿病诊断和不良妊娠结局预测的潜在生物标志物</w:instrText>
            </w:r>
            <w:r>
              <w:rPr>
                <w:rFonts w:ascii="Calibri" w:hAnsi="Calibri" w:eastAsia="Times New Roman" w:cs="Calibri"/>
                <w:color w:val="000000" w:themeColor="text1"/>
                <w14:textFill>
                  <w14:solidFill>
                    <w14:schemeClr w14:val="tx1"/>
                  </w14:solidFill>
                </w14:textFill>
              </w:rPr>
              <w:instrText xml:space="preserve">","page":"291","title":"Circulating miR-486-3p as a potential biomarker for the diagnosis of gestational diabetes mellitus and the prediction of adverse pregnancy outcomes","volume":"25","author":[{"family":"Hu","given":"Yaqin"},{"family":"Zeng","given":"Yukai"},{"family":"Du","given":"Xiaoshuang"},{"family":"Li","given":"Qi"},{"family":"Cao","given":"Yumei"},{"family":"Song","given":"Huihui"},{"family":"Wu","given":"Zhenlan"},{"family":"Huang","given":"Yingxuan"}],"issued":{"date-parts":[["2025",3,15]]},"citation-key":"huCirculatingMiR4863pPotential2025"}}],"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18</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27D6BEAD">
            <w:pPr>
              <w:spacing w:line="360" w:lineRule="auto"/>
              <w:rPr>
                <w:rFonts w:ascii="Calibri" w:hAnsi="Calibri" w:eastAsia="Times New Roman" w:cs="Calibri"/>
                <w:color w:val="000000" w:themeColor="text1"/>
                <w14:textFill>
                  <w14:solidFill>
                    <w14:schemeClr w14:val="tx1"/>
                  </w14:solidFill>
                </w14:textFill>
              </w:rPr>
            </w:pPr>
            <w:bookmarkStart w:id="29" w:name="OLE_LINK43"/>
            <w:r>
              <w:rPr>
                <w:rFonts w:ascii="Calibri" w:hAnsi="Calibri" w:eastAsia="Times New Roman" w:cs="Calibri"/>
                <w:color w:val="000000" w:themeColor="text1"/>
                <w14:textFill>
                  <w14:solidFill>
                    <w14:schemeClr w14:val="tx1"/>
                  </w14:solidFill>
                </w14:textFill>
              </w:rPr>
              <w:t xml:space="preserve">MiR-486-3p </w:t>
            </w:r>
            <w:bookmarkEnd w:id="29"/>
            <w:r>
              <w:rPr>
                <w:rFonts w:ascii="Calibri" w:hAnsi="Calibri" w:eastAsia="Times New Roman" w:cs="Calibri"/>
                <w:color w:val="000000" w:themeColor="text1"/>
                <w14:textFill>
                  <w14:solidFill>
                    <w14:schemeClr w14:val="tx1"/>
                  </w14:solidFill>
                </w14:textFill>
              </w:rPr>
              <w:t>expression levels during 24-28 weeks of pregnancy</w:t>
            </w:r>
          </w:p>
        </w:tc>
        <w:tc>
          <w:tcPr>
            <w:tcW w:w="2363" w:type="dxa"/>
          </w:tcPr>
          <w:p w14:paraId="745DA9B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GDM </w:t>
            </w:r>
          </w:p>
          <w:p w14:paraId="4843EA0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103) and non-GDM</w:t>
            </w:r>
          </w:p>
          <w:p w14:paraId="70750832">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98)</w:t>
            </w:r>
          </w:p>
          <w:p w14:paraId="54C84C37">
            <w:pPr>
              <w:spacing w:line="360" w:lineRule="auto"/>
              <w:rPr>
                <w:rFonts w:ascii="Calibri" w:hAnsi="Calibri" w:eastAsia="Times New Roman" w:cs="Calibri"/>
                <w:color w:val="000000" w:themeColor="text1"/>
                <w14:textFill>
                  <w14:solidFill>
                    <w14:schemeClr w14:val="tx1"/>
                  </w14:solidFill>
                </w14:textFill>
              </w:rPr>
            </w:pPr>
          </w:p>
        </w:tc>
        <w:tc>
          <w:tcPr>
            <w:tcW w:w="5046" w:type="dxa"/>
          </w:tcPr>
          <w:p w14:paraId="2320C2F5">
            <w:pPr>
              <w:spacing w:line="360" w:lineRule="auto"/>
              <w:rPr>
                <w:rFonts w:hint="default"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and miR-486-3p (AUC =</w:t>
            </w:r>
            <w:r>
              <w:rPr>
                <w:rFonts w:eastAsia="Times New Roman"/>
                <w:color w:val="000000" w:themeColor="text1"/>
                <w14:textFill>
                  <w14:solidFill>
                    <w14:schemeClr w14:val="tx1"/>
                  </w14:solidFill>
                </w14:textFill>
              </w:rPr>
              <w:t xml:space="preserve"> </w:t>
            </w:r>
            <w:r>
              <w:rPr>
                <w:rFonts w:ascii="Calibri" w:hAnsi="Calibri" w:eastAsia="Times New Roman" w:cs="Calibri"/>
                <w:color w:val="000000" w:themeColor="text1"/>
                <w14:textFill>
                  <w14:solidFill>
                    <w14:schemeClr w14:val="tx1"/>
                  </w14:solidFill>
                </w14:textFill>
              </w:rPr>
              <w:t xml:space="preserve">0.875, </w:t>
            </w:r>
            <w:r>
              <w:rPr>
                <w:rFonts w:hint="eastAsia" w:ascii="Calibri" w:hAnsi="Calibri" w:eastAsia="Times New Roman" w:cs="Calibri"/>
                <w:color w:val="000000" w:themeColor="text1"/>
                <w14:textFill>
                  <w14:solidFill>
                    <w14:schemeClr w14:val="tx1"/>
                  </w14:solidFill>
                </w14:textFill>
              </w:rPr>
              <w:t xml:space="preserve">95%CI </w:t>
            </w:r>
            <w:r>
              <w:rPr>
                <w:rFonts w:ascii="Calibri" w:hAnsi="Calibri" w:eastAsia="Times New Roman" w:cs="Calibri"/>
                <w:color w:val="000000" w:themeColor="text1"/>
                <w14:textFill>
                  <w14:solidFill>
                    <w14:schemeClr w14:val="tx1"/>
                  </w14:solidFill>
                </w14:textFill>
              </w:rPr>
              <w:t>0.828-0.923</w:t>
            </w:r>
            <w:r>
              <w:rPr>
                <w:rFonts w:eastAsia="Times New Roman"/>
                <w:color w:val="000000" w:themeColor="text1"/>
                <w14:textFill>
                  <w14:solidFill>
                    <w14:schemeClr w14:val="tx1"/>
                  </w14:solidFill>
                </w14:textFill>
              </w:rPr>
              <w:t>,</w:t>
            </w:r>
            <w:r>
              <w:rPr>
                <w:rFonts w:ascii="Calibri" w:hAnsi="Calibri" w:eastAsia="Times New Roman" w:cs="Calibri"/>
                <w:color w:val="000000" w:themeColor="text1"/>
                <w14:textFill>
                  <w14:solidFill>
                    <w14:schemeClr w14:val="tx1"/>
                  </w14:solidFill>
                </w14:textFill>
              </w:rPr>
              <w:t xml:space="preserve"> </w:t>
            </w:r>
            <w:r>
              <w:rPr>
                <w:rFonts w:ascii="Calibri" w:hAnsi="Calibri" w:eastAsia="Times New Roman" w:cs="Calibri"/>
                <w:i/>
                <w:iCs/>
                <w:color w:val="000000" w:themeColor="text1"/>
                <w14:textFill>
                  <w14:solidFill>
                    <w14:schemeClr w14:val="tx1"/>
                  </w14:solidFill>
                </w14:textFill>
              </w:rPr>
              <w:t>P</w:t>
            </w:r>
            <w:r>
              <w:rPr>
                <w:rFonts w:ascii="Calibri" w:hAnsi="Calibri" w:eastAsia="Times New Roman" w:cs="Calibri"/>
                <w:color w:val="000000" w:themeColor="text1"/>
                <w14:textFill>
                  <w14:solidFill>
                    <w14:schemeClr w14:val="tx1"/>
                  </w14:solidFill>
                </w14:textFill>
              </w:rPr>
              <w:t xml:space="preserve"> &lt; 0.0001)</w:t>
            </w:r>
          </w:p>
        </w:tc>
        <w:tc>
          <w:tcPr>
            <w:tcW w:w="1445" w:type="dxa"/>
          </w:tcPr>
          <w:p w14:paraId="3AE3F6D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China </w:t>
            </w:r>
          </w:p>
        </w:tc>
      </w:tr>
      <w:tr w14:paraId="48A45EA8">
        <w:trPr>
          <w:wBefore w:w="0" w:type="auto"/>
          <w:trHeight w:val="2134" w:hRule="atLeast"/>
        </w:trPr>
        <w:tc>
          <w:tcPr>
            <w:tcW w:w="2267" w:type="dxa"/>
          </w:tcPr>
          <w:p w14:paraId="3A9A17A9">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Yang </w:t>
            </w:r>
            <w:bookmarkStart w:id="30" w:name="_Hlk200455697"/>
            <w:r>
              <w:rPr>
                <w:rFonts w:ascii="Calibri" w:hAnsi="Calibri" w:eastAsia="Times New Roman" w:cs="Calibri"/>
                <w:color w:val="000000" w:themeColor="text1"/>
                <w14:textFill>
                  <w14:solidFill>
                    <w14:schemeClr w14:val="tx1"/>
                  </w14:solidFill>
                </w14:textFill>
              </w:rPr>
              <w:t>et al. (2023)</w:t>
            </w:r>
            <w:bookmarkEnd w:id="30"/>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{"citationID":"n0GJfW1D","properties":{"formattedCitation":"\\super 19\\nosupersub{}","plainCitation":"19","noteIndex":0},"citationItems":[{"id":14885,"uris":["http://zotero.org/users/15404663/items/JHQR4K3C"],"itemData":{"id":14885,"type":"article-journal","abstract":"Phthalates are environmental endocrine disruptors with thyroid-disrupting properties; however, the association between phthalate exposure and subclinical  hypothyroidism (SCH) during pregnancy is unknown. We recruited a study population  from a cohort of pregnant women in Beijing, China, and conducted the present  pilot case-control study of 42 SCH cases and 84 non-SCH controls matched with age  and body mass index (BMI). Serum levels of thyroid peroxidase antibody, free  thyroxine (FT(4)), thyroid-stimulating hormone (TSH), and urinary levels of ten  phthalate metabolites during early pregnancy were measured. Urinary monoethyl  phthalate (MEP) levels in SCH cases were observably higher than those in controls  (p = 0.01). Conditional logistic regression analysis revealed that  mono-(2-ethyl-5-carboxypentyl) phthalate (MECPP), MEP, mono-(2-ethyl-5-oxohexyl)  phthalate (MEOHP), and di-(2-ethylhexyl) phthalate (ΣDEHP) were significantly  associated with a higher risk of SCH during early pregnancy (adjusted odds  ratios = 1.89, 1.42, 1.81, and 1.92, respectively). Concomitantly, multiple  linear regression analysis showed that MECPP, MEOHP, and ΣDEHP were positively  associated with TSH and FT(4) × TSH in the entire study population. Bayesian  kernel machine regression analysis and stratified analysis by BMI revealed upward  tendencies in the serum levels of TSH and FT(4) × TSH. In summary, exposure to  phthalates, especially DEHP, may be associated with a higher risk of SCH during  early pregnancy, and a possible mechanism is the disruption of the  hypothalamus-pituitary-thyroid axis.","container-title":"Environmental Pollution (barking, Essex : 1987)","DOI":"10.1016/j.envpol.2023.121051","ISSN":"1873-6424 0269-7491","journalAbbreviation":"Environ. Pollut. (barking Essex : 1987)","language":"en","license":"Copyright © 2023 Elsevier Ltd. All rights reserved.","note":"publisher-place: England\nPMID: 36642176\nTLDR: Exposure to phthalates, especially DEHP, may be associated with a higher risk of SCH during early pregnancy, and a possible mechanism is the disruption of the hypothalamus-pituitary-thyroid axis.","page":"121051","title":"Associations between exposure to phthalates and subclinical hypothyroidism in pregnant women during early pregnancy: a pilot case-control study in China","volume":"320","author":[{"family":"Yang","given":"Zheng"},{"family":"Shan","given":"Danping"},{"family":"Zhang","given":"Tao"},{"family":"Li","given":"Ludi"},{"family":"Wang","given":"Shuo"},{"family":"Du","given":"Ruihu"},{"family":"Li","given":"Yingzi"},{"family":"Wu","given":"Shaowei"},{"family":"Jin","given":"Lei"},{"family":"Zhao","given":"Yi"},{"family":"Shang","given":"Xuejun"},{"family":"Wang","given":"Qi"}],"issued":{"date-parts":[["2023",3,1]]},"citation-key":"yangAssociationsExposurePhthalates2023"}}],"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19</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448A8BAE">
            <w:pPr>
              <w:spacing w:line="360" w:lineRule="auto"/>
              <w:rPr>
                <w:rFonts w:ascii="Calibri" w:hAnsi="Calibri" w:eastAsia="Times New Roman" w:cs="Calibri"/>
                <w:color w:val="000000" w:themeColor="text1"/>
                <w14:textFill>
                  <w14:solidFill>
                    <w14:schemeClr w14:val="tx1"/>
                  </w14:solidFill>
                </w14:textFill>
              </w:rPr>
            </w:pPr>
            <w:bookmarkStart w:id="31" w:name="OLE_LINK38"/>
            <w:r>
              <w:rPr>
                <w:rFonts w:ascii="Calibri" w:hAnsi="Calibri" w:eastAsia="Times New Roman" w:cs="Calibri"/>
                <w:color w:val="000000" w:themeColor="text1"/>
                <w14:textFill>
                  <w14:solidFill>
                    <w14:schemeClr w14:val="tx1"/>
                  </w14:solidFill>
                </w14:textFill>
              </w:rPr>
              <w:t>Urinary levels</w:t>
            </w:r>
            <w:bookmarkEnd w:id="31"/>
            <w:r>
              <w:rPr>
                <w:rFonts w:ascii="Calibri" w:hAnsi="Calibri" w:eastAsia="Times New Roman" w:cs="Calibri"/>
                <w:color w:val="000000" w:themeColor="text1"/>
                <w14:textFill>
                  <w14:solidFill>
                    <w14:schemeClr w14:val="tx1"/>
                  </w14:solidFill>
                </w14:textFill>
              </w:rPr>
              <w:t xml:space="preserve"> of ten phthalate metabolites during early pregnancy</w:t>
            </w:r>
          </w:p>
        </w:tc>
        <w:tc>
          <w:tcPr>
            <w:tcW w:w="2363" w:type="dxa"/>
          </w:tcPr>
          <w:p w14:paraId="121D718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(n = 42) and euthyroid (n = 84)</w:t>
            </w:r>
          </w:p>
        </w:tc>
        <w:tc>
          <w:tcPr>
            <w:tcW w:w="5046" w:type="dxa"/>
          </w:tcPr>
          <w:p w14:paraId="0E98D6F5">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w:t>
            </w:r>
            <w:bookmarkStart w:id="32" w:name="OLE_LINK53"/>
            <w:r>
              <w:rPr>
                <w:rFonts w:ascii="Calibri" w:hAnsi="Calibri" w:eastAsia="Times New Roman" w:cs="Calibri"/>
                <w:color w:val="000000" w:themeColor="text1"/>
                <w14:textFill>
                  <w14:solidFill>
                    <w14:schemeClr w14:val="tx1"/>
                  </w14:solidFill>
                </w14:textFill>
              </w:rPr>
              <w:t>↑</w:t>
            </w:r>
            <w:bookmarkEnd w:id="32"/>
            <w:r>
              <w:rPr>
                <w:rFonts w:ascii="Calibri" w:hAnsi="Calibri" w:eastAsia="Times New Roman" w:cs="Calibri"/>
                <w:color w:val="000000" w:themeColor="text1"/>
                <w14:textFill>
                  <w14:solidFill>
                    <w14:schemeClr w14:val="tx1"/>
                  </w14:solidFill>
                </w14:textFill>
              </w:rPr>
              <w:t>: urinary levels of MECPP, MEP,MEOHP, and ΣDEHP (aOR = 1.89, 1.42, 1.81, and 1.92, respectively)</w:t>
            </w:r>
          </w:p>
        </w:tc>
        <w:tc>
          <w:tcPr>
            <w:tcW w:w="1445" w:type="dxa"/>
          </w:tcPr>
          <w:p w14:paraId="187B2E1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r>
      <w:tr w14:paraId="4BA2FDAC">
        <w:trPr>
          <w:wBefore w:w="0" w:type="auto"/>
          <w:trHeight w:val="304" w:hRule="atLeast"/>
        </w:trPr>
        <w:tc>
          <w:tcPr>
            <w:tcW w:w="2267" w:type="dxa"/>
          </w:tcPr>
          <w:p w14:paraId="64D02A3F">
            <w:pPr>
              <w:spacing w:line="360" w:lineRule="auto"/>
              <w:rPr>
                <w:rFonts w:ascii="Calibri" w:hAnsi="Calibri" w:eastAsia="Times New Roman" w:cs="Calibri"/>
                <w:color w:val="000000" w:themeColor="text1"/>
                <w14:textFill>
                  <w14:solidFill>
                    <w14:schemeClr w14:val="tx1"/>
                  </w14:solidFill>
                </w14:textFill>
              </w:rPr>
            </w:pPr>
            <w:bookmarkStart w:id="33" w:name="OLE_LINK7"/>
            <w:r>
              <w:rPr>
                <w:rFonts w:ascii="Calibri" w:hAnsi="Calibri" w:eastAsia="Times New Roman" w:cs="Calibri"/>
                <w:color w:val="000000" w:themeColor="text1"/>
                <w14:textFill>
                  <w14:solidFill>
                    <w14:schemeClr w14:val="tx1"/>
                  </w14:solidFill>
                </w14:textFill>
              </w:rPr>
              <w:t>Zhang et al. (2020)</w:t>
            </w:r>
            <w:bookmarkEnd w:id="33"/>
            <w:r>
              <w:rPr>
                <w:rFonts w:ascii="Calibri" w:hAnsi="Calibri" w:eastAsia="Times New Roman" w:cs="Calibri"/>
                <w:color w:val="000000" w:themeColor="text1"/>
                <w14:textFill>
                  <w14:solidFill>
                    <w14:schemeClr w14:val="tx1"/>
                  </w14:solidFill>
                </w14:textFill>
              </w:rPr>
              <w:fldChar w:fldCharType="begin"/>
            </w:r>
            <w:r>
              <w:rPr>
                <w:rFonts w:ascii="Calibri" w:hAnsi="Calibri" w:eastAsia="Times New Roman" w:cs="Calibri"/>
                <w:color w:val="000000" w:themeColor="text1"/>
                <w14:textFill>
                  <w14:solidFill>
                    <w14:schemeClr w14:val="tx1"/>
                  </w14:solidFill>
                </w14:textFill>
              </w:rPr>
              <w:instrText xml:space="preserve"> ADDIN ZOTERO_ITEM CSL_CITATION {"citationID":"aa4m380cv6","properties":{"formattedCitation":"\\super 20\\nosupersub{}","plainCitation":"20","noteIndex":0},"citationItems":[{"id":14890,"uris":["http://zotero.org/users/15404663/items/C22ZEHY9"],"itemData":{"id":14890,"type":"article-journal","abstract":"Subclinical hypothyroidism (SCH) is a common endocrine disorder affecting women of reproductive age. Although SCH and abnormal fatty acid composition are often  associated with adverse pregnancy outcomes and metabolic syndrome later in  maternal and fetal life, the longitudinal relationship between SCH and serum  fatty acids during pregnancy has rarely been studied. Therefore, the aim of this  study was to investigate the association between SCH and maternal serum fatty  acids throughout gestation. A total of 240 women enrolled in the Complex Lipids  in Mothers and Babies (CLIMB) study in Chongqing, China were included in our  study. Clinical information and maternal serum samples were collected at three  time points during pregnancy: 11-14(th), 22-28(th), and 32-34(th) weeks of  gestation. Twenty serum fatty acids were quantified using gas chromatography-mass  spectrometry (GC-MS) analysis. A majority of the 20 serum fatty acids increased  as gestation progressed in women with a normal pregnancy and women experiencing  SCH. Levels of arachidic acid, docosahexaenoic acid, and eicosenoic acid were  significantly higher in the serum of women with SCH when compared to women with a  normal pregnancy, in the second trimester. On the other hand, the levels of  eicosadienoic acid and octadecanoic acid were significantly higher in SCH in the  third trimester. Our findings demonstrate that serum fatty acid composition  during the second and third trimesters was significantly associated with SCH in  pregnant Chinese women.","container-title":"Scientific Reports","DOI":"10.1038/s41598-020-63513-7","ISSN":"2045-2322","issue":"1","journalAbbreviation":"Sci. Rep.","language":"en","note":"publisher-place: England\nPMID: 32317737 \nPMCID: PMC7174292\nTLDR: It is demonstrated that serum fatty acid composition during the second and third trimesters was significantly associated with SCH in pregnant Chinese women.","page":"6743","title":"Five serum fatty acids are associated with subclinical hypothyroidism in a chinese pregnant population","volume":"10","author":[{"family":"Zhang","given":"Ting"},{"family":"Xia","given":"Yinyin"},{"family":"Han","given":"Ting-Li"},{"family":"Zhang","given":"Hua"},{"family":"Baker","given":"Philip N."}],"issued":{"date-parts":[["2020",4,21]]},"citation-key":"zhangFiveSerumFatty2020"}}],"schema":"https://github.com/citation-style-language/schema/raw/master/csl-citation.json"} </w:instrText>
            </w:r>
            <w:r>
              <w:rPr>
                <w:rFonts w:ascii="Calibri" w:hAnsi="Calibri" w:eastAsia="Times New Roman" w:cs="Calibri"/>
                <w:color w:val="000000" w:themeColor="text1"/>
                <w14:textFill>
                  <w14:solidFill>
                    <w14:schemeClr w14:val="tx1"/>
                  </w14:solidFill>
                </w14:textFill>
              </w:rPr>
              <w:fldChar w:fldCharType="separate"/>
            </w:r>
            <w:r>
              <w:rPr>
                <w:rFonts w:ascii="Calibri" w:hAnsi="Calibri" w:eastAsia="Times New Roman" w:cs="Calibri"/>
                <w:color w:val="000000"/>
                <w:vertAlign w:val="superscript"/>
              </w:rPr>
              <w:t>20</w:t>
            </w:r>
            <w:r>
              <w:rPr>
                <w:rFonts w:ascii="Calibri" w:hAnsi="Calibri" w:eastAsia="Times New Roman" w:cs="Calibri"/>
                <w:color w:val="000000" w:themeColor="text1"/>
                <w14:textFill>
                  <w14:solidFill>
                    <w14:schemeClr w14:val="tx1"/>
                  </w14:solidFill>
                </w14:textFill>
              </w:rPr>
              <w:fldChar w:fldCharType="end"/>
            </w:r>
          </w:p>
        </w:tc>
        <w:tc>
          <w:tcPr>
            <w:tcW w:w="2975" w:type="dxa"/>
          </w:tcPr>
          <w:p w14:paraId="20F19D3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Serum fatty acids during the second and third trimesters</w:t>
            </w:r>
          </w:p>
        </w:tc>
        <w:tc>
          <w:tcPr>
            <w:tcW w:w="2363" w:type="dxa"/>
          </w:tcPr>
          <w:p w14:paraId="7028F0CA">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(n = 18) and euthyroid (n = 222)</w:t>
            </w:r>
          </w:p>
        </w:tc>
        <w:tc>
          <w:tcPr>
            <w:tcW w:w="5046" w:type="dxa"/>
          </w:tcPr>
          <w:p w14:paraId="6DAA5CDB">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SCH↑: arachidic acid (OR = 1.29, 95% CI 1.01, 1.65), eicosenoic acid (OR = 1.11, 95% CI 1.01, 1.21), and eicosadienoic acid (OR = 1.15, 95% CI 1.03, 1.28)</w:t>
            </w:r>
          </w:p>
        </w:tc>
        <w:tc>
          <w:tcPr>
            <w:tcW w:w="1445" w:type="dxa"/>
          </w:tcPr>
          <w:p w14:paraId="3BB937EB">
            <w:pPr>
              <w:spacing w:line="360" w:lineRule="auto"/>
              <w:rPr>
                <w:rFonts w:ascii="Calibri" w:hAnsi="Calibri" w:eastAsia="Times New Roman" w:cs="Calibri"/>
                <w:color w:val="000000" w:themeColor="text1"/>
                <w14:textFill>
                  <w14:solidFill>
                    <w14:schemeClr w14:val="tx1"/>
                  </w14:solidFill>
                </w14:textFill>
              </w:rPr>
            </w:pPr>
            <w:bookmarkStart w:id="34" w:name="_Hlk200473274"/>
            <w:r>
              <w:rPr>
                <w:rFonts w:ascii="Calibri" w:hAnsi="Calibri" w:eastAsia="Times New Roman" w:cs="Calibri"/>
                <w:color w:val="000000" w:themeColor="text1"/>
                <w14:textFill>
                  <w14:solidFill>
                    <w14:schemeClr w14:val="tx1"/>
                  </w14:solidFill>
                </w14:textFill>
              </w:rPr>
              <w:t>China</w:t>
            </w:r>
            <w:bookmarkEnd w:id="34"/>
          </w:p>
        </w:tc>
      </w:tr>
      <w:tr w14:paraId="4C411BCB">
        <w:trPr>
          <w:wBefore w:w="0" w:type="auto"/>
          <w:trHeight w:val="316" w:hRule="atLeast"/>
        </w:trPr>
        <w:tc>
          <w:tcPr>
            <w:tcW w:w="2267" w:type="dxa"/>
          </w:tcPr>
          <w:p w14:paraId="46EA9E61">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Zhang </w:t>
            </w:r>
            <w:bookmarkStart w:id="35" w:name="_Hlk200473669"/>
            <w:r>
              <w:rPr>
                <w:rFonts w:ascii="Calibri" w:hAnsi="Calibri" w:eastAsia="Times New Roman" w:cs="Calibri"/>
                <w:color w:val="000000" w:themeColor="text1"/>
                <w14:textFill>
                  <w14:solidFill>
                    <w14:schemeClr w14:val="tx1"/>
                  </w14:solidFill>
                </w14:textFill>
              </w:rPr>
              <w:t xml:space="preserve">et al. </w:t>
            </w:r>
            <w:bookmarkStart w:id="36" w:name="_Hlk200473902"/>
            <w:r>
              <w:rPr>
                <w:rFonts w:ascii="Calibri" w:hAnsi="Calibri" w:eastAsia="Times New Roman" w:cs="Calibri"/>
                <w:color w:val="000000" w:themeColor="text1"/>
                <w14:textFill>
                  <w14:solidFill>
                    <w14:schemeClr w14:val="tx1"/>
                  </w14:solidFill>
                </w14:textFill>
              </w:rPr>
              <w:t>(2022</w:t>
            </w:r>
            <w:bookmarkEnd w:id="35"/>
            <w:r>
              <w:rPr>
                <w:rFonts w:ascii="Calibri" w:hAnsi="Calibri" w:eastAsia="Times New Roman" w:cs="Calibri"/>
                <w:color w:val="000000" w:themeColor="text1"/>
                <w14:textFill>
                  <w14:solidFill>
                    <w14:schemeClr w14:val="tx1"/>
                  </w14:solidFill>
                </w14:textFill>
              </w:rPr>
              <w:t>)</w:t>
            </w:r>
            <w:bookmarkEnd w:id="36"/>
            <w:r>
              <w:rPr>
                <w:rFonts w:ascii="Calibri" w:hAnsi="Calibri" w:eastAsia="Times New Roman" w:cs="Calibri"/>
                <w:color w:val="000000" w:themeColor="text1"/>
                <w:vertAlign w:val="superscript"/>
                <w14:textFill>
                  <w14:solidFill>
                    <w14:schemeClr w14:val="tx1"/>
                  </w14:solidFill>
                </w14:textFill>
              </w:rPr>
              <w:fldChar w:fldCharType="begin"/>
            </w:r>
            <w:r>
              <w:rPr>
                <w:rFonts w:ascii="Calibri" w:hAnsi="Calibri" w:eastAsia="Times New Roman" w:cs="Calibri"/>
                <w:color w:val="000000" w:themeColor="text1"/>
                <w:vertAlign w:val="superscript"/>
                <w14:textFill>
                  <w14:solidFill>
                    <w14:schemeClr w14:val="tx1"/>
                  </w14:solidFill>
                </w14:textFill>
              </w:rPr>
              <w:instrText xml:space="preserve"> ADDIN ZOTERO_ITEM CSL_CITATION {"citationID":"au3mt5k8gt","properties":{"formattedCitation":"\\super 21\\nosupersub{}","plainCitation":"21","noteIndex":0},"citationItems":[{"id":14903,"uris":["http://zotero.org/users/15404663/items/MJC4A39D"],"itemData":{"id":14903,"type":"article-journal","abstract":"Manganese (Mn) intake has been found to be linked with risk of type 2 diabetes. However, the role of Mn in the development of gestational diabetes mellitus (GDM)  remains to be investigated. This prospective study included pregnant women from  the Tongji Maternal and Child Health Cohort. A total of 2327 participants with  plasma specimens before 20 weeks were included. Among the pregnant women, 9.7%  (225/2327) were diagnosed with GDM. After adjustment, pregnant women with the  third and highest quartile of plasma Mn levels had 1.31-fold (RR, 2.31 [1.48,  3.61]) and 2.35-fold (RR, 3.35 [2.17, 5.17]) increased risk of GDM compared with  those with the lowest quartile. A 1 standard deviation increment of  ln-transformed plasma Mn levels (0.53 μg/L) was related to elevated risks of GDM  with RRs of 1.28 [1.17, 1.40]. The positive associations between Mn and GDM  remained consistent in all the subgroups. The weighted quantile sum index was  significantly related to GDM (RR, 1.60 [1.37, 1.86]). The contribution of Mn  (58.69%) to the metal mixture index was the highest related to GDM. Higher plasma  Mn levels were found to be linked with elevated fasting and 2 h post-load blood  glucose. This study revealed relationships of higher plasma Mn levels in early  pregnancy and increased risk of GDM, suggesting that though essential, excess Mn  in the body might be a potential important risk factor for GDM.","container-title":"Environmental Science &amp; Technology","DOI":"10.1021/acs.est.2c03330","ISSN":"1520-5851 0013-936X","issue":"22","journalAbbreviation":"Environ. Sci. Technol.","language":"en","note":"publisher-place: United States\nPMID: 36215214\nTLDR: Relationships of higher plasma Mn levels in early pregnancy and increased risk of GDM are revealed, suggesting that though essential, excess Mn in the body might be a potential important risk factor for GDM.","page":"15860-15868","title":"Plasma manganese levels and risk of gestational diabetes mellitus: a prospective cohort study","volume":"56","author":[{"family":"Li","given":"Qian"},{"family":"Zhang","given":"Guofu"},{"family":"Lin","given":"Lixia"},{"family":"Wu","given":"Meng"},{"family":"Cao","given":"Xiyu"},{"family":"Xiao","given":"Daxiang"},{"family":"Wang","given":"Xiaoyi"},{"family":"Zhang","given":"Xu"},{"family":"Xu","given":"Shangzhi"},{"family":"Li","given":"Xiating"},{"family":"Zhong","given":"Chunrong"},{"family":"Tan","given":"Tianqi"},{"family":"Chen","given":"Xi"},{"family":"Huang","given":"Li"},{"family":"Zhang","given":"Yu"},{"family":"Chen","given":"Renjuan"},{"family":"Zhou","given":"Xuezhen"},{"family":"Xiong","given":"Ting"},{"family":"Wu","given":"Yuanjue"},{"family":"Gao","given":"Qin"},{"family":"Wu","given":"Jiangyue"},{"family":"Li","given":"De"},{"family":"Cui","given":"Wenli"},{"family":"Tu","given":"Menghan"},{"family":"Zhang","given":"Huaqi"},{"family":"Yang","given":"Siyu"},{"family":"Liu","given":"Jin"},{"family":"Yang","given":"Hongying"},{"family":"Yang","given":"Xuefeng"},{"family":"Hao","given":"Liping"},{"family":"Yang","given":"Nianhong"}],"issued":{"date-parts":[["2022",11,15]]},"citation-key":"liPlasmaManganeseLevels2022"}}],"schema":"https://github.com/citation-style-language/schema/raw/master/csl-citation.json"} </w:instrText>
            </w:r>
            <w:r>
              <w:rPr>
                <w:rFonts w:ascii="Calibri" w:hAnsi="Calibri" w:eastAsia="Times New Roman" w:cs="Calibri"/>
                <w:color w:val="000000" w:themeColor="text1"/>
                <w:vertAlign w:val="superscript"/>
                <w14:textFill>
                  <w14:solidFill>
                    <w14:schemeClr w14:val="tx1"/>
                  </w14:solidFill>
                </w14:textFill>
              </w:rPr>
              <w:fldChar w:fldCharType="separate"/>
            </w:r>
            <w:r>
              <w:rPr>
                <w:rFonts w:ascii="Calibri" w:hAnsi="Calibri" w:eastAsia="Times New Roman" w:cs="Calibri"/>
                <w:color w:val="000000"/>
                <w:vertAlign w:val="superscript"/>
              </w:rPr>
              <w:t>21</w:t>
            </w:r>
            <w:r>
              <w:rPr>
                <w:rFonts w:ascii="Calibri" w:hAnsi="Calibri" w:eastAsia="Times New Roman" w:cs="Calibri"/>
                <w:color w:val="000000" w:themeColor="text1"/>
                <w:vertAlign w:val="superscript"/>
                <w14:textFill>
                  <w14:solidFill>
                    <w14:schemeClr w14:val="tx1"/>
                  </w14:solidFill>
                </w14:textFill>
              </w:rPr>
              <w:fldChar w:fldCharType="end"/>
            </w:r>
          </w:p>
        </w:tc>
        <w:tc>
          <w:tcPr>
            <w:tcW w:w="2975" w:type="dxa"/>
          </w:tcPr>
          <w:p w14:paraId="31CAC27C">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Plasma manganese levels</w:t>
            </w:r>
          </w:p>
          <w:p w14:paraId="4A93E151">
            <w:pPr>
              <w:spacing w:line="360" w:lineRule="auto"/>
              <w:rPr>
                <w:rFonts w:ascii="Calibri" w:hAnsi="Calibri" w:eastAsia="Times New Roman" w:cs="Calibri"/>
                <w:color w:val="000000" w:themeColor="text1"/>
                <w14:textFill>
                  <w14:solidFill>
                    <w14:schemeClr w14:val="tx1"/>
                  </w14:solidFill>
                </w14:textFill>
              </w:rPr>
            </w:pPr>
          </w:p>
        </w:tc>
        <w:tc>
          <w:tcPr>
            <w:tcW w:w="2363" w:type="dxa"/>
          </w:tcPr>
          <w:p w14:paraId="2637CB33">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GDM </w:t>
            </w:r>
          </w:p>
          <w:p w14:paraId="457B372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225) and non-GDM</w:t>
            </w:r>
          </w:p>
          <w:p w14:paraId="22FF7B8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(n = 2,102)</w:t>
            </w:r>
          </w:p>
          <w:p w14:paraId="3E33CCC1">
            <w:pPr>
              <w:spacing w:line="360" w:lineRule="auto"/>
              <w:rPr>
                <w:rFonts w:ascii="Calibri" w:hAnsi="Calibri" w:eastAsia="Times New Roman" w:cs="Calibri"/>
                <w:color w:val="000000" w:themeColor="text1"/>
                <w14:textFill>
                  <w14:solidFill>
                    <w14:schemeClr w14:val="tx1"/>
                  </w14:solidFill>
                </w14:textFill>
              </w:rPr>
            </w:pPr>
          </w:p>
        </w:tc>
        <w:tc>
          <w:tcPr>
            <w:tcW w:w="5046" w:type="dxa"/>
          </w:tcPr>
          <w:p w14:paraId="6442DD9B">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the third (RR 2.31 95% CI 1.48, 3.61) and highest quartile of plasma Mn levels (RR 3.35, 95% CI 2.17, 5.17)</w:t>
            </w:r>
          </w:p>
        </w:tc>
        <w:tc>
          <w:tcPr>
            <w:tcW w:w="1445" w:type="dxa"/>
          </w:tcPr>
          <w:p w14:paraId="743C66C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r>
      <w:tr w14:paraId="36355B67">
        <w:trPr>
          <w:wBefore w:w="0" w:type="auto"/>
          <w:trHeight w:val="316" w:hRule="atLeast"/>
        </w:trPr>
        <w:tc>
          <w:tcPr>
            <w:tcW w:w="2267" w:type="dxa"/>
            <w:tcBorders>
              <w:bottom w:val="single" w:color="auto" w:sz="4" w:space="0"/>
            </w:tcBorders>
          </w:tcPr>
          <w:p w14:paraId="78D419AD">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 xml:space="preserve">Jianxin et al. (2024) </w:t>
            </w:r>
            <w:r>
              <w:rPr>
                <w:rFonts w:ascii="Calibri" w:hAnsi="Calibri" w:eastAsia="Times New Roman" w:cs="Calibri"/>
                <w:color w:val="000000" w:themeColor="text1"/>
                <w:vertAlign w:val="superscript"/>
                <w14:textFill>
                  <w14:solidFill>
                    <w14:schemeClr w14:val="tx1"/>
                  </w14:solidFill>
                </w14:textFill>
              </w:rPr>
              <w:fldChar w:fldCharType="begin"/>
            </w:r>
            <w:r>
              <w:rPr>
                <w:rFonts w:ascii="Calibri" w:hAnsi="Calibri" w:eastAsia="Times New Roman" w:cs="Calibri"/>
                <w:color w:val="000000" w:themeColor="text1"/>
                <w:vertAlign w:val="superscript"/>
                <w14:textFill>
                  <w14:solidFill>
                    <w14:schemeClr w14:val="tx1"/>
                  </w14:solidFill>
                </w14:textFill>
              </w:rPr>
              <w:instrText xml:space="preserve"> ADDIN ZOTERO_ITEM CSL_CITATION {"citationID":"a1qvof5qnnt","properties":{"formattedCitation":"\\super 22\\nosupersub{}","plainCitation":"22","noteIndex":0},"citationItems":[{"id":14905,"uris":["http://zotero.org/users/15404663/items/93FPT6ES"],"itemData":{"id":14905,"type":"article-journal","abstract":"AIMS/HYPOTHESIS: Gestational diabetes mellitus (GDM) is the most common disorder in pregnancy; however, its underlying causes remain obscure. This study aimed to  investigate the genetic and molecular risk factors contributing to GDM and  glycaemic traits. METHODS: We collected non-invasive prenatal test (NIPT)  sequencing data along with four glycaemic and 55 biochemical measurements from  30,699 pregnant women during a 2 year period at Shenzhen Baoan Women's and  Children's Hospital in China. Genome-wide association studies (GWAS) were  conducted between genotypes derived from NIPTs and GDM diagnosis, baseline  glycaemic levels and glycaemic levels after glucose challenges. In total, 3317  women were diagnosed with GDM, while 19,565 served as control participants. The  results were replicated using two independent cohorts. Additionally, we performed  one-sample Mendelian randomisation to explore potential causal associations  between the 55 biochemical measurements and risk of GDM and glycaemic levels.  RESULTS: We identified four genetic loci significantly associated with GDM  susceptibility. Among these, MTNR1B exhibited the highest significance  (rs10830963-G, OR [95% CI] 1.57 [1.45, 1.70], p=4.42×10(-29)), although its  effect on type 2 diabetes was modest. Furthermore, we found 31 genetic loci,  including 14 novel loci, that were significantly associated with the four  glycaemic traits. The replication rates of these associations with GDM, fasting  plasma glucose levels and 0 h, 1 h and 2 h OGTT glucose levels were 4 out of 4, 6  out of 9, 10 out of 11, 5 out of 7 and 4 out of 4, respectively. Mendelian  randomisation analysis suggested that a genetically regulated higher lymphocytes  percentage and lower white blood cell count, neutrophil percentage and absolute  neutrophil count were associated with elevated glucose levels and an increased  risk of GDM. CONCLUSIONS/INTERPRETATION: Our findings provide new insights into  the genetic basis of GDM and glycaemic traits during pregnancy in an East Asian  population and highlight the potential role of inflammatory pathways in the  aetiology of GDM and variations in glycaemic levels. DATA AVAILABILITY: Summary  statistics for GDM; fasting plasma glucose; 0 h, 1 h and 2h OGTT; and the 55  biomarkers are available in the GWAS Atlas (study accession no.: GVP000001,  https://ngdc.cncb.ac.cn/gwas/browse/GVP000001) .","container-title":"Diabetologia","DOI":"10.1007/s00125-023-06065-5","ISSN":"1432-0428 0012-186X","issue":"4","journalAbbreviation":"Diabetologia","language":"en","license":"© 2024. The Author(s).","note":"publisher-place: Germany\nPMID: 38372780 \nPMCID: PMC10904416","page":"703-713","title":"Genome-wide association and mendelian randomisation analysis among 30,699 chinese pregnant women identifies novel genetic and molecular risk factors for  gestational diabetes and glycaemic traits","volume":"67","author":[{"family":"Zhen","given":"Jianxin"},{"family":"Gu","given":"Yuqin"},{"family":"Wang","given":"Piao"},{"family":"Wang","given":"Weihong"},{"family":"Bian","given":"Shengzhe"},{"family":"Huang","given":"Shujia"},{"family":"Liang","given":"Hui"},{"family":"Huang","given":"Mingxi"},{"family":"Yu","given":"Yan"},{"family":"Chen","given":"Qing"},{"family":"Jiang","given":"Guozhi"},{"family":"Qiu","given":"Xiu"},{"family":"Xiong","given":"Likuan"},{"family":"Liu","given":"Siyang"}],"issued":{"date-parts":[["2024",4]]},"citation-key":"zhenGenomewideAssociationMendelian2024a"}}],"schema":"https://github.com/citation-style-language/schema/raw/master/csl-citation.json"} </w:instrText>
            </w:r>
            <w:r>
              <w:rPr>
                <w:rFonts w:ascii="Calibri" w:hAnsi="Calibri" w:eastAsia="Times New Roman" w:cs="Calibri"/>
                <w:color w:val="000000" w:themeColor="text1"/>
                <w:vertAlign w:val="superscript"/>
                <w14:textFill>
                  <w14:solidFill>
                    <w14:schemeClr w14:val="tx1"/>
                  </w14:solidFill>
                </w14:textFill>
              </w:rPr>
              <w:fldChar w:fldCharType="separate"/>
            </w:r>
            <w:r>
              <w:rPr>
                <w:rFonts w:ascii="Calibri" w:hAnsi="Calibri" w:eastAsia="Times New Roman" w:cs="Calibri"/>
                <w:color w:val="000000"/>
                <w:vertAlign w:val="superscript"/>
              </w:rPr>
              <w:t>22</w:t>
            </w:r>
            <w:r>
              <w:rPr>
                <w:rFonts w:ascii="Calibri" w:hAnsi="Calibri" w:eastAsia="Times New Roman" w:cs="Calibri"/>
                <w:color w:val="000000" w:themeColor="text1"/>
                <w:vertAlign w:val="superscript"/>
                <w14:textFill>
                  <w14:solidFill>
                    <w14:schemeClr w14:val="tx1"/>
                  </w14:solidFill>
                </w14:textFill>
              </w:rPr>
              <w:fldChar w:fldCharType="end"/>
            </w:r>
          </w:p>
        </w:tc>
        <w:tc>
          <w:tcPr>
            <w:tcW w:w="2975" w:type="dxa"/>
            <w:tcBorders>
              <w:bottom w:val="single" w:color="auto" w:sz="4" w:space="0"/>
            </w:tcBorders>
          </w:tcPr>
          <w:p w14:paraId="7BEA075E">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Genetic and molecular traits</w:t>
            </w:r>
          </w:p>
        </w:tc>
        <w:tc>
          <w:tcPr>
            <w:tcW w:w="2363" w:type="dxa"/>
            <w:tcBorders>
              <w:bottom w:val="single" w:color="auto" w:sz="4" w:space="0"/>
            </w:tcBorders>
          </w:tcPr>
          <w:p w14:paraId="5C299536">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30,699 pregnant woman</w:t>
            </w:r>
          </w:p>
        </w:tc>
        <w:tc>
          <w:tcPr>
            <w:tcW w:w="5046" w:type="dxa"/>
            <w:tcBorders>
              <w:bottom w:val="single" w:color="auto" w:sz="4" w:space="0"/>
            </w:tcBorders>
          </w:tcPr>
          <w:p w14:paraId="424E2065">
            <w:pPr>
              <w:spacing w:line="360" w:lineRule="auto"/>
              <w:jc w:val="both"/>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GDM↑: MTNR1B (rs10830963-G, OR 1.57, 95% CI 1.45, 1.70)</w:t>
            </w:r>
          </w:p>
        </w:tc>
        <w:tc>
          <w:tcPr>
            <w:tcW w:w="1445" w:type="dxa"/>
            <w:tcBorders>
              <w:bottom w:val="single" w:color="auto" w:sz="4" w:space="0"/>
            </w:tcBorders>
          </w:tcPr>
          <w:p w14:paraId="4A3D8C1F">
            <w:pPr>
              <w:spacing w:line="360" w:lineRule="auto"/>
              <w:rPr>
                <w:rFonts w:ascii="Calibri" w:hAnsi="Calibri" w:eastAsia="Times New Roman" w:cs="Calibri"/>
                <w:color w:val="000000" w:themeColor="text1"/>
                <w14:textFill>
                  <w14:solidFill>
                    <w14:schemeClr w14:val="tx1"/>
                  </w14:solidFill>
                </w14:textFill>
              </w:rPr>
            </w:pPr>
            <w:r>
              <w:rPr>
                <w:rFonts w:ascii="Calibri" w:hAnsi="Calibri" w:eastAsia="Times New Roman" w:cs="Calibri"/>
                <w:color w:val="000000" w:themeColor="text1"/>
                <w14:textFill>
                  <w14:solidFill>
                    <w14:schemeClr w14:val="tx1"/>
                  </w14:solidFill>
                </w14:textFill>
              </w:rPr>
              <w:t>China</w:t>
            </w:r>
          </w:p>
        </w:tc>
      </w:tr>
    </w:tbl>
    <w:p w14:paraId="3800459A">
      <w:pPr>
        <w:pStyle w:val="3"/>
        <w:spacing w:line="360" w:lineRule="auto"/>
        <w:rPr>
          <w:rFonts w:ascii="Calibri" w:hAnsi="Calibri" w:cs="Calibri"/>
          <w:color w:val="000000" w:themeColor="text1"/>
          <w:sz w:val="24"/>
          <w:szCs w:val="24"/>
          <w14:textFill>
            <w14:solidFill>
              <w14:schemeClr w14:val="tx1"/>
            </w14:solidFill>
          </w14:textFill>
        </w:rPr>
      </w:pPr>
      <w:bookmarkStart w:id="37" w:name="OLE_LINK37"/>
      <w:r>
        <w:rPr>
          <w:rFonts w:ascii="Calibri" w:hAnsi="Calibri" w:cs="Calibri"/>
          <w:color w:val="000000" w:themeColor="text1"/>
          <w:sz w:val="24"/>
          <w:szCs w:val="24"/>
          <w14:textFill>
            <w14:solidFill>
              <w14:schemeClr w14:val="tx1"/>
            </w14:solidFill>
          </w14:textFill>
        </w:rPr>
        <w:t>Abbreviations: AUC</w:t>
      </w:r>
      <w:r>
        <w:rPr>
          <w:rFonts w:hint="eastAsia" w:ascii="Calibri" w:hAnsi="Calibri" w:cs="Calibri"/>
          <w:color w:val="000000" w:themeColor="text1"/>
          <w:sz w:val="24"/>
          <w:szCs w:val="24"/>
          <w14:textFill>
            <w14:solidFill>
              <w14:schemeClr w14:val="tx1"/>
            </w14:solidFill>
          </w14:textFill>
        </w:rPr>
        <w:t>,</w:t>
      </w:r>
      <w:r>
        <w:rPr>
          <w:rFonts w:ascii="Calibri" w:hAnsi="Calibri" w:cs="Calibri"/>
          <w:color w:val="000000" w:themeColor="text1"/>
          <w:sz w:val="24"/>
          <w:szCs w:val="24"/>
          <w14:textFill>
            <w14:solidFill>
              <w14:schemeClr w14:val="tx1"/>
            </w14:solidFill>
          </w14:textFill>
        </w:rPr>
        <w:t xml:space="preserve"> the area under the curve; aORs, </w:t>
      </w:r>
      <w:r>
        <w:rPr>
          <w:rFonts w:hint="eastAsia" w:ascii="Calibri" w:hAnsi="Calibri" w:cs="Calibri"/>
          <w:color w:val="000000" w:themeColor="text1"/>
          <w:sz w:val="24"/>
          <w:szCs w:val="24"/>
          <w14:textFill>
            <w14:solidFill>
              <w14:schemeClr w14:val="tx1"/>
            </w14:solidFill>
          </w14:textFill>
        </w:rPr>
        <w:t>adjusted</w:t>
      </w:r>
      <w:r>
        <w:rPr>
          <w:rFonts w:ascii="Calibri" w:hAnsi="Calibri" w:cs="Calibri"/>
          <w:color w:val="000000" w:themeColor="text1"/>
          <w:sz w:val="24"/>
          <w:szCs w:val="24"/>
          <w14:textFill>
            <w14:solidFill>
              <w14:schemeClr w14:val="tx1"/>
            </w14:solidFill>
          </w14:textFill>
        </w:rPr>
        <w:t xml:space="preserve"> odds ratio; MECPP, mono-(2-ethyl-5-carboxypentyl) phthalate</w:t>
      </w:r>
      <w:bookmarkEnd w:id="37"/>
      <w:r>
        <w:rPr>
          <w:rFonts w:ascii="Calibri" w:hAnsi="Calibri" w:cs="Calibri"/>
          <w:color w:val="000000" w:themeColor="text1"/>
          <w:sz w:val="24"/>
          <w:szCs w:val="24"/>
          <w14:textFill>
            <w14:solidFill>
              <w14:schemeClr w14:val="tx1"/>
            </w14:solidFill>
          </w14:textFill>
        </w:rPr>
        <w:t>; MEP,</w:t>
      </w:r>
      <w:r>
        <w:rPr>
          <w:rFonts w:ascii="Calibri" w:hAnsi="Calibri" w:cs="Calibri"/>
          <w:color w:val="000000" w:themeColor="text1"/>
          <w14:textFill>
            <w14:solidFill>
              <w14:schemeClr w14:val="tx1"/>
            </w14:solidFill>
          </w14:textFill>
        </w:rPr>
        <w:t xml:space="preserve"> </w:t>
      </w:r>
      <w:r>
        <w:rPr>
          <w:rFonts w:ascii="Calibri" w:hAnsi="Calibri" w:cs="Calibri"/>
          <w:color w:val="000000" w:themeColor="text1"/>
          <w:sz w:val="24"/>
          <w:szCs w:val="24"/>
          <w14:textFill>
            <w14:solidFill>
              <w14:schemeClr w14:val="tx1"/>
            </w14:solidFill>
          </w14:textFill>
        </w:rPr>
        <w:t>monoethyl phthalate; MEOHP,mono-(2-ethyl-5-oxohexyl) phthalate; ΣDEHP di-(2-ethylhexyl) phthalate (ΣDEHP); NAFLD, nonalcoholic fatty liver disease.</w:t>
      </w:r>
    </w:p>
    <w:p w14:paraId="7D7AEDD9">
      <w:pPr>
        <w:rPr>
          <w:rFonts w:ascii="Calibri" w:hAnsi="Calibri" w:cs="Calibri"/>
          <w:b/>
          <w:bCs/>
          <w:color w:val="000000" w:themeColor="text1"/>
          <w14:textFill>
            <w14:solidFill>
              <w14:schemeClr w14:val="tx1"/>
            </w14:solidFill>
          </w14:textFill>
        </w:rPr>
      </w:pPr>
      <w:r>
        <w:rPr>
          <w:rFonts w:ascii="Calibri" w:hAnsi="Calibri" w:cs="Calibri"/>
          <w:b/>
          <w:bCs/>
          <w:color w:val="000000" w:themeColor="text1"/>
          <w14:textFill>
            <w14:solidFill>
              <w14:schemeClr w14:val="tx1"/>
            </w14:solidFill>
          </w14:textFill>
        </w:rPr>
        <w:br w:type="page"/>
      </w:r>
    </w:p>
    <w:p w14:paraId="700393EB">
      <w:pPr>
        <w:pStyle w:val="2"/>
        <w:spacing w:line="360" w:lineRule="auto"/>
        <w:rPr>
          <w:rFonts w:ascii="Calibri" w:hAnsi="Calibri" w:cs="Calibri"/>
          <w:color w:val="000000" w:themeColor="text1"/>
          <w:sz w:val="24"/>
          <w:szCs w:val="24"/>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Table S3</w:t>
      </w:r>
      <w:r>
        <w:rPr>
          <w:rFonts w:ascii="Calibri" w:hAnsi="Calibri" w:cs="Calibri"/>
          <w:color w:val="000000" w:themeColor="text1"/>
          <w:sz w:val="24"/>
          <w:szCs w:val="24"/>
          <w14:textFill>
            <w14:solidFill>
              <w14:schemeClr w14:val="tx1"/>
            </w14:solidFill>
          </w14:textFill>
        </w:rPr>
        <w:t xml:space="preserve">. Visit process schedule for clinical and body measurement data </w:t>
      </w:r>
    </w:p>
    <w:tbl>
      <w:tblPr>
        <w:tblStyle w:val="80"/>
        <w:tblW w:w="11624"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10"/>
        <w:gridCol w:w="2410"/>
        <w:gridCol w:w="1984"/>
        <w:gridCol w:w="1701"/>
        <w:gridCol w:w="993"/>
        <w:gridCol w:w="567"/>
        <w:gridCol w:w="1559"/>
        <w:tblGridChange w:id="0">
          <w:tblGrid>
            <w:gridCol w:w="1429"/>
            <w:gridCol w:w="533"/>
            <w:gridCol w:w="448"/>
            <w:gridCol w:w="1129"/>
            <w:gridCol w:w="289"/>
            <w:gridCol w:w="992"/>
            <w:gridCol w:w="1984"/>
            <w:gridCol w:w="1701"/>
            <w:gridCol w:w="993"/>
            <w:gridCol w:w="2126"/>
          </w:tblGrid>
        </w:tblGridChange>
      </w:tblGrid>
      <w:tr w14:paraId="4140E72C">
        <w:trPr>
          <w:trHeight w:val="438" w:hRule="atLeast"/>
        </w:trPr>
        <w:tc>
          <w:tcPr>
            <w:tcW w:w="2410" w:type="dxa"/>
            <w:vMerge w:val="restart"/>
            <w:tcBorders>
              <w:top w:val="single" w:color="7E7E7E" w:themeColor="text1" w:themeTint="80" w:sz="4" w:space="0"/>
              <w:bottom w:val="single" w:color="7E7E7E" w:themeColor="text1" w:themeTint="80" w:sz="4" w:space="0"/>
              <w:insideH w:val="single" w:sz="4" w:space="0"/>
            </w:tcBorders>
          </w:tcPr>
          <w:p w14:paraId="544E8266">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Modality</w:t>
            </w:r>
          </w:p>
        </w:tc>
        <w:tc>
          <w:tcPr>
            <w:tcW w:w="2410" w:type="dxa"/>
            <w:tcBorders>
              <w:top w:val="single" w:color="7E7E7E" w:themeColor="text1" w:themeTint="80" w:sz="4" w:space="0"/>
              <w:bottom w:val="single" w:color="7E7E7E" w:themeColor="text1" w:themeTint="80" w:sz="4" w:space="0"/>
              <w:insideH w:val="single" w:sz="4" w:space="0"/>
            </w:tcBorders>
          </w:tcPr>
          <w:p w14:paraId="62ED6FC6">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Screening period/</w:t>
            </w:r>
          </w:p>
          <w:p w14:paraId="49E5EE46">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baseline period</w:t>
            </w:r>
          </w:p>
        </w:tc>
        <w:tc>
          <w:tcPr>
            <w:tcW w:w="6804" w:type="dxa"/>
            <w:gridSpan w:val="5"/>
            <w:tcBorders>
              <w:top w:val="single" w:color="7E7E7E" w:themeColor="text1" w:themeTint="80" w:sz="4" w:space="0"/>
              <w:bottom w:val="single" w:color="7E7E7E" w:themeColor="text1" w:themeTint="80" w:sz="4" w:space="0"/>
              <w:insideH w:val="single" w:sz="4" w:space="0"/>
            </w:tcBorders>
          </w:tcPr>
          <w:p w14:paraId="14F2CA20">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Follow-up stage</w:t>
            </w:r>
          </w:p>
        </w:tc>
      </w:tr>
      <w:tr w14:paraId="0A9865A1">
        <w:trPr>
          <w:trHeight w:val="821" w:hRule="atLeast"/>
        </w:trPr>
        <w:tc>
          <w:tcPr>
            <w:tcW w:w="2410" w:type="dxa"/>
            <w:vMerge w:val="continue"/>
            <w:tcBorders>
              <w:bottom w:val="single" w:color="auto" w:sz="4" w:space="0"/>
            </w:tcBorders>
          </w:tcPr>
          <w:p w14:paraId="71F149A4">
            <w:pPr>
              <w:spacing w:before="78" w:line="360" w:lineRule="auto"/>
              <w:jc w:val="center"/>
              <w:rPr>
                <w:rFonts w:ascii="Calibri" w:hAnsi="Calibri" w:cs="Calibri"/>
                <w:b/>
                <w:bCs/>
                <w:color w:val="000000" w:themeColor="text1"/>
                <w:spacing w:val="-14"/>
                <w14:textFill>
                  <w14:solidFill>
                    <w14:schemeClr w14:val="tx1"/>
                  </w14:solidFill>
                </w14:textFill>
              </w:rPr>
            </w:pPr>
          </w:p>
        </w:tc>
        <w:tc>
          <w:tcPr>
            <w:tcW w:w="2410" w:type="dxa"/>
            <w:tcBorders>
              <w:bottom w:val="single" w:color="auto" w:sz="4" w:space="0"/>
            </w:tcBorders>
          </w:tcPr>
          <w:p w14:paraId="50A2FD6E">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V0</w:t>
            </w:r>
          </w:p>
          <w:p w14:paraId="17E15189">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4w-10w + 6d</w:t>
            </w:r>
          </w:p>
        </w:tc>
        <w:tc>
          <w:tcPr>
            <w:tcW w:w="1984" w:type="dxa"/>
            <w:tcBorders>
              <w:bottom w:val="single" w:color="auto" w:sz="4" w:space="0"/>
            </w:tcBorders>
          </w:tcPr>
          <w:p w14:paraId="3A01AFD0">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V1</w:t>
            </w:r>
          </w:p>
          <w:p w14:paraId="6DC29D7F">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11w-13w + 6d</w:t>
            </w:r>
          </w:p>
        </w:tc>
        <w:tc>
          <w:tcPr>
            <w:tcW w:w="1701" w:type="dxa"/>
            <w:tcBorders>
              <w:bottom w:val="single" w:color="auto" w:sz="4" w:space="0"/>
            </w:tcBorders>
          </w:tcPr>
          <w:p w14:paraId="5E20F04B">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V2</w:t>
            </w:r>
          </w:p>
          <w:p w14:paraId="30AF6150">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14w-27w + 6d</w:t>
            </w:r>
          </w:p>
        </w:tc>
        <w:tc>
          <w:tcPr>
            <w:tcW w:w="1560" w:type="dxa"/>
            <w:gridSpan w:val="2"/>
            <w:tcBorders>
              <w:bottom w:val="single" w:color="auto" w:sz="4" w:space="0"/>
            </w:tcBorders>
          </w:tcPr>
          <w:p w14:paraId="5334FB66">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V3</w:t>
            </w:r>
          </w:p>
          <w:p w14:paraId="329D60E1">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28w-37w +6d</w:t>
            </w:r>
          </w:p>
        </w:tc>
        <w:tc>
          <w:tcPr>
            <w:tcW w:w="1559" w:type="dxa"/>
            <w:tcBorders>
              <w:bottom w:val="single" w:color="auto" w:sz="4" w:space="0"/>
            </w:tcBorders>
          </w:tcPr>
          <w:p w14:paraId="5A9A75FF">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V4</w:t>
            </w:r>
          </w:p>
          <w:p w14:paraId="72ADA4CE">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Delivery</w:t>
            </w:r>
          </w:p>
        </w:tc>
      </w:tr>
      <w:tr w14:paraId="1FAF374D">
        <w:trPr>
          <w:trHeight w:val="141" w:hRule="atLeast"/>
        </w:trPr>
        <w:tc>
          <w:tcPr>
            <w:tcW w:w="11624" w:type="dxa"/>
            <w:gridSpan w:val="7"/>
            <w:tcBorders>
              <w:top w:val="single" w:color="auto" w:sz="4" w:space="0"/>
            </w:tcBorders>
          </w:tcPr>
          <w:p w14:paraId="137F8F75">
            <w:pPr>
              <w:spacing w:before="78" w:line="360" w:lineRule="auto"/>
              <w:jc w:val="both"/>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Monther</w:t>
            </w:r>
          </w:p>
        </w:tc>
      </w:tr>
      <w:tr w14:paraId="3F1A7776">
        <w:trPr>
          <w:trHeight w:val="433" w:hRule="atLeast"/>
        </w:trPr>
        <w:tc>
          <w:tcPr>
            <w:tcW w:w="2410" w:type="dxa"/>
          </w:tcPr>
          <w:p w14:paraId="1FE93681">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Sign the informed consent form</w:t>
            </w:r>
            <w:r>
              <w:rPr>
                <w:rFonts w:ascii="Calibri" w:hAnsi="Calibri" w:cs="Calibri"/>
                <w:b/>
                <w:bCs/>
                <w:color w:val="000000" w:themeColor="text1"/>
                <w:spacing w:val="-14"/>
                <w:vertAlign w:val="superscript"/>
                <w14:textFill>
                  <w14:solidFill>
                    <w14:schemeClr w14:val="tx1"/>
                  </w14:solidFill>
                </w14:textFill>
              </w:rPr>
              <w:t>1</w:t>
            </w:r>
          </w:p>
        </w:tc>
        <w:tc>
          <w:tcPr>
            <w:tcW w:w="2410" w:type="dxa"/>
          </w:tcPr>
          <w:p w14:paraId="50DCA8D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3C450503">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3EDE0893">
            <w:pPr>
              <w:spacing w:before="78" w:line="360" w:lineRule="auto"/>
              <w:jc w:val="both"/>
              <w:rPr>
                <w:rFonts w:ascii="Calibri" w:hAnsi="Calibri" w:cs="Calibri"/>
                <w:color w:val="000000" w:themeColor="text1"/>
                <w:spacing w:val="-14"/>
                <w14:textFill>
                  <w14:solidFill>
                    <w14:schemeClr w14:val="tx1"/>
                  </w14:solidFill>
                </w14:textFill>
              </w:rPr>
            </w:pPr>
          </w:p>
        </w:tc>
        <w:tc>
          <w:tcPr>
            <w:tcW w:w="993" w:type="dxa"/>
          </w:tcPr>
          <w:p w14:paraId="66FBC9FD">
            <w:pPr>
              <w:spacing w:before="78" w:line="360" w:lineRule="auto"/>
              <w:jc w:val="both"/>
              <w:rPr>
                <w:rFonts w:ascii="Calibri" w:hAnsi="Calibri" w:cs="Calibri"/>
                <w:color w:val="000000" w:themeColor="text1"/>
                <w:spacing w:val="-14"/>
                <w14:textFill>
                  <w14:solidFill>
                    <w14:schemeClr w14:val="tx1"/>
                  </w14:solidFill>
                </w14:textFill>
              </w:rPr>
            </w:pPr>
          </w:p>
        </w:tc>
        <w:tc>
          <w:tcPr>
            <w:tcW w:w="2126" w:type="dxa"/>
            <w:gridSpan w:val="2"/>
          </w:tcPr>
          <w:p w14:paraId="6480DFE6">
            <w:pPr>
              <w:spacing w:before="78" w:line="360" w:lineRule="auto"/>
              <w:jc w:val="both"/>
              <w:rPr>
                <w:rFonts w:ascii="Calibri" w:hAnsi="Calibri" w:cs="Calibri"/>
                <w:color w:val="000000" w:themeColor="text1"/>
                <w:spacing w:val="-14"/>
                <w14:textFill>
                  <w14:solidFill>
                    <w14:schemeClr w14:val="tx1"/>
                  </w14:solidFill>
                </w14:textFill>
              </w:rPr>
            </w:pPr>
          </w:p>
        </w:tc>
      </w:tr>
      <w:tr w14:paraId="5AE3F601">
        <w:trPr>
          <w:trHeight w:val="405" w:hRule="atLeast"/>
        </w:trPr>
        <w:tc>
          <w:tcPr>
            <w:tcW w:w="11624" w:type="dxa"/>
            <w:gridSpan w:val="7"/>
          </w:tcPr>
          <w:p w14:paraId="7565BBD6">
            <w:pPr>
              <w:spacing w:before="78" w:line="360" w:lineRule="auto"/>
              <w:rPr>
                <w:rFonts w:ascii="Calibri" w:hAnsi="Calibri" w:cs="Calibri"/>
                <w:b/>
                <w:bCs/>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Clinical information collected</w:t>
            </w:r>
            <w:r>
              <w:rPr>
                <w:rFonts w:ascii="Calibri" w:hAnsi="Calibri" w:cs="Calibri"/>
                <w:b/>
                <w:bCs/>
                <w:color w:val="000000" w:themeColor="text1"/>
                <w:spacing w:val="-14"/>
                <w:vertAlign w:val="superscript"/>
                <w14:textFill>
                  <w14:solidFill>
                    <w14:schemeClr w14:val="tx1"/>
                  </w14:solidFill>
                </w14:textFill>
              </w:rPr>
              <w:t>2</w:t>
            </w:r>
          </w:p>
        </w:tc>
      </w:tr>
      <w:tr w14:paraId="121310A4">
        <w:trPr>
          <w:trHeight w:val="413" w:hRule="atLeast"/>
        </w:trPr>
        <w:tc>
          <w:tcPr>
            <w:tcW w:w="2410" w:type="dxa"/>
          </w:tcPr>
          <w:p w14:paraId="7661688A">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Demography</w:t>
            </w:r>
            <w:r>
              <w:rPr>
                <w:rFonts w:ascii="Calibri" w:hAnsi="Calibri" w:cs="Calibri"/>
                <w:b/>
                <w:bCs/>
                <w:color w:val="000000" w:themeColor="text1"/>
                <w:spacing w:val="-14"/>
                <w:vertAlign w:val="superscript"/>
                <w14:textFill>
                  <w14:solidFill>
                    <w14:schemeClr w14:val="tx1"/>
                  </w14:solidFill>
                </w14:textFill>
              </w:rPr>
              <w:t>3</w:t>
            </w:r>
            <w:r>
              <w:rPr>
                <w:rFonts w:ascii="Calibri" w:hAnsi="Calibri" w:cs="Calibri"/>
                <w:b/>
                <w:bCs/>
                <w:color w:val="000000" w:themeColor="text1"/>
                <w:spacing w:val="-14"/>
                <w14:textFill>
                  <w14:solidFill>
                    <w14:schemeClr w14:val="tx1"/>
                  </w14:solidFill>
                </w14:textFill>
              </w:rPr>
              <w:t xml:space="preserve"> </w:t>
            </w:r>
          </w:p>
        </w:tc>
        <w:tc>
          <w:tcPr>
            <w:tcW w:w="2410" w:type="dxa"/>
          </w:tcPr>
          <w:p w14:paraId="11F470B8">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6994FC9C">
            <w:pPr>
              <w:spacing w:before="78" w:line="360" w:lineRule="auto"/>
              <w:jc w:val="both"/>
              <w:rPr>
                <w:rFonts w:ascii="Calibri" w:hAnsi="Calibri" w:cs="Calibri"/>
                <w:color w:val="000000" w:themeColor="text1"/>
                <w:spacing w:val="-14"/>
                <w14:textFill>
                  <w14:solidFill>
                    <w14:schemeClr w14:val="tx1"/>
                  </w14:solidFill>
                </w14:textFill>
              </w:rPr>
            </w:pPr>
          </w:p>
        </w:tc>
        <w:tc>
          <w:tcPr>
            <w:tcW w:w="1701" w:type="dxa"/>
          </w:tcPr>
          <w:p w14:paraId="13ABEE9A">
            <w:pPr>
              <w:spacing w:before="78" w:line="360" w:lineRule="auto"/>
              <w:jc w:val="both"/>
              <w:rPr>
                <w:rFonts w:ascii="Calibri" w:hAnsi="Calibri" w:cs="Calibri"/>
                <w:color w:val="000000" w:themeColor="text1"/>
                <w:spacing w:val="-14"/>
                <w14:textFill>
                  <w14:solidFill>
                    <w14:schemeClr w14:val="tx1"/>
                  </w14:solidFill>
                </w14:textFill>
              </w:rPr>
            </w:pPr>
          </w:p>
        </w:tc>
        <w:tc>
          <w:tcPr>
            <w:tcW w:w="993" w:type="dxa"/>
          </w:tcPr>
          <w:p w14:paraId="45ED3C13">
            <w:pPr>
              <w:spacing w:before="78" w:line="360" w:lineRule="auto"/>
              <w:jc w:val="both"/>
              <w:rPr>
                <w:rFonts w:ascii="Calibri" w:hAnsi="Calibri" w:cs="Calibri"/>
                <w:color w:val="000000" w:themeColor="text1"/>
                <w:spacing w:val="-14"/>
                <w14:textFill>
                  <w14:solidFill>
                    <w14:schemeClr w14:val="tx1"/>
                  </w14:solidFill>
                </w14:textFill>
              </w:rPr>
            </w:pPr>
          </w:p>
        </w:tc>
        <w:tc>
          <w:tcPr>
            <w:tcW w:w="2126" w:type="dxa"/>
            <w:gridSpan w:val="2"/>
          </w:tcPr>
          <w:p w14:paraId="39266C3C">
            <w:pPr>
              <w:spacing w:before="78" w:line="360" w:lineRule="auto"/>
              <w:jc w:val="both"/>
              <w:rPr>
                <w:rFonts w:ascii="Calibri" w:hAnsi="Calibri" w:cs="Calibri"/>
                <w:color w:val="000000" w:themeColor="text1"/>
                <w:spacing w:val="-14"/>
                <w14:textFill>
                  <w14:solidFill>
                    <w14:schemeClr w14:val="tx1"/>
                  </w14:solidFill>
                </w14:textFill>
              </w:rPr>
            </w:pPr>
          </w:p>
        </w:tc>
      </w:tr>
      <w:tr w14:paraId="633900E0">
        <w:trPr>
          <w:trHeight w:val="438" w:hRule="atLeast"/>
        </w:trPr>
        <w:tc>
          <w:tcPr>
            <w:tcW w:w="2410" w:type="dxa"/>
          </w:tcPr>
          <w:p w14:paraId="00722B10">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Past history</w:t>
            </w:r>
            <w:r>
              <w:rPr>
                <w:rFonts w:ascii="Calibri" w:hAnsi="Calibri" w:cs="Calibri"/>
                <w:b/>
                <w:bCs/>
                <w:color w:val="000000" w:themeColor="text1"/>
                <w:spacing w:val="-14"/>
                <w:vertAlign w:val="superscript"/>
                <w14:textFill>
                  <w14:solidFill>
                    <w14:schemeClr w14:val="tx1"/>
                  </w14:solidFill>
                </w14:textFill>
              </w:rPr>
              <w:t>4</w:t>
            </w:r>
          </w:p>
        </w:tc>
        <w:tc>
          <w:tcPr>
            <w:tcW w:w="2410" w:type="dxa"/>
          </w:tcPr>
          <w:p w14:paraId="36EAC33B">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67506DAC">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138C507B">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08F82EDE">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342AA642">
            <w:pPr>
              <w:spacing w:before="78" w:line="360" w:lineRule="auto"/>
              <w:jc w:val="both"/>
              <w:rPr>
                <w:rFonts w:ascii="Calibri" w:hAnsi="Calibri" w:cs="Calibri"/>
                <w:color w:val="000000" w:themeColor="text1"/>
                <w:shd w:val="clear" w:color="auto" w:fill="FFFFFF"/>
                <w14:textFill>
                  <w14:solidFill>
                    <w14:schemeClr w14:val="tx1"/>
                  </w14:solidFill>
                </w14:textFill>
              </w:rPr>
            </w:pPr>
          </w:p>
        </w:tc>
      </w:tr>
      <w:tr w14:paraId="19196FAC">
        <w:trPr>
          <w:trHeight w:val="438" w:hRule="atLeast"/>
        </w:trPr>
        <w:tc>
          <w:tcPr>
            <w:tcW w:w="2410" w:type="dxa"/>
          </w:tcPr>
          <w:p w14:paraId="1CE3757B">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Personal history</w:t>
            </w:r>
            <w:r>
              <w:rPr>
                <w:rFonts w:ascii="Calibri" w:hAnsi="Calibri" w:cs="Calibri"/>
                <w:b/>
                <w:bCs/>
                <w:color w:val="000000" w:themeColor="text1"/>
                <w:spacing w:val="-14"/>
                <w:vertAlign w:val="superscript"/>
                <w14:textFill>
                  <w14:solidFill>
                    <w14:schemeClr w14:val="tx1"/>
                  </w14:solidFill>
                </w14:textFill>
              </w:rPr>
              <w:t>5</w:t>
            </w:r>
          </w:p>
        </w:tc>
        <w:tc>
          <w:tcPr>
            <w:tcW w:w="2410" w:type="dxa"/>
          </w:tcPr>
          <w:p w14:paraId="5D1EBCE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7F430113">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1701" w:type="dxa"/>
          </w:tcPr>
          <w:p w14:paraId="488D3774">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993" w:type="dxa"/>
          </w:tcPr>
          <w:p w14:paraId="6C95393A">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2126" w:type="dxa"/>
            <w:gridSpan w:val="2"/>
          </w:tcPr>
          <w:p w14:paraId="33C148FA">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r>
      <w:tr w14:paraId="05575313">
        <w:trPr>
          <w:trHeight w:val="438" w:hRule="atLeast"/>
        </w:trPr>
        <w:tc>
          <w:tcPr>
            <w:tcW w:w="2410" w:type="dxa"/>
          </w:tcPr>
          <w:p w14:paraId="7FDDCC95">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Current medical history</w:t>
            </w:r>
            <w:r>
              <w:rPr>
                <w:rFonts w:ascii="Calibri" w:hAnsi="Calibri" w:cs="Calibri"/>
                <w:b/>
                <w:bCs/>
                <w:color w:val="000000" w:themeColor="text1"/>
                <w:spacing w:val="-14"/>
                <w:vertAlign w:val="superscript"/>
                <w14:textFill>
                  <w14:solidFill>
                    <w14:schemeClr w14:val="tx1"/>
                  </w14:solidFill>
                </w14:textFill>
              </w:rPr>
              <w:t>6</w:t>
            </w:r>
          </w:p>
        </w:tc>
        <w:tc>
          <w:tcPr>
            <w:tcW w:w="2410" w:type="dxa"/>
          </w:tcPr>
          <w:p w14:paraId="7AFE6BA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0D7606A6">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03E9BB57">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38C4B273">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6CFEC84E">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2A78E597">
        <w:trPr>
          <w:trHeight w:val="438" w:hRule="atLeast"/>
        </w:trPr>
        <w:tc>
          <w:tcPr>
            <w:tcW w:w="2410" w:type="dxa"/>
          </w:tcPr>
          <w:p w14:paraId="021AA140">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Medication history</w:t>
            </w:r>
            <w:r>
              <w:rPr>
                <w:rFonts w:ascii="Calibri" w:hAnsi="Calibri" w:cs="Calibri"/>
                <w:b/>
                <w:bCs/>
                <w:color w:val="000000" w:themeColor="text1"/>
                <w:spacing w:val="-14"/>
                <w:vertAlign w:val="superscript"/>
                <w14:textFill>
                  <w14:solidFill>
                    <w14:schemeClr w14:val="tx1"/>
                  </w14:solidFill>
                </w14:textFill>
              </w:rPr>
              <w:t>7</w:t>
            </w:r>
            <w:r>
              <w:rPr>
                <w:rFonts w:ascii="Calibri" w:hAnsi="Calibri" w:cs="Calibri"/>
                <w:b/>
                <w:bCs/>
                <w:color w:val="000000" w:themeColor="text1"/>
                <w:spacing w:val="-14"/>
                <w14:textFill>
                  <w14:solidFill>
                    <w14:schemeClr w14:val="tx1"/>
                  </w14:solidFill>
                </w14:textFill>
              </w:rPr>
              <w:t xml:space="preserve"> </w:t>
            </w:r>
          </w:p>
        </w:tc>
        <w:tc>
          <w:tcPr>
            <w:tcW w:w="2410" w:type="dxa"/>
          </w:tcPr>
          <w:p w14:paraId="52A8C13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2F08E77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03A5CA6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0A53A8E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4682FEE1">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72D3D92A">
        <w:trPr>
          <w:trHeight w:val="820" w:hRule="atLeast"/>
        </w:trPr>
        <w:tc>
          <w:tcPr>
            <w:tcW w:w="2410" w:type="dxa"/>
          </w:tcPr>
          <w:p w14:paraId="7B0CA240">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Family history</w:t>
            </w:r>
            <w:r>
              <w:rPr>
                <w:rFonts w:ascii="Calibri" w:hAnsi="Calibri" w:cs="Calibri"/>
                <w:b/>
                <w:bCs/>
                <w:color w:val="000000" w:themeColor="text1"/>
                <w:spacing w:val="-14"/>
                <w:vertAlign w:val="superscript"/>
                <w14:textFill>
                  <w14:solidFill>
                    <w14:schemeClr w14:val="tx1"/>
                  </w14:solidFill>
                </w14:textFill>
              </w:rPr>
              <w:t>8</w:t>
            </w:r>
          </w:p>
        </w:tc>
        <w:tc>
          <w:tcPr>
            <w:tcW w:w="2410" w:type="dxa"/>
          </w:tcPr>
          <w:p w14:paraId="2EB96DA2">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1AAFA769">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5FB62C87">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6AD71886">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58D4B295">
            <w:pPr>
              <w:spacing w:before="78" w:line="360" w:lineRule="auto"/>
              <w:jc w:val="both"/>
              <w:rPr>
                <w:rFonts w:ascii="Calibri" w:hAnsi="Calibri" w:cs="Calibri"/>
                <w:color w:val="000000" w:themeColor="text1"/>
                <w:shd w:val="clear" w:color="auto" w:fill="FFFFFF"/>
                <w14:textFill>
                  <w14:solidFill>
                    <w14:schemeClr w14:val="tx1"/>
                  </w14:solidFill>
                </w14:textFill>
              </w:rPr>
            </w:pPr>
          </w:p>
        </w:tc>
      </w:tr>
      <w:tr w14:paraId="7837A568">
        <w:trPr>
          <w:trHeight w:val="820" w:hRule="atLeast"/>
        </w:trPr>
        <w:tc>
          <w:tcPr>
            <w:tcW w:w="2410" w:type="dxa"/>
          </w:tcPr>
          <w:p w14:paraId="443F14B2">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Childbearing history</w:t>
            </w:r>
            <w:r>
              <w:rPr>
                <w:rFonts w:ascii="Calibri" w:hAnsi="Calibri" w:cs="Calibri"/>
                <w:b/>
                <w:bCs/>
                <w:color w:val="000000" w:themeColor="text1"/>
                <w:spacing w:val="-14"/>
                <w:vertAlign w:val="superscript"/>
                <w14:textFill>
                  <w14:solidFill>
                    <w14:schemeClr w14:val="tx1"/>
                  </w14:solidFill>
                </w14:textFill>
              </w:rPr>
              <w:t>9</w:t>
            </w:r>
          </w:p>
        </w:tc>
        <w:tc>
          <w:tcPr>
            <w:tcW w:w="2410" w:type="dxa"/>
          </w:tcPr>
          <w:p w14:paraId="4309D4D8">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6B3736B0">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4039DE12">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0709342E">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072381CF">
            <w:pPr>
              <w:spacing w:before="78" w:line="360" w:lineRule="auto"/>
              <w:jc w:val="both"/>
              <w:rPr>
                <w:rFonts w:ascii="Calibri" w:hAnsi="Calibri" w:cs="Calibri"/>
                <w:color w:val="000000" w:themeColor="text1"/>
                <w:shd w:val="clear" w:color="auto" w:fill="FFFFFF"/>
                <w14:textFill>
                  <w14:solidFill>
                    <w14:schemeClr w14:val="tx1"/>
                  </w14:solidFill>
                </w14:textFill>
              </w:rPr>
            </w:pPr>
          </w:p>
        </w:tc>
      </w:tr>
      <w:tr w14:paraId="7C0BB172">
        <w:trPr>
          <w:trHeight w:val="820" w:hRule="atLeast"/>
        </w:trPr>
        <w:tc>
          <w:tcPr>
            <w:tcW w:w="2410" w:type="dxa"/>
          </w:tcPr>
          <w:p w14:paraId="09D1845D">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Inclusion criteria</w:t>
            </w:r>
          </w:p>
        </w:tc>
        <w:tc>
          <w:tcPr>
            <w:tcW w:w="2410" w:type="dxa"/>
          </w:tcPr>
          <w:p w14:paraId="45CFA7B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4A631A8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56FEC76D">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0735748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28C3D694">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518844E4">
        <w:trPr>
          <w:trHeight w:val="820" w:hRule="atLeast"/>
        </w:trPr>
        <w:tc>
          <w:tcPr>
            <w:tcW w:w="2410" w:type="dxa"/>
          </w:tcPr>
          <w:p w14:paraId="67A35FC4">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Exclusion criteria</w:t>
            </w:r>
          </w:p>
        </w:tc>
        <w:tc>
          <w:tcPr>
            <w:tcW w:w="2410" w:type="dxa"/>
          </w:tcPr>
          <w:p w14:paraId="019DDE10">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205CC8F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22961AE0">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7391C75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3A9A6E5A">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6D9EACDB">
        <w:trPr>
          <w:trHeight w:val="438" w:hRule="atLeast"/>
        </w:trPr>
        <w:tc>
          <w:tcPr>
            <w:tcW w:w="2410" w:type="dxa"/>
          </w:tcPr>
          <w:p w14:paraId="73C7C2A1">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Withdrawal criteria</w:t>
            </w:r>
          </w:p>
        </w:tc>
        <w:tc>
          <w:tcPr>
            <w:tcW w:w="2410" w:type="dxa"/>
          </w:tcPr>
          <w:p w14:paraId="51829898">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1A24CDAC">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10F2F9C8">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54652D45">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48869213">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4E41533B">
        <w:trPr>
          <w:trHeight w:val="438" w:hRule="atLeast"/>
        </w:trPr>
        <w:tc>
          <w:tcPr>
            <w:tcW w:w="11624" w:type="dxa"/>
            <w:gridSpan w:val="7"/>
          </w:tcPr>
          <w:p w14:paraId="7B5A321C">
            <w:pPr>
              <w:spacing w:before="78" w:line="360" w:lineRule="auto"/>
              <w:jc w:val="both"/>
              <w:rPr>
                <w:rFonts w:ascii="Calibri" w:hAnsi="Calibri" w:cs="Calibri"/>
                <w:b/>
                <w:bCs/>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Body measurement</w:t>
            </w:r>
          </w:p>
        </w:tc>
      </w:tr>
      <w:tr w14:paraId="366AB8D1">
        <w:trPr>
          <w:trHeight w:val="438" w:hRule="atLeast"/>
        </w:trPr>
        <w:tc>
          <w:tcPr>
            <w:tcW w:w="2410" w:type="dxa"/>
          </w:tcPr>
          <w:p w14:paraId="3B22F066">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Blood pressure</w:t>
            </w:r>
          </w:p>
        </w:tc>
        <w:tc>
          <w:tcPr>
            <w:tcW w:w="2410" w:type="dxa"/>
          </w:tcPr>
          <w:p w14:paraId="466D5D7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6CA73AA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66810642">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7ED9EEA9">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09A5BDB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4B2F358E">
        <w:trPr>
          <w:trHeight w:val="438" w:hRule="atLeast"/>
        </w:trPr>
        <w:tc>
          <w:tcPr>
            <w:tcW w:w="2410" w:type="dxa"/>
          </w:tcPr>
          <w:p w14:paraId="37410663">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Height</w:t>
            </w:r>
          </w:p>
        </w:tc>
        <w:tc>
          <w:tcPr>
            <w:tcW w:w="2410" w:type="dxa"/>
          </w:tcPr>
          <w:p w14:paraId="549EE359">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6E84AFEF">
            <w:pPr>
              <w:spacing w:before="78" w:line="360" w:lineRule="auto"/>
              <w:jc w:val="both"/>
              <w:rPr>
                <w:rFonts w:ascii="Calibri" w:hAnsi="Calibri" w:cs="Calibri"/>
                <w:color w:val="000000" w:themeColor="text1"/>
                <w:spacing w:val="-14"/>
                <w14:textFill>
                  <w14:solidFill>
                    <w14:schemeClr w14:val="tx1"/>
                  </w14:solidFill>
                </w14:textFill>
              </w:rPr>
            </w:pPr>
          </w:p>
        </w:tc>
        <w:tc>
          <w:tcPr>
            <w:tcW w:w="1701" w:type="dxa"/>
          </w:tcPr>
          <w:p w14:paraId="735E6586">
            <w:pPr>
              <w:spacing w:before="78" w:line="360" w:lineRule="auto"/>
              <w:jc w:val="both"/>
              <w:rPr>
                <w:rFonts w:ascii="Calibri" w:hAnsi="Calibri" w:cs="Calibri"/>
                <w:color w:val="000000" w:themeColor="text1"/>
                <w:spacing w:val="-14"/>
                <w14:textFill>
                  <w14:solidFill>
                    <w14:schemeClr w14:val="tx1"/>
                  </w14:solidFill>
                </w14:textFill>
              </w:rPr>
            </w:pPr>
          </w:p>
        </w:tc>
        <w:tc>
          <w:tcPr>
            <w:tcW w:w="993" w:type="dxa"/>
          </w:tcPr>
          <w:p w14:paraId="0769AFB5">
            <w:pPr>
              <w:spacing w:before="78" w:line="360" w:lineRule="auto"/>
              <w:jc w:val="both"/>
              <w:rPr>
                <w:rFonts w:ascii="Calibri" w:hAnsi="Calibri" w:cs="Calibri"/>
                <w:color w:val="000000" w:themeColor="text1"/>
                <w:spacing w:val="-14"/>
                <w14:textFill>
                  <w14:solidFill>
                    <w14:schemeClr w14:val="tx1"/>
                  </w14:solidFill>
                </w14:textFill>
              </w:rPr>
            </w:pPr>
          </w:p>
        </w:tc>
        <w:tc>
          <w:tcPr>
            <w:tcW w:w="2126" w:type="dxa"/>
            <w:gridSpan w:val="2"/>
          </w:tcPr>
          <w:p w14:paraId="7C866720">
            <w:pPr>
              <w:spacing w:before="78" w:line="360" w:lineRule="auto"/>
              <w:jc w:val="both"/>
              <w:rPr>
                <w:rFonts w:ascii="Calibri" w:hAnsi="Calibri" w:cs="Calibri"/>
                <w:color w:val="000000" w:themeColor="text1"/>
                <w:spacing w:val="-14"/>
                <w14:textFill>
                  <w14:solidFill>
                    <w14:schemeClr w14:val="tx1"/>
                  </w14:solidFill>
                </w14:textFill>
              </w:rPr>
            </w:pPr>
          </w:p>
        </w:tc>
      </w:tr>
      <w:tr w14:paraId="7BFCED61">
        <w:trPr>
          <w:trHeight w:val="438" w:hRule="atLeast"/>
        </w:trPr>
        <w:tc>
          <w:tcPr>
            <w:tcW w:w="2410" w:type="dxa"/>
          </w:tcPr>
          <w:p w14:paraId="6D2656E2">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Weight</w:t>
            </w:r>
          </w:p>
        </w:tc>
        <w:tc>
          <w:tcPr>
            <w:tcW w:w="2410" w:type="dxa"/>
          </w:tcPr>
          <w:p w14:paraId="72E0152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984" w:type="dxa"/>
          </w:tcPr>
          <w:p w14:paraId="19999A4C">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1701" w:type="dxa"/>
          </w:tcPr>
          <w:p w14:paraId="34C11094">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993" w:type="dxa"/>
          </w:tcPr>
          <w:p w14:paraId="6DA5D5BB">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26" w:type="dxa"/>
            <w:gridSpan w:val="2"/>
          </w:tcPr>
          <w:p w14:paraId="0E054A38">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6FEA12E7">
        <w:trPr>
          <w:trHeight w:val="438" w:hRule="atLeast"/>
        </w:trPr>
        <w:tc>
          <w:tcPr>
            <w:tcW w:w="11624" w:type="dxa"/>
            <w:gridSpan w:val="7"/>
          </w:tcPr>
          <w:p w14:paraId="312B946E">
            <w:pPr>
              <w:spacing w:before="78" w:line="360" w:lineRule="auto"/>
              <w:jc w:val="both"/>
              <w:rPr>
                <w:rFonts w:ascii="Calibri" w:hAnsi="Calibri" w:eastAsia="PingFang SC" w:cs="Calibri"/>
                <w:b w:val="0"/>
                <w:bCs w:val="0"/>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Newborn</w:t>
            </w:r>
          </w:p>
        </w:tc>
      </w:tr>
      <w:tr w14:paraId="7C7C978B">
        <w:trPr>
          <w:trHeight w:val="438" w:hRule="atLeast"/>
        </w:trPr>
        <w:tc>
          <w:tcPr>
            <w:tcW w:w="2410" w:type="dxa"/>
          </w:tcPr>
          <w:p w14:paraId="01E42B0C">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1 min Apgar score</w:t>
            </w:r>
            <w:r>
              <w:rPr>
                <w:rFonts w:ascii="Calibri" w:hAnsi="Calibri" w:cs="Calibri"/>
                <w:b/>
                <w:bCs/>
                <w:color w:val="000000" w:themeColor="text1"/>
                <w:spacing w:val="-14"/>
                <w:vertAlign w:val="superscript"/>
                <w14:textFill>
                  <w14:solidFill>
                    <w14:schemeClr w14:val="tx1"/>
                  </w14:solidFill>
                </w14:textFill>
              </w:rPr>
              <w:t>10</w:t>
            </w:r>
          </w:p>
        </w:tc>
        <w:tc>
          <w:tcPr>
            <w:tcW w:w="2410" w:type="dxa"/>
          </w:tcPr>
          <w:p w14:paraId="295419E4">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984" w:type="dxa"/>
          </w:tcPr>
          <w:p w14:paraId="1A7211F4">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25278B1E">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7910D0B1">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15230B7E">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4899CF46">
        <w:trPr>
          <w:trHeight w:val="438" w:hRule="atLeast"/>
        </w:trPr>
        <w:tc>
          <w:tcPr>
            <w:tcW w:w="2410" w:type="dxa"/>
          </w:tcPr>
          <w:p w14:paraId="52CEA73B">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Newborn length</w:t>
            </w:r>
          </w:p>
        </w:tc>
        <w:tc>
          <w:tcPr>
            <w:tcW w:w="2410" w:type="dxa"/>
          </w:tcPr>
          <w:p w14:paraId="5CF26650">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984" w:type="dxa"/>
          </w:tcPr>
          <w:p w14:paraId="5A4BE9C5">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2D541B2F">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0EA3B424">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3942894B">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r w14:paraId="3704633B">
        <w:trPr>
          <w:trHeight w:val="438" w:hRule="atLeast"/>
        </w:trPr>
        <w:tc>
          <w:tcPr>
            <w:tcW w:w="2410" w:type="dxa"/>
          </w:tcPr>
          <w:p w14:paraId="4FB17FC7">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Newborn weight</w:t>
            </w:r>
          </w:p>
        </w:tc>
        <w:tc>
          <w:tcPr>
            <w:tcW w:w="2410" w:type="dxa"/>
          </w:tcPr>
          <w:p w14:paraId="677FDCD7">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984" w:type="dxa"/>
          </w:tcPr>
          <w:p w14:paraId="2F48255C">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1701" w:type="dxa"/>
          </w:tcPr>
          <w:p w14:paraId="7DCDFA8F">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993" w:type="dxa"/>
          </w:tcPr>
          <w:p w14:paraId="62122C5E">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2126" w:type="dxa"/>
            <w:gridSpan w:val="2"/>
          </w:tcPr>
          <w:p w14:paraId="6E3D0C0E">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r>
    </w:tbl>
    <w:p w14:paraId="3E5FA8B9">
      <w:pPr>
        <w:spacing w:line="360" w:lineRule="auto"/>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 xml:space="preserve">Note, d, gestation days; V, visit; W, gestation weeks;  </w:t>
      </w:r>
    </w:p>
    <w:p w14:paraId="76D89653">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1, informed consent must be signed before conducting the screening procedure.</w:t>
      </w:r>
    </w:p>
    <w:p w14:paraId="6E0BD52D">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2, clinical data were collected and extracted from standardized medical records</w:t>
      </w:r>
    </w:p>
    <w:p w14:paraId="56FE1642">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 xml:space="preserve">3, demography, record age, ethnicity, and current address as urban/rural. </w:t>
      </w:r>
    </w:p>
    <w:p w14:paraId="6CA8C601">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4, past medical history, including history of diabetes, thyroid diseases, hypertension, rheumatism and immune system diseases, heart diseases, cancer;  including surgical such as history history of thyroidectomy, gastrointestinal surgery, cholecystectomy.</w:t>
      </w:r>
    </w:p>
    <w:p w14:paraId="21C10103">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5, including smoking, drinking, etc.</w:t>
      </w:r>
    </w:p>
    <w:p w14:paraId="0450921B">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6, Current medical history, Diabetes, thyroid disorders, hypertension, rheumatism and immune system diseases, as well as pregnancy-related conditions such as preeclampsia, eclampsia, gestational hypertension, and intrahepatic cholestasis of pregnancy.</w:t>
      </w:r>
    </w:p>
    <w:p w14:paraId="2201CA43">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7, medication history, Examples include the use of insulin, oral hypoglycemic drugs, levothyroxine, aspirin, labetalol, and other medications.</w:t>
      </w:r>
    </w:p>
    <w:p w14:paraId="39B92583">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8, Family history of diabetes, thyroid diseases, cancer, etc.</w:t>
      </w:r>
    </w:p>
    <w:p w14:paraId="0EE0DCC6">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 xml:space="preserve">9, gravidity and parity </w:t>
      </w:r>
    </w:p>
    <w:p w14:paraId="638244A9">
      <w:pPr>
        <w:spacing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10, within one minute after the baby's birth, assess the newborn's heart rate, breathing intensity, skin color, muscle strength and response to stimuli. These five items are represented by 0, 1 and 2 points respectively, and the maximum total score of the five items is 10 points.</w:t>
      </w:r>
      <w:r>
        <w:rPr>
          <w:rFonts w:ascii="Calibri" w:hAnsi="Calibri" w:cs="Calibri"/>
          <w:color w:val="000000" w:themeColor="text1"/>
          <w14:textFill>
            <w14:solidFill>
              <w14:schemeClr w14:val="tx1"/>
            </w14:solidFill>
          </w14:textFill>
        </w:rPr>
        <w:br w:type="page"/>
      </w:r>
    </w:p>
    <w:p w14:paraId="1790F218">
      <w:pPr>
        <w:pStyle w:val="2"/>
        <w:spacing w:line="360" w:lineRule="auto"/>
        <w:rPr>
          <w:rFonts w:ascii="Calibri" w:hAnsi="Calibri" w:cs="Calibri"/>
          <w:color w:val="000000" w:themeColor="text1"/>
          <w:sz w:val="24"/>
          <w:szCs w:val="24"/>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Table S4</w:t>
      </w:r>
      <w:r>
        <w:rPr>
          <w:rFonts w:ascii="Calibri" w:hAnsi="Calibri" w:cs="Calibri"/>
          <w:color w:val="000000" w:themeColor="text1"/>
          <w:sz w:val="24"/>
          <w:szCs w:val="24"/>
          <w14:textFill>
            <w14:solidFill>
              <w14:schemeClr w14:val="tx1"/>
            </w14:solidFill>
          </w14:textFill>
        </w:rPr>
        <w:t>.Conducted biological sample analyses and stored biological samples of the MEMO study. Blood samples were collected after the participants fasted for at least 8 hours.</w:t>
      </w:r>
    </w:p>
    <w:tbl>
      <w:tblPr>
        <w:tblStyle w:val="80"/>
        <w:tblW w:w="13838"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18"/>
        <w:gridCol w:w="709"/>
        <w:gridCol w:w="567"/>
        <w:gridCol w:w="567"/>
        <w:gridCol w:w="850"/>
        <w:gridCol w:w="7088"/>
        <w:gridCol w:w="2639"/>
      </w:tblGrid>
      <w:tr w14:paraId="0055DB0B">
        <w:trPr>
          <w:trHeight w:val="428" w:hRule="atLeast"/>
        </w:trPr>
        <w:tc>
          <w:tcPr>
            <w:tcW w:w="1418" w:type="dxa"/>
            <w:tcBorders>
              <w:bottom w:val="single" w:color="7E7E7E" w:themeColor="text1" w:themeTint="80" w:sz="4" w:space="0"/>
              <w:insideH w:val="single" w:sz="4" w:space="0"/>
            </w:tcBorders>
          </w:tcPr>
          <w:p w14:paraId="2EA44F5F">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Examination</w:t>
            </w:r>
          </w:p>
        </w:tc>
        <w:tc>
          <w:tcPr>
            <w:tcW w:w="709" w:type="dxa"/>
            <w:tcBorders>
              <w:bottom w:val="single" w:color="7E7E7E" w:themeColor="text1" w:themeTint="80" w:sz="4" w:space="0"/>
              <w:insideH w:val="single" w:sz="4" w:space="0"/>
            </w:tcBorders>
          </w:tcPr>
          <w:p w14:paraId="7085C261">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 xml:space="preserve">V0 </w:t>
            </w:r>
          </w:p>
        </w:tc>
        <w:tc>
          <w:tcPr>
            <w:tcW w:w="567" w:type="dxa"/>
            <w:tcBorders>
              <w:bottom w:val="single" w:color="7E7E7E" w:themeColor="text1" w:themeTint="80" w:sz="4" w:space="0"/>
              <w:insideH w:val="single" w:sz="4" w:space="0"/>
            </w:tcBorders>
          </w:tcPr>
          <w:p w14:paraId="567EFF65">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V2</w:t>
            </w:r>
          </w:p>
        </w:tc>
        <w:tc>
          <w:tcPr>
            <w:tcW w:w="567" w:type="dxa"/>
            <w:tcBorders>
              <w:bottom w:val="single" w:color="7E7E7E" w:themeColor="text1" w:themeTint="80" w:sz="4" w:space="0"/>
              <w:insideH w:val="single" w:sz="4" w:space="0"/>
            </w:tcBorders>
          </w:tcPr>
          <w:p w14:paraId="61189EC8">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V3</w:t>
            </w:r>
          </w:p>
        </w:tc>
        <w:tc>
          <w:tcPr>
            <w:tcW w:w="850" w:type="dxa"/>
            <w:tcBorders>
              <w:bottom w:val="single" w:color="7E7E7E" w:themeColor="text1" w:themeTint="80" w:sz="4" w:space="0"/>
              <w:insideH w:val="single" w:sz="4" w:space="0"/>
            </w:tcBorders>
          </w:tcPr>
          <w:p w14:paraId="08903760">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V4</w:t>
            </w:r>
          </w:p>
        </w:tc>
        <w:tc>
          <w:tcPr>
            <w:tcW w:w="7088" w:type="dxa"/>
            <w:tcBorders>
              <w:bottom w:val="single" w:color="7E7E7E" w:themeColor="text1" w:themeTint="80" w:sz="4" w:space="0"/>
              <w:insideH w:val="single" w:sz="4" w:space="0"/>
            </w:tcBorders>
          </w:tcPr>
          <w:p w14:paraId="1FA913C0">
            <w:pPr>
              <w:spacing w:before="78" w:line="360" w:lineRule="auto"/>
              <w:jc w:val="both"/>
              <w:rPr>
                <w:rFonts w:ascii="Calibri" w:hAnsi="Calibri" w:eastAsia="PingFang SC" w:cs="Calibri"/>
                <w:b/>
                <w:bCs/>
                <w:color w:val="000000" w:themeColor="text1"/>
                <w:shd w:val="clear" w:color="auto" w:fill="FFFFFF"/>
                <w14:textFill>
                  <w14:solidFill>
                    <w14:schemeClr w14:val="tx1"/>
                  </w14:solidFill>
                </w14:textFill>
              </w:rPr>
            </w:pPr>
            <w:r>
              <w:rPr>
                <w:rStyle w:val="23"/>
                <w:rFonts w:ascii="Calibri" w:hAnsi="Calibri" w:cs="Calibri"/>
                <w:b/>
                <w:bCs/>
                <w:i w:val="0"/>
                <w:iCs w:val="0"/>
                <w:color w:val="000000" w:themeColor="text1"/>
                <w:shd w:val="clear" w:color="auto" w:fill="FFFFFF"/>
                <w14:textFill>
                  <w14:solidFill>
                    <w14:schemeClr w14:val="tx1"/>
                  </w14:solidFill>
                </w14:textFill>
              </w:rPr>
              <w:t>Information</w:t>
            </w:r>
          </w:p>
        </w:tc>
        <w:tc>
          <w:tcPr>
            <w:tcW w:w="2639" w:type="dxa"/>
            <w:tcBorders>
              <w:bottom w:val="single" w:color="7E7E7E" w:themeColor="text1" w:themeTint="80" w:sz="4" w:space="0"/>
              <w:insideH w:val="single" w:sz="4" w:space="0"/>
            </w:tcBorders>
          </w:tcPr>
          <w:p w14:paraId="3467773B">
            <w:pPr>
              <w:spacing w:before="78" w:line="360" w:lineRule="auto"/>
              <w:jc w:val="both"/>
              <w:rPr>
                <w:rFonts w:ascii="Calibri" w:hAnsi="Calibri" w:eastAsia="PingFang SC" w:cs="Calibri"/>
                <w:b/>
                <w:bCs/>
                <w:color w:val="000000" w:themeColor="text1"/>
                <w:shd w:val="clear" w:color="auto" w:fill="FFFFFF"/>
                <w14:textFill>
                  <w14:solidFill>
                    <w14:schemeClr w14:val="tx1"/>
                  </w14:solidFill>
                </w14:textFill>
              </w:rPr>
            </w:pPr>
            <w:r>
              <w:rPr>
                <w:rStyle w:val="23"/>
                <w:rFonts w:ascii="Calibri" w:hAnsi="Calibri" w:cs="Calibri"/>
                <w:b/>
                <w:bCs/>
                <w:i w:val="0"/>
                <w:iCs w:val="0"/>
                <w:color w:val="000000" w:themeColor="text1"/>
                <w:shd w:val="clear" w:color="auto" w:fill="FFFFFF"/>
                <w14:textFill>
                  <w14:solidFill>
                    <w14:schemeClr w14:val="tx1"/>
                  </w14:solidFill>
                </w14:textFill>
              </w:rPr>
              <w:t>Instrument </w:t>
            </w:r>
          </w:p>
        </w:tc>
      </w:tr>
      <w:tr w14:paraId="629AE227">
        <w:trPr>
          <w:trHeight w:val="428" w:hRule="atLeast"/>
        </w:trPr>
        <w:tc>
          <w:tcPr>
            <w:tcW w:w="1418" w:type="dxa"/>
          </w:tcPr>
          <w:p w14:paraId="78C0E8D8">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 xml:space="preserve">Blood routine </w:t>
            </w:r>
          </w:p>
        </w:tc>
        <w:tc>
          <w:tcPr>
            <w:tcW w:w="709" w:type="dxa"/>
          </w:tcPr>
          <w:p w14:paraId="1BB19AFC">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079388A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41EDE647">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5EA7FE71">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6DD92E48">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cs="Calibri"/>
                <w:color w:val="000000" w:themeColor="text1"/>
                <w:shd w:val="clear" w:color="auto" w:fill="FFFFFF"/>
                <w14:textFill>
                  <w14:solidFill>
                    <w14:schemeClr w14:val="tx1"/>
                  </w14:solidFill>
                </w14:textFill>
              </w:rPr>
              <w:t>WBC;  LY%;  MONO%;  NEUT%;  EOS%;  BASO%;  LY#;  MONO#;  NEUT#;  EOS#;  BASO#;  RBC;  HGB;  HCT;  MCV;  MCHC;  MCH;  RDW-SD;  RDW-CV;  PLT;  PCT;  PDW;  MPV;  P-LCR</w:t>
            </w:r>
          </w:p>
        </w:tc>
        <w:tc>
          <w:tcPr>
            <w:tcW w:w="2639" w:type="dxa"/>
          </w:tcPr>
          <w:p w14:paraId="3FD17C50">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Bayer2120</w:t>
            </w:r>
          </w:p>
        </w:tc>
      </w:tr>
      <w:tr w14:paraId="50FAA8A1">
        <w:trPr>
          <w:trHeight w:val="455" w:hRule="atLeast"/>
        </w:trPr>
        <w:tc>
          <w:tcPr>
            <w:tcW w:w="1418" w:type="dxa"/>
          </w:tcPr>
          <w:p w14:paraId="6AE2CAE1">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Urine routine</w:t>
            </w:r>
          </w:p>
        </w:tc>
        <w:tc>
          <w:tcPr>
            <w:tcW w:w="709" w:type="dxa"/>
          </w:tcPr>
          <w:p w14:paraId="198E1C57">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7BE20028">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282CF478">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850" w:type="dxa"/>
          </w:tcPr>
          <w:p w14:paraId="5FAB75AF">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4FCEAF76">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SG;  PH;  WBC;  NIT;  PRO;  GLU;  KET;  UBG;  BIL;  BLD</w:t>
            </w:r>
          </w:p>
        </w:tc>
        <w:tc>
          <w:tcPr>
            <w:tcW w:w="2639" w:type="dxa"/>
          </w:tcPr>
          <w:p w14:paraId="472E297E">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r>
      <w:tr w14:paraId="623822E6">
        <w:trPr>
          <w:trHeight w:val="316" w:hRule="atLeast"/>
        </w:trPr>
        <w:tc>
          <w:tcPr>
            <w:tcW w:w="1418" w:type="dxa"/>
          </w:tcPr>
          <w:p w14:paraId="3B240ADF">
            <w:pPr>
              <w:spacing w:before="78" w:line="360" w:lineRule="auto"/>
              <w:jc w:val="both"/>
              <w:rPr>
                <w:rFonts w:ascii="Calibri" w:hAnsi="Calibri" w:eastAsia="PingFang SC" w:cs="Calibri"/>
                <w:b/>
                <w:bCs/>
                <w:color w:val="000000" w:themeColor="text1"/>
                <w:shd w:val="clear" w:color="auto" w:fill="FFFFFF"/>
                <w14:textFill>
                  <w14:solidFill>
                    <w14:schemeClr w14:val="tx1"/>
                  </w14:solidFill>
                </w14:textFill>
              </w:rPr>
            </w:pPr>
            <w:r>
              <w:rPr>
                <w:rFonts w:ascii="Calibri" w:hAnsi="Calibri" w:eastAsia="PingFang SC" w:cs="Calibri"/>
                <w:b/>
                <w:bCs/>
                <w:color w:val="000000" w:themeColor="text1"/>
                <w:shd w:val="clear" w:color="auto" w:fill="FFFFFF"/>
                <w14:textFill>
                  <w14:solidFill>
                    <w14:schemeClr w14:val="tx1"/>
                  </w14:solidFill>
                </w14:textFill>
              </w:rPr>
              <w:t>75g OGTT</w:t>
            </w:r>
          </w:p>
        </w:tc>
        <w:tc>
          <w:tcPr>
            <w:tcW w:w="709" w:type="dxa"/>
          </w:tcPr>
          <w:p w14:paraId="70C1D371">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567" w:type="dxa"/>
          </w:tcPr>
          <w:p w14:paraId="56D98C5D">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Segoe UI Symbol" w:hAnsi="Segoe UI Symbol" w:eastAsia="PingFang SC" w:cs="Segoe UI Symbol"/>
                <w:color w:val="000000" w:themeColor="text1"/>
                <w:shd w:val="clear" w:color="auto" w:fill="FFFFFF"/>
                <w14:textFill>
                  <w14:solidFill>
                    <w14:schemeClr w14:val="tx1"/>
                  </w14:solidFill>
                </w14:textFill>
              </w:rPr>
              <w:t>✓</w:t>
            </w:r>
          </w:p>
        </w:tc>
        <w:tc>
          <w:tcPr>
            <w:tcW w:w="567" w:type="dxa"/>
          </w:tcPr>
          <w:p w14:paraId="72EA9E6E">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850" w:type="dxa"/>
          </w:tcPr>
          <w:p w14:paraId="2DCCC937">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7088" w:type="dxa"/>
          </w:tcPr>
          <w:p w14:paraId="245001FF">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0h，1h，and 2h glucose</w:t>
            </w:r>
          </w:p>
        </w:tc>
        <w:tc>
          <w:tcPr>
            <w:tcW w:w="2639" w:type="dxa"/>
          </w:tcPr>
          <w:p w14:paraId="2C696443">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r>
      <w:tr w14:paraId="3AC18729">
        <w:trPr>
          <w:trHeight w:val="428" w:hRule="atLeast"/>
        </w:trPr>
        <w:tc>
          <w:tcPr>
            <w:tcW w:w="1418" w:type="dxa"/>
          </w:tcPr>
          <w:p w14:paraId="1E9FB31D">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FBG</w:t>
            </w:r>
          </w:p>
        </w:tc>
        <w:tc>
          <w:tcPr>
            <w:tcW w:w="709" w:type="dxa"/>
          </w:tcPr>
          <w:p w14:paraId="6FA7260A">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7A6B4AE9">
            <w:pPr>
              <w:spacing w:before="78" w:line="360" w:lineRule="auto"/>
              <w:jc w:val="both"/>
              <w:rPr>
                <w:rFonts w:hint="eastAsia"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0125C176">
            <w:pPr>
              <w:spacing w:before="78" w:line="360" w:lineRule="auto"/>
              <w:jc w:val="both"/>
              <w:rPr>
                <w:rFonts w:hint="eastAsia" w:ascii="Calibri" w:hAnsi="Calibri" w:eastAsia="PingFang SC"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850" w:type="dxa"/>
          </w:tcPr>
          <w:p w14:paraId="207B863D">
            <w:pPr>
              <w:spacing w:before="78" w:line="360" w:lineRule="auto"/>
              <w:jc w:val="both"/>
              <w:rPr>
                <w:rFonts w:hint="eastAsia" w:ascii="Calibri" w:hAnsi="Calibri" w:eastAsia="PingFang SC" w:cs="Calibri"/>
                <w:color w:val="000000" w:themeColor="text1"/>
                <w:shd w:val="clear" w:color="auto" w:fill="FFFFFF"/>
                <w14:textFill>
                  <w14:solidFill>
                    <w14:schemeClr w14:val="tx1"/>
                  </w14:solidFill>
                </w14:textFill>
              </w:rPr>
            </w:pPr>
          </w:p>
        </w:tc>
        <w:tc>
          <w:tcPr>
            <w:tcW w:w="7088" w:type="dxa"/>
          </w:tcPr>
          <w:p w14:paraId="3DD998BF">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Fasting blood glucose</w:t>
            </w:r>
          </w:p>
        </w:tc>
        <w:tc>
          <w:tcPr>
            <w:tcW w:w="2639" w:type="dxa"/>
          </w:tcPr>
          <w:p w14:paraId="5FC59A69">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r>
      <w:tr w14:paraId="750931B4">
        <w:trPr>
          <w:trHeight w:val="320" w:hRule="atLeast"/>
        </w:trPr>
        <w:tc>
          <w:tcPr>
            <w:tcW w:w="1418" w:type="dxa"/>
          </w:tcPr>
          <w:p w14:paraId="2D6B01A5">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UA</w:t>
            </w:r>
          </w:p>
        </w:tc>
        <w:tc>
          <w:tcPr>
            <w:tcW w:w="709" w:type="dxa"/>
          </w:tcPr>
          <w:p w14:paraId="7D2AD0EF">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6E9E514A">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567" w:type="dxa"/>
          </w:tcPr>
          <w:p w14:paraId="4AA17673">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850" w:type="dxa"/>
          </w:tcPr>
          <w:p w14:paraId="2F49E947">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7088" w:type="dxa"/>
          </w:tcPr>
          <w:p w14:paraId="418717EB">
            <w:pPr>
              <w:spacing w:line="360" w:lineRule="auto"/>
              <w:rPr>
                <w:rFonts w:ascii="Calibri" w:hAnsi="Calibri" w:eastAsia="PingFang SC" w:cs="Calibri"/>
                <w:color w:val="000000" w:themeColor="text1"/>
                <w:shd w:val="clear" w:color="auto" w:fill="FFFFFF"/>
                <w14:textFill>
                  <w14:solidFill>
                    <w14:schemeClr w14:val="tx1"/>
                  </w14:solidFill>
                </w14:textFill>
              </w:rPr>
            </w:pPr>
            <w:r>
              <w:rPr>
                <w:rFonts w:ascii="Calibri" w:hAnsi="Calibri" w:cs="Calibri"/>
                <w:color w:val="000000" w:themeColor="text1"/>
                <w:shd w:val="clear" w:color="auto" w:fill="FFFFFF"/>
                <w14:textFill>
                  <w14:solidFill>
                    <w14:schemeClr w14:val="tx1"/>
                  </w14:solidFill>
                </w14:textFill>
              </w:rPr>
              <w:t>Uric acid</w:t>
            </w:r>
          </w:p>
        </w:tc>
        <w:tc>
          <w:tcPr>
            <w:tcW w:w="2639" w:type="dxa"/>
          </w:tcPr>
          <w:p w14:paraId="76AD6504">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p>
        </w:tc>
      </w:tr>
      <w:tr w14:paraId="3EEC9077">
        <w:trPr>
          <w:trHeight w:val="320" w:hRule="atLeast"/>
        </w:trPr>
        <w:tc>
          <w:tcPr>
            <w:tcW w:w="1418" w:type="dxa"/>
          </w:tcPr>
          <w:p w14:paraId="7CC4ABC4">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w:t>
            </w:r>
          </w:p>
        </w:tc>
        <w:tc>
          <w:tcPr>
            <w:tcW w:w="709" w:type="dxa"/>
          </w:tcPr>
          <w:p w14:paraId="1FFE7544">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7FE57D4D">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567" w:type="dxa"/>
          </w:tcPr>
          <w:p w14:paraId="2204FDBE">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850" w:type="dxa"/>
          </w:tcPr>
          <w:p w14:paraId="348724C9">
            <w:pPr>
              <w:spacing w:before="78" w:line="360" w:lineRule="auto"/>
              <w:jc w:val="both"/>
              <w:rPr>
                <w:rFonts w:ascii="Calibri" w:hAnsi="Calibri" w:cs="Calibri"/>
                <w:color w:val="000000" w:themeColor="text1"/>
                <w:shd w:val="clear" w:color="auto" w:fill="FFFFFF"/>
                <w14:textFill>
                  <w14:solidFill>
                    <w14:schemeClr w14:val="tx1"/>
                  </w14:solidFill>
                </w14:textFill>
              </w:rPr>
            </w:pPr>
          </w:p>
        </w:tc>
        <w:tc>
          <w:tcPr>
            <w:tcW w:w="7088" w:type="dxa"/>
          </w:tcPr>
          <w:p w14:paraId="3F9B06CA">
            <w:pPr>
              <w:spacing w:line="360" w:lineRule="auto"/>
              <w:rPr>
                <w:rFonts w:ascii="Calibri" w:hAnsi="Calibri" w:cs="Calibri"/>
                <w:color w:val="000000" w:themeColor="text1"/>
                <w:shd w:val="clear" w:color="auto" w:fill="FFFFFF"/>
                <w14:textFill>
                  <w14:solidFill>
                    <w14:schemeClr w14:val="tx1"/>
                  </w14:solidFill>
                </w14:textFill>
              </w:rPr>
            </w:pPr>
            <w:r>
              <w:rPr>
                <w:rFonts w:ascii="Calibri" w:hAnsi="Calibri" w:cs="Calibri"/>
                <w:color w:val="000000" w:themeColor="text1"/>
                <w:shd w:val="clear" w:color="auto" w:fill="FFFFFF"/>
                <w14:textFill>
                  <w14:solidFill>
                    <w14:schemeClr w14:val="tx1"/>
                  </w14:solidFill>
                </w14:textFill>
              </w:rPr>
              <w:t>Inorganic phosphorus</w:t>
            </w:r>
          </w:p>
        </w:tc>
        <w:tc>
          <w:tcPr>
            <w:tcW w:w="2639" w:type="dxa"/>
          </w:tcPr>
          <w:p w14:paraId="39605012">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r>
      <w:tr w14:paraId="186D2A99">
        <w:trPr>
          <w:trHeight w:val="802" w:hRule="atLeast"/>
        </w:trPr>
        <w:tc>
          <w:tcPr>
            <w:tcW w:w="1418" w:type="dxa"/>
          </w:tcPr>
          <w:p w14:paraId="146EFB7A">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HbA1c</w:t>
            </w:r>
          </w:p>
        </w:tc>
        <w:tc>
          <w:tcPr>
            <w:tcW w:w="709" w:type="dxa"/>
          </w:tcPr>
          <w:p w14:paraId="00B22D6C">
            <w:pPr>
              <w:spacing w:before="78" w:line="360" w:lineRule="auto"/>
              <w:jc w:val="both"/>
              <w:rPr>
                <w:rFonts w:ascii="Calibri" w:hAnsi="Calibri" w:cs="Calibri"/>
                <w:color w:val="000000" w:themeColor="text1"/>
                <w:spacing w:val="-14"/>
                <w14:textFill>
                  <w14:solidFill>
                    <w14:schemeClr w14:val="tx1"/>
                  </w14:solidFill>
                </w14:textFill>
              </w:rPr>
            </w:pPr>
          </w:p>
        </w:tc>
        <w:tc>
          <w:tcPr>
            <w:tcW w:w="567" w:type="dxa"/>
          </w:tcPr>
          <w:p w14:paraId="4E854141">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69253D38">
            <w:pPr>
              <w:spacing w:before="78" w:line="360" w:lineRule="auto"/>
              <w:jc w:val="both"/>
              <w:rPr>
                <w:rFonts w:ascii="Calibri" w:hAnsi="Calibri" w:cs="Calibri"/>
                <w:color w:val="000000" w:themeColor="text1"/>
                <w:spacing w:val="-14"/>
                <w14:textFill>
                  <w14:solidFill>
                    <w14:schemeClr w14:val="tx1"/>
                  </w14:solidFill>
                </w14:textFill>
              </w:rPr>
            </w:pPr>
          </w:p>
        </w:tc>
        <w:tc>
          <w:tcPr>
            <w:tcW w:w="850" w:type="dxa"/>
          </w:tcPr>
          <w:p w14:paraId="54AA7425">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2A369160">
            <w:pPr>
              <w:spacing w:before="78" w:line="360" w:lineRule="auto"/>
              <w:jc w:val="both"/>
              <w:rPr>
                <w:rFonts w:ascii="Calibri" w:hAnsi="Calibri" w:cs="Calibri"/>
                <w:color w:val="000000" w:themeColor="text1"/>
                <w:spacing w:val="-14"/>
                <w14:textFill>
                  <w14:solidFill>
                    <w14:schemeClr w14:val="tx1"/>
                  </w14:solidFill>
                </w14:textFill>
              </w:rPr>
            </w:pPr>
          </w:p>
        </w:tc>
        <w:tc>
          <w:tcPr>
            <w:tcW w:w="2639" w:type="dxa"/>
          </w:tcPr>
          <w:p w14:paraId="0A73D2DD">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 xml:space="preserve">BIO-RAD D100 </w:t>
            </w:r>
          </w:p>
        </w:tc>
      </w:tr>
      <w:tr w14:paraId="75BD5DE6">
        <w:trPr>
          <w:trHeight w:val="802" w:hRule="atLeast"/>
        </w:trPr>
        <w:tc>
          <w:tcPr>
            <w:tcW w:w="1418" w:type="dxa"/>
          </w:tcPr>
          <w:p w14:paraId="2F07FFE8">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Thyroid function</w:t>
            </w:r>
          </w:p>
        </w:tc>
        <w:tc>
          <w:tcPr>
            <w:tcW w:w="709" w:type="dxa"/>
          </w:tcPr>
          <w:p w14:paraId="60F13654">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567" w:type="dxa"/>
          </w:tcPr>
          <w:p w14:paraId="20BE268F">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39DA00F5">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7B639C01">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3764CCDF">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TT3，TT4，FT3，FT4，TSH</w:t>
            </w:r>
          </w:p>
        </w:tc>
        <w:tc>
          <w:tcPr>
            <w:tcW w:w="2639" w:type="dxa"/>
          </w:tcPr>
          <w:p w14:paraId="31146041">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r>
              <w:rPr>
                <w:rFonts w:ascii="Calibri" w:hAnsi="Calibri" w:cs="Calibri"/>
                <w:color w:val="000000" w:themeColor="text1"/>
                <w:spacing w:val="-14"/>
                <w14:textFill>
                  <w14:solidFill>
                    <w14:schemeClr w14:val="tx1"/>
                  </w14:solidFill>
                </w14:textFill>
              </w:rPr>
              <w:t xml:space="preserve"> </w:t>
            </w:r>
          </w:p>
        </w:tc>
      </w:tr>
      <w:tr w14:paraId="3A0DAE61">
        <w:trPr>
          <w:trHeight w:val="802" w:hRule="atLeast"/>
        </w:trPr>
        <w:tc>
          <w:tcPr>
            <w:tcW w:w="1418" w:type="dxa"/>
          </w:tcPr>
          <w:p w14:paraId="7CC83AE9">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Thyroid antibody</w:t>
            </w:r>
          </w:p>
        </w:tc>
        <w:tc>
          <w:tcPr>
            <w:tcW w:w="709" w:type="dxa"/>
          </w:tcPr>
          <w:p w14:paraId="2888EE5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282B3BAB">
            <w:pPr>
              <w:spacing w:before="78" w:line="360" w:lineRule="auto"/>
              <w:jc w:val="both"/>
              <w:rPr>
                <w:rFonts w:ascii="Calibri" w:hAnsi="Calibri" w:cs="Calibri"/>
                <w:color w:val="000000" w:themeColor="text1"/>
                <w:spacing w:val="-14"/>
                <w14:textFill>
                  <w14:solidFill>
                    <w14:schemeClr w14:val="tx1"/>
                  </w14:solidFill>
                </w14:textFill>
              </w:rPr>
            </w:pPr>
          </w:p>
        </w:tc>
        <w:tc>
          <w:tcPr>
            <w:tcW w:w="567" w:type="dxa"/>
          </w:tcPr>
          <w:p w14:paraId="1D9CE956">
            <w:pPr>
              <w:spacing w:before="78" w:line="360" w:lineRule="auto"/>
              <w:jc w:val="both"/>
              <w:rPr>
                <w:rFonts w:ascii="Calibri" w:hAnsi="Calibri" w:cs="Calibri"/>
                <w:color w:val="000000" w:themeColor="text1"/>
                <w:spacing w:val="-14"/>
                <w14:textFill>
                  <w14:solidFill>
                    <w14:schemeClr w14:val="tx1"/>
                  </w14:solidFill>
                </w14:textFill>
              </w:rPr>
            </w:pPr>
          </w:p>
        </w:tc>
        <w:tc>
          <w:tcPr>
            <w:tcW w:w="850" w:type="dxa"/>
          </w:tcPr>
          <w:p w14:paraId="27B05665">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32EF257A">
            <w:pPr>
              <w:spacing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A-Tg;   A-TPO</w:t>
            </w:r>
          </w:p>
        </w:tc>
        <w:tc>
          <w:tcPr>
            <w:tcW w:w="2639" w:type="dxa"/>
          </w:tcPr>
          <w:p w14:paraId="1B7D896C">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Roche Cobas</w:t>
            </w:r>
          </w:p>
        </w:tc>
      </w:tr>
      <w:tr w14:paraId="46B4C8E5">
        <w:trPr>
          <w:trHeight w:val="428" w:hRule="atLeast"/>
        </w:trPr>
        <w:tc>
          <w:tcPr>
            <w:tcW w:w="1418" w:type="dxa"/>
          </w:tcPr>
          <w:p w14:paraId="39E79748">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Liver function</w:t>
            </w:r>
            <w:r>
              <w:rPr>
                <w:rFonts w:ascii="Calibri" w:hAnsi="Calibri" w:cs="Calibri"/>
                <w:b/>
                <w:bCs/>
                <w:color w:val="000000" w:themeColor="text1"/>
                <w:spacing w:val="-14"/>
                <w:vertAlign w:val="superscript"/>
                <w14:textFill>
                  <w14:solidFill>
                    <w14:schemeClr w14:val="tx1"/>
                  </w14:solidFill>
                </w14:textFill>
              </w:rPr>
              <w:t>6</w:t>
            </w:r>
          </w:p>
        </w:tc>
        <w:tc>
          <w:tcPr>
            <w:tcW w:w="709" w:type="dxa"/>
          </w:tcPr>
          <w:p w14:paraId="04A3690C">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0C019434">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339F542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026B232D">
            <w:pPr>
              <w:spacing w:before="78" w:line="360" w:lineRule="auto"/>
              <w:jc w:val="both"/>
              <w:rPr>
                <w:rFonts w:ascii="Calibri" w:hAnsi="Calibri" w:cs="Calibri"/>
                <w:color w:val="000000" w:themeColor="text1"/>
                <w:spacing w:val="-14"/>
                <w14:textFill>
                  <w14:solidFill>
                    <w14:schemeClr w14:val="tx1"/>
                  </w14:solidFill>
                </w14:textFill>
              </w:rPr>
            </w:pPr>
          </w:p>
        </w:tc>
        <w:tc>
          <w:tcPr>
            <w:tcW w:w="7088" w:type="dxa"/>
          </w:tcPr>
          <w:p w14:paraId="633116C4">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ALT;  TP;  Alb;  A/G;  PA;  TBil;  DBil;  GGT;  ALP;  AST;  TBA;  LD;  ChE</w:t>
            </w:r>
          </w:p>
        </w:tc>
        <w:tc>
          <w:tcPr>
            <w:tcW w:w="2639" w:type="dxa"/>
          </w:tcPr>
          <w:p w14:paraId="6D43377E">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p>
        </w:tc>
      </w:tr>
      <w:tr w14:paraId="62F5C8D4">
        <w:trPr>
          <w:trHeight w:val="428" w:hRule="atLeast"/>
        </w:trPr>
        <w:tc>
          <w:tcPr>
            <w:tcW w:w="1418" w:type="dxa"/>
          </w:tcPr>
          <w:p w14:paraId="208BD73B">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Kidney function</w:t>
            </w:r>
          </w:p>
        </w:tc>
        <w:tc>
          <w:tcPr>
            <w:tcW w:w="709" w:type="dxa"/>
          </w:tcPr>
          <w:p w14:paraId="2FCCA456">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567" w:type="dxa"/>
          </w:tcPr>
          <w:p w14:paraId="58C95008">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3E10261D">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0C92ECE5">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7088" w:type="dxa"/>
          </w:tcPr>
          <w:p w14:paraId="7B96D62B">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cs="Calibri"/>
                <w:color w:val="000000" w:themeColor="text1"/>
                <w14:textFill>
                  <w14:solidFill>
                    <w14:schemeClr w14:val="tx1"/>
                  </w14:solidFill>
                </w14:textFill>
              </w:rPr>
              <w:t>Cr, E;  Urea</w:t>
            </w:r>
          </w:p>
        </w:tc>
        <w:tc>
          <w:tcPr>
            <w:tcW w:w="2639" w:type="dxa"/>
          </w:tcPr>
          <w:p w14:paraId="64A32CAD">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p>
        </w:tc>
      </w:tr>
      <w:tr w14:paraId="53D05088">
        <w:trPr>
          <w:trHeight w:val="428" w:hRule="atLeast"/>
        </w:trPr>
        <w:tc>
          <w:tcPr>
            <w:tcW w:w="1418" w:type="dxa"/>
          </w:tcPr>
          <w:p w14:paraId="0A266102">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Blood lipid</w:t>
            </w:r>
          </w:p>
        </w:tc>
        <w:tc>
          <w:tcPr>
            <w:tcW w:w="709" w:type="dxa"/>
          </w:tcPr>
          <w:p w14:paraId="7D644418">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0A9539AB">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19D20CA5">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2A3BE046">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7088" w:type="dxa"/>
          </w:tcPr>
          <w:p w14:paraId="56179819">
            <w:pPr>
              <w:spacing w:before="78"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TC;  TG;  HDL-C;  LDL-C;  nonHDL-C</w:t>
            </w:r>
          </w:p>
        </w:tc>
        <w:tc>
          <w:tcPr>
            <w:tcW w:w="2639" w:type="dxa"/>
          </w:tcPr>
          <w:p w14:paraId="6232D989">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p>
        </w:tc>
      </w:tr>
      <w:tr w14:paraId="6841957D">
        <w:trPr>
          <w:trHeight w:val="428" w:hRule="atLeast"/>
        </w:trPr>
        <w:tc>
          <w:tcPr>
            <w:tcW w:w="1418" w:type="dxa"/>
          </w:tcPr>
          <w:p w14:paraId="79AE6398">
            <w:pPr>
              <w:spacing w:before="78" w:line="360" w:lineRule="auto"/>
              <w:jc w:val="center"/>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hsCRP</w:t>
            </w:r>
          </w:p>
        </w:tc>
        <w:tc>
          <w:tcPr>
            <w:tcW w:w="709" w:type="dxa"/>
          </w:tcPr>
          <w:p w14:paraId="322FB787">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567" w:type="dxa"/>
          </w:tcPr>
          <w:p w14:paraId="6BA092E0">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567" w:type="dxa"/>
          </w:tcPr>
          <w:p w14:paraId="0A2F9D9B">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r>
              <w:rPr>
                <w:rFonts w:ascii="Segoe UI Symbol" w:hAnsi="Segoe UI Symbol" w:cs="Segoe UI Symbol"/>
                <w:color w:val="000000" w:themeColor="text1"/>
                <w:shd w:val="clear" w:color="auto" w:fill="FFFFFF"/>
                <w:vertAlign w:val="baseline"/>
                <w14:textFill>
                  <w14:solidFill>
                    <w14:schemeClr w14:val="tx1"/>
                  </w14:solidFill>
                </w14:textFill>
              </w:rPr>
              <w:t>*</w:t>
            </w:r>
          </w:p>
        </w:tc>
        <w:tc>
          <w:tcPr>
            <w:tcW w:w="850" w:type="dxa"/>
          </w:tcPr>
          <w:p w14:paraId="5FBDEAF2">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7088" w:type="dxa"/>
          </w:tcPr>
          <w:p w14:paraId="13EB2321">
            <w:pPr>
              <w:spacing w:before="78" w:line="360" w:lineRule="auto"/>
              <w:jc w:val="both"/>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High-sensitivity C-reactive protein</w:t>
            </w:r>
          </w:p>
        </w:tc>
        <w:tc>
          <w:tcPr>
            <w:tcW w:w="2639" w:type="dxa"/>
          </w:tcPr>
          <w:p w14:paraId="3EAF5AF7">
            <w:pPr>
              <w:spacing w:line="360" w:lineRule="auto"/>
              <w:jc w:val="both"/>
              <w:rPr>
                <w:rFonts w:ascii="Calibri" w:hAnsi="Calibri" w:cs="Calibri"/>
                <w:color w:val="000000" w:themeColor="text1"/>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SIEMENS ATELLICA</w:t>
            </w:r>
          </w:p>
        </w:tc>
      </w:tr>
    </w:tbl>
    <w:p w14:paraId="3710BB7F">
      <w:pPr>
        <w:pStyle w:val="40"/>
        <w:spacing w:line="360" w:lineRule="auto"/>
        <w:ind w:left="360"/>
        <w:rPr>
          <w:rFonts w:ascii="Calibri" w:hAnsi="Calibri" w:cs="Calibri"/>
          <w:color w:val="000000" w:themeColor="text1"/>
          <w14:textFill>
            <w14:solidFill>
              <w14:schemeClr w14:val="tx1"/>
            </w14:solidFill>
          </w14:textFill>
        </w:rPr>
      </w:pPr>
      <w:r>
        <w:rPr>
          <w:rFonts w:hint="eastAsia" w:ascii="Calibri" w:hAnsi="Calibri" w:cs="Calibri"/>
          <w:color w:val="000000" w:themeColor="text1"/>
          <w14:textFill>
            <w14:solidFill>
              <w14:schemeClr w14:val="tx1"/>
            </w14:solidFill>
          </w14:textFill>
        </w:rPr>
        <w:t>A-</w:t>
      </w:r>
      <w:r>
        <w:rPr>
          <w:rFonts w:ascii="Calibri" w:hAnsi="Calibri" w:cs="Calibri"/>
          <w:color w:val="000000" w:themeColor="text1"/>
          <w14:textFill>
            <w14:solidFill>
              <w14:schemeClr w14:val="tx1"/>
            </w14:solidFill>
          </w14:textFill>
        </w:rPr>
        <w:t>Tg, anti-thyroglobulin antibody; A-TPO, anti-thyroid peroxidase antibody; A/G, albumin/globulin Ratio; ALB, albumin; ALP, alkaline phosphatase; ALT, alanine aminotransferase; AST, aspartate aminotransferase; BASO, basophils; BIL, bilirubin; BLD, red blood cell; ChE, cholinesterase; Cr, E, creatinine; DBil, direct bilirubin; EOS, eosinophils; GGT, gamma-glutamyl transferase; GLU, glucose; HCT, hematocrit; HGB, hemoglobin; HDL-C, high-density lipoprotein cholesterol;</w:t>
      </w:r>
      <w:r>
        <w:rPr>
          <w:rFonts w:ascii="Calibri" w:hAnsi="Calibri" w:cs="Calibri"/>
          <w:b/>
          <w:bCs/>
          <w:color w:val="000000" w:themeColor="text1"/>
          <w:spacing w:val="-14"/>
          <w14:textFill>
            <w14:solidFill>
              <w14:schemeClr w14:val="tx1"/>
            </w14:solidFill>
          </w14:textFill>
        </w:rPr>
        <w:t xml:space="preserve"> </w:t>
      </w:r>
      <w:r>
        <w:rPr>
          <w:rFonts w:ascii="Calibri" w:hAnsi="Calibri" w:cs="Calibri"/>
          <w:color w:val="000000" w:themeColor="text1"/>
          <w:spacing w:val="-14"/>
          <w14:textFill>
            <w14:solidFill>
              <w14:schemeClr w14:val="tx1"/>
            </w14:solidFill>
          </w14:textFill>
        </w:rPr>
        <w:t>hsCRP,</w:t>
      </w:r>
      <w:r>
        <w:rPr>
          <w:rFonts w:ascii="Calibri" w:hAnsi="Calibri" w:cs="Calibri"/>
          <w:color w:val="000000" w:themeColor="text1"/>
          <w14:textFill>
            <w14:solidFill>
              <w14:schemeClr w14:val="tx1"/>
            </w14:solidFill>
          </w14:textFill>
        </w:rPr>
        <w:t xml:space="preserve"> </w:t>
      </w:r>
      <w:bookmarkStart w:id="38" w:name="OLE_LINK9"/>
      <w:r>
        <w:rPr>
          <w:rFonts w:ascii="Calibri" w:hAnsi="Calibri" w:cs="Calibri"/>
          <w:color w:val="000000" w:themeColor="text1"/>
          <w14:textFill>
            <w14:solidFill>
              <w14:schemeClr w14:val="tx1"/>
            </w14:solidFill>
          </w14:textFill>
        </w:rPr>
        <w:t>high sensitive C-reactive protein</w:t>
      </w:r>
      <w:bookmarkEnd w:id="38"/>
      <w:r>
        <w:rPr>
          <w:rFonts w:ascii="Calibri" w:hAnsi="Calibri" w:cs="Calibri"/>
          <w:color w:val="000000" w:themeColor="text1"/>
          <w14:textFill>
            <w14:solidFill>
              <w14:schemeClr w14:val="tx1"/>
            </w14:solidFill>
          </w14:textFill>
        </w:rPr>
        <w:t>; KET, ketones; LDH, lactate dehydrogenase; LY, lymphocytes; MCH, mean corpuscular hemoglobin; MCHC, mean corpuscular hemoglobin concentration; MCV, mean corpuscular volume; MONO, monocytes; MPV, mean platelet volume; NEUT, neutrophils; NIT, Nitrites; nonHDL-C, non-high-density lipoprotein cholesterol; OGTT, oral glucose tolerance test; PA, prealbumin; P-LCR, platelet large cell ratio; PCT, platelet hematocrit; PDW, platelet distribution width; PH, pH; PLT, platelets; PRO, proteins; RBC, red blood cells; RDW-CV, red cell distribution width, coefficient of variation; RDW-SD, red cell distribution width , standard deviation; SG, specific gravity; TBA, total bile acids; TBil, total bilirubin; TC, total cholesterol; TG, triglycerides; TP, total protein; UBG, urobilinogen; Urea, blood urea nitrogen; WBC, white blood cells; % , percentage;</w:t>
      </w:r>
      <w:r>
        <w:rPr>
          <w:rFonts w:ascii="Calibri" w:hAnsi="Calibri" w:cs="Calibri"/>
          <w:color w:val="000000" w:themeColor="text1"/>
          <w:shd w:val="clear" w:color="auto" w:fill="FFFFFF"/>
          <w14:textFill>
            <w14:solidFill>
              <w14:schemeClr w14:val="tx1"/>
            </w14:solidFill>
          </w14:textFill>
        </w:rPr>
        <w:t xml:space="preserve"> </w:t>
      </w:r>
      <w:r>
        <w:rPr>
          <w:rFonts w:ascii="Segoe UI Symbol" w:hAnsi="Segoe UI Symbol" w:cs="Segoe UI Symbol"/>
          <w:color w:val="000000" w:themeColor="text1"/>
          <w:shd w:val="clear" w:color="auto" w:fill="FFFFFF"/>
          <w14:textFill>
            <w14:solidFill>
              <w14:schemeClr w14:val="tx1"/>
            </w14:solidFill>
          </w14:textFill>
        </w:rPr>
        <w:t>✓</w:t>
      </w:r>
      <w:r>
        <w:rPr>
          <w:rFonts w:ascii="Calibri" w:hAnsi="Calibri" w:cs="Calibri"/>
          <w:color w:val="000000" w:themeColor="text1"/>
          <w:shd w:val="clear" w:color="auto" w:fill="FFFFFF"/>
          <w:vertAlign w:val="superscript"/>
          <w14:textFill>
            <w14:solidFill>
              <w14:schemeClr w14:val="tx1"/>
            </w14:solidFill>
          </w14:textFill>
        </w:rPr>
        <w:t>*</w:t>
      </w:r>
      <w:r>
        <w:rPr>
          <w:rFonts w:ascii="Calibri" w:hAnsi="Calibri" w:cs="Calibri"/>
          <w:color w:val="000000" w:themeColor="text1"/>
          <w:shd w:val="clear" w:color="auto" w:fill="FFFFFF"/>
          <w14:textFill>
            <w14:solidFill>
              <w14:schemeClr w14:val="tx1"/>
            </w14:solidFill>
          </w14:textFill>
        </w:rPr>
        <w:t>,</w:t>
      </w:r>
      <w:r>
        <w:rPr>
          <w:rFonts w:hint="eastAsia" w:ascii="Segoe UI Symbol" w:hAnsi="Segoe UI Symbol" w:cs="Segoe UI Symbol"/>
          <w:color w:val="000000" w:themeColor="text1"/>
          <w:shd w:val="clear" w:color="auto" w:fill="FFFFFF"/>
          <w14:textFill>
            <w14:solidFill>
              <w14:schemeClr w14:val="tx1"/>
            </w14:solidFill>
          </w14:textFill>
        </w:rPr>
        <w:t xml:space="preserve"> </w:t>
      </w:r>
      <w:r>
        <w:rPr>
          <w:rFonts w:ascii="Calibri" w:hAnsi="Calibri" w:cs="Calibri"/>
          <w:color w:val="000000" w:themeColor="text1"/>
          <w:shd w:val="clear" w:color="auto" w:fill="FFFFFF"/>
          <w14:textFill>
            <w14:solidFill>
              <w14:schemeClr w14:val="tx1"/>
            </w14:solidFill>
          </w14:textFill>
        </w:rPr>
        <w:t>additional items for patients with GDM or SCH.</w:t>
      </w:r>
      <w:r>
        <w:rPr>
          <w:rFonts w:ascii="Calibri" w:hAnsi="Calibri" w:cs="Calibri"/>
          <w:color w:val="000000" w:themeColor="text1"/>
          <w14:textFill>
            <w14:solidFill>
              <w14:schemeClr w14:val="tx1"/>
            </w14:solidFill>
          </w14:textFill>
        </w:rPr>
        <w:br w:type="page"/>
      </w:r>
    </w:p>
    <w:p w14:paraId="17F5BDDF">
      <w:pPr>
        <w:pStyle w:val="2"/>
        <w:spacing w:line="360" w:lineRule="auto"/>
        <w:rPr>
          <w:rFonts w:ascii="Calibri" w:hAnsi="Calibri" w:cs="Calibri"/>
          <w:b/>
          <w:bCs/>
          <w:color w:val="000000" w:themeColor="text1"/>
          <w:sz w:val="24"/>
          <w:szCs w:val="24"/>
          <w14:textFill>
            <w14:solidFill>
              <w14:schemeClr w14:val="tx1"/>
            </w14:solidFill>
          </w14:textFill>
        </w:rPr>
        <w:sectPr>
          <w:footerReference r:id="rId4" w:type="default"/>
          <w:pgSz w:w="16838" w:h="11906" w:orient="landscape"/>
          <w:pgMar w:top="1803" w:right="1440" w:bottom="1803" w:left="1440" w:header="851" w:footer="992" w:gutter="0"/>
          <w:lnNumType w:countBy="1" w:restart="continuous"/>
          <w:cols w:space="0" w:num="1"/>
          <w:docGrid w:type="lines" w:linePitch="332" w:charSpace="0"/>
        </w:sectPr>
      </w:pPr>
    </w:p>
    <w:p w14:paraId="4981D978">
      <w:pPr>
        <w:pStyle w:val="2"/>
        <w:spacing w:line="360" w:lineRule="auto"/>
        <w:rPr>
          <w:rFonts w:ascii="Calibri" w:hAnsi="Calibri" w:cs="Calibri"/>
          <w:color w:val="000000" w:themeColor="text1"/>
          <w:sz w:val="24"/>
          <w:szCs w:val="24"/>
          <w14:textFill>
            <w14:solidFill>
              <w14:schemeClr w14:val="tx1"/>
            </w14:solidFill>
          </w14:textFill>
        </w:rPr>
      </w:pPr>
      <w:r>
        <w:rPr>
          <w:rFonts w:ascii="Calibri" w:hAnsi="Calibri" w:cs="Calibri"/>
          <w:b/>
          <w:bCs/>
          <w:color w:val="000000" w:themeColor="text1"/>
          <w:sz w:val="24"/>
          <w:szCs w:val="24"/>
          <w14:textFill>
            <w14:solidFill>
              <w14:schemeClr w14:val="tx1"/>
            </w14:solidFill>
          </w14:textFill>
        </w:rPr>
        <w:t>Table S5</w:t>
      </w:r>
      <w:r>
        <w:rPr>
          <w:rFonts w:ascii="Calibri" w:hAnsi="Calibri" w:cs="Calibri"/>
          <w:color w:val="000000" w:themeColor="text1"/>
          <w:sz w:val="24"/>
          <w:szCs w:val="24"/>
          <w14:textFill>
            <w14:solidFill>
              <w14:schemeClr w14:val="tx1"/>
            </w14:solidFill>
          </w14:textFill>
        </w:rPr>
        <w:t>. Sample collected in the MEMO study. Blood samples were collected after the participants fasted for at least 8 hours.</w:t>
      </w:r>
    </w:p>
    <w:tbl>
      <w:tblPr>
        <w:tblStyle w:val="80"/>
        <w:tblW w:w="8306" w:type="dxa"/>
        <w:tblInd w:w="0" w:type="dxa"/>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12"/>
        <w:gridCol w:w="693"/>
        <w:gridCol w:w="693"/>
        <w:gridCol w:w="693"/>
        <w:gridCol w:w="693"/>
        <w:gridCol w:w="3222"/>
      </w:tblGrid>
      <w:tr w14:paraId="10573B48">
        <w:trPr>
          <w:trHeight w:val="407" w:hRule="atLeast"/>
        </w:trPr>
        <w:tc>
          <w:tcPr>
            <w:tcW w:w="0" w:type="dxa"/>
            <w:tcBorders>
              <w:bottom w:val="single" w:color="7E7E7E" w:themeColor="text1" w:themeTint="80" w:sz="4" w:space="0"/>
              <w:insideH w:val="single" w:sz="4" w:space="0"/>
            </w:tcBorders>
          </w:tcPr>
          <w:p w14:paraId="1580B90C">
            <w:pPr>
              <w:spacing w:before="78" w:line="360" w:lineRule="auto"/>
              <w:jc w:val="center"/>
              <w:rPr>
                <w:rFonts w:ascii="Calibri" w:hAnsi="Calibri" w:cs="Calibri"/>
                <w:b w:val="0"/>
                <w:bCs w:val="0"/>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Examination</w:t>
            </w:r>
          </w:p>
        </w:tc>
        <w:tc>
          <w:tcPr>
            <w:tcW w:w="0" w:type="dxa"/>
            <w:tcBorders>
              <w:bottom w:val="single" w:color="7E7E7E" w:themeColor="text1" w:themeTint="80" w:sz="4" w:space="0"/>
              <w:insideH w:val="single" w:sz="4" w:space="0"/>
            </w:tcBorders>
          </w:tcPr>
          <w:p w14:paraId="0647BCC8">
            <w:pPr>
              <w:spacing w:before="78" w:line="360" w:lineRule="auto"/>
              <w:jc w:val="both"/>
              <w:rPr>
                <w:rFonts w:ascii="Calibri" w:hAnsi="Calibri" w:cs="Calibri"/>
                <w:b w:val="0"/>
                <w:bCs w:val="0"/>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V0 / V1</w:t>
            </w:r>
          </w:p>
        </w:tc>
        <w:tc>
          <w:tcPr>
            <w:tcW w:w="0" w:type="dxa"/>
            <w:tcBorders>
              <w:bottom w:val="single" w:color="7E7E7E" w:themeColor="text1" w:themeTint="80" w:sz="4" w:space="0"/>
              <w:insideH w:val="single" w:sz="4" w:space="0"/>
            </w:tcBorders>
          </w:tcPr>
          <w:p w14:paraId="0921F9B6">
            <w:pPr>
              <w:spacing w:before="78" w:line="360" w:lineRule="auto"/>
              <w:jc w:val="both"/>
              <w:rPr>
                <w:rFonts w:ascii="Calibri" w:hAnsi="Calibri" w:cs="Calibri"/>
                <w:b w:val="0"/>
                <w:bCs w:val="0"/>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V2</w:t>
            </w:r>
          </w:p>
        </w:tc>
        <w:tc>
          <w:tcPr>
            <w:tcW w:w="0" w:type="dxa"/>
            <w:tcBorders>
              <w:bottom w:val="single" w:color="7E7E7E" w:themeColor="text1" w:themeTint="80" w:sz="4" w:space="0"/>
              <w:insideH w:val="single" w:sz="4" w:space="0"/>
            </w:tcBorders>
          </w:tcPr>
          <w:p w14:paraId="77755F4E">
            <w:pPr>
              <w:spacing w:before="78" w:line="360" w:lineRule="auto"/>
              <w:jc w:val="both"/>
              <w:rPr>
                <w:rFonts w:ascii="Calibri" w:hAnsi="Calibri" w:cs="Calibri"/>
                <w:b w:val="0"/>
                <w:bCs w:val="0"/>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V3</w:t>
            </w:r>
          </w:p>
        </w:tc>
        <w:tc>
          <w:tcPr>
            <w:tcW w:w="0" w:type="dxa"/>
            <w:tcBorders>
              <w:bottom w:val="single" w:color="7E7E7E" w:themeColor="text1" w:themeTint="80" w:sz="4" w:space="0"/>
              <w:insideH w:val="single" w:sz="4" w:space="0"/>
            </w:tcBorders>
          </w:tcPr>
          <w:p w14:paraId="6CD62945">
            <w:pPr>
              <w:spacing w:before="78" w:line="360" w:lineRule="auto"/>
              <w:jc w:val="both"/>
              <w:rPr>
                <w:rFonts w:ascii="Calibri" w:hAnsi="Calibri" w:eastAsia="PingFang SC" w:cs="Calibri"/>
                <w:b w:val="0"/>
                <w:bCs w:val="0"/>
                <w:color w:val="000000" w:themeColor="text1"/>
                <w:shd w:val="clear" w:color="auto" w:fill="FFFFFF"/>
                <w14:textFill>
                  <w14:solidFill>
                    <w14:schemeClr w14:val="tx1"/>
                  </w14:solidFill>
                </w14:textFill>
              </w:rPr>
            </w:pPr>
            <w:r>
              <w:rPr>
                <w:rFonts w:ascii="Calibri" w:hAnsi="Calibri" w:cs="Calibri"/>
                <w:b/>
                <w:bCs/>
                <w:color w:val="000000" w:themeColor="text1"/>
                <w:spacing w:val="-14"/>
                <w14:textFill>
                  <w14:solidFill>
                    <w14:schemeClr w14:val="tx1"/>
                  </w14:solidFill>
                </w14:textFill>
              </w:rPr>
              <w:t>V4</w:t>
            </w:r>
          </w:p>
        </w:tc>
        <w:tc>
          <w:tcPr>
            <w:tcW w:w="2199" w:type="dxa"/>
            <w:tcBorders>
              <w:bottom w:val="single" w:color="7E7E7E" w:themeColor="text1" w:themeTint="80" w:sz="4" w:space="0"/>
              <w:insideH w:val="single" w:sz="4" w:space="0"/>
            </w:tcBorders>
          </w:tcPr>
          <w:p w14:paraId="6EFA3885">
            <w:pPr>
              <w:spacing w:before="78" w:line="360" w:lineRule="auto"/>
              <w:jc w:val="both"/>
              <w:rPr>
                <w:rStyle w:val="23"/>
                <w:rFonts w:ascii="Calibri" w:hAnsi="Calibri" w:cs="Calibri"/>
                <w:b w:val="0"/>
                <w:bCs w:val="0"/>
                <w:i w:val="0"/>
                <w:iCs w:val="0"/>
                <w:color w:val="000000" w:themeColor="text1"/>
                <w:shd w:val="clear" w:color="auto" w:fill="FFFFFF"/>
                <w14:textFill>
                  <w14:solidFill>
                    <w14:schemeClr w14:val="tx1"/>
                  </w14:solidFill>
                </w14:textFill>
              </w:rPr>
            </w:pPr>
            <w:r>
              <w:rPr>
                <w:rStyle w:val="23"/>
                <w:rFonts w:ascii="Calibri" w:hAnsi="Calibri" w:cs="Calibri"/>
                <w:b/>
                <w:bCs/>
                <w:i w:val="0"/>
                <w:iCs w:val="0"/>
                <w:color w:val="000000" w:themeColor="text1"/>
                <w:shd w:val="clear" w:color="auto" w:fill="FFFFFF"/>
                <w14:textFill>
                  <w14:solidFill>
                    <w14:schemeClr w14:val="tx1"/>
                  </w14:solidFill>
                </w14:textFill>
              </w:rPr>
              <w:t>Maximum volume of the cryogenic vial</w:t>
            </w:r>
          </w:p>
        </w:tc>
      </w:tr>
      <w:tr w14:paraId="2F416F02">
        <w:trPr>
          <w:trHeight w:val="407" w:hRule="atLeast"/>
        </w:trPr>
        <w:tc>
          <w:tcPr>
            <w:tcW w:w="0" w:type="dxa"/>
          </w:tcPr>
          <w:p w14:paraId="7D8A0175">
            <w:pPr>
              <w:spacing w:before="78" w:line="360" w:lineRule="auto"/>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Serum</w:t>
            </w:r>
          </w:p>
        </w:tc>
        <w:tc>
          <w:tcPr>
            <w:tcW w:w="0" w:type="dxa"/>
          </w:tcPr>
          <w:p w14:paraId="3266F092">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3227EFAD">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41228322">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640D8D89">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2199" w:type="dxa"/>
          </w:tcPr>
          <w:p w14:paraId="76FBA6F8">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1000uL</w:t>
            </w:r>
          </w:p>
        </w:tc>
      </w:tr>
      <w:tr w14:paraId="5FEB7D54">
        <w:trPr>
          <w:trHeight w:val="407" w:hRule="atLeast"/>
        </w:trPr>
        <w:tc>
          <w:tcPr>
            <w:tcW w:w="0" w:type="dxa"/>
          </w:tcPr>
          <w:p w14:paraId="7C4C5D64">
            <w:pPr>
              <w:spacing w:before="78" w:line="360" w:lineRule="auto"/>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Plasma</w:t>
            </w:r>
          </w:p>
        </w:tc>
        <w:tc>
          <w:tcPr>
            <w:tcW w:w="0" w:type="dxa"/>
          </w:tcPr>
          <w:p w14:paraId="18A7B1FA">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746385D4">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29121732">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36109256">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2199" w:type="dxa"/>
          </w:tcPr>
          <w:p w14:paraId="34CAB76C">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500uL</w:t>
            </w:r>
          </w:p>
        </w:tc>
      </w:tr>
      <w:tr w14:paraId="170114E3">
        <w:trPr>
          <w:trHeight w:val="407" w:hRule="atLeast"/>
        </w:trPr>
        <w:tc>
          <w:tcPr>
            <w:tcW w:w="0" w:type="dxa"/>
          </w:tcPr>
          <w:p w14:paraId="6833EA36">
            <w:pPr>
              <w:spacing w:before="78" w:line="360" w:lineRule="auto"/>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Urine</w:t>
            </w:r>
          </w:p>
        </w:tc>
        <w:tc>
          <w:tcPr>
            <w:tcW w:w="0" w:type="dxa"/>
          </w:tcPr>
          <w:p w14:paraId="2AAD0CA2">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4BCA75B9">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31131000">
            <w:pPr>
              <w:spacing w:before="78" w:line="360" w:lineRule="auto"/>
              <w:jc w:val="both"/>
              <w:rPr>
                <w:rFonts w:ascii="Calibri" w:hAnsi="Calibri" w:cs="Calibri"/>
                <w:color w:val="000000" w:themeColor="text1"/>
                <w:shd w:val="clear" w:color="auto" w:fill="FFFFFF"/>
                <w14:textFill>
                  <w14:solidFill>
                    <w14:schemeClr w14:val="tx1"/>
                  </w14:solidFill>
                </w14:textFill>
              </w:rPr>
            </w:pPr>
            <w:r>
              <w:rPr>
                <w:rFonts w:ascii="Segoe UI Symbol" w:hAnsi="Segoe UI Symbol" w:cs="Segoe UI Symbol"/>
                <w:color w:val="000000" w:themeColor="text1"/>
                <w:shd w:val="clear" w:color="auto" w:fill="FFFFFF"/>
                <w14:textFill>
                  <w14:solidFill>
                    <w14:schemeClr w14:val="tx1"/>
                  </w14:solidFill>
                </w14:textFill>
              </w:rPr>
              <w:t>✓</w:t>
            </w:r>
          </w:p>
        </w:tc>
        <w:tc>
          <w:tcPr>
            <w:tcW w:w="0" w:type="dxa"/>
          </w:tcPr>
          <w:p w14:paraId="4359A904">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p>
        </w:tc>
        <w:tc>
          <w:tcPr>
            <w:tcW w:w="2199" w:type="dxa"/>
          </w:tcPr>
          <w:p w14:paraId="61B5D033">
            <w:pPr>
              <w:spacing w:before="78" w:line="360" w:lineRule="auto"/>
              <w:jc w:val="both"/>
              <w:rPr>
                <w:rFonts w:ascii="Calibri" w:hAnsi="Calibri" w:eastAsia="PingFang SC" w:cs="Calibri"/>
                <w:color w:val="000000" w:themeColor="text1"/>
                <w:shd w:val="clear" w:color="auto" w:fill="FFFFFF"/>
                <w14:textFill>
                  <w14:solidFill>
                    <w14:schemeClr w14:val="tx1"/>
                  </w14:solidFill>
                </w14:textFill>
              </w:rPr>
            </w:pPr>
            <w:r>
              <w:rPr>
                <w:rFonts w:ascii="Calibri" w:hAnsi="Calibri" w:eastAsia="PingFang SC" w:cs="Calibri"/>
                <w:color w:val="000000" w:themeColor="text1"/>
                <w:shd w:val="clear" w:color="auto" w:fill="FFFFFF"/>
                <w14:textFill>
                  <w14:solidFill>
                    <w14:schemeClr w14:val="tx1"/>
                  </w14:solidFill>
                </w14:textFill>
              </w:rPr>
              <w:t>4mL</w:t>
            </w:r>
          </w:p>
        </w:tc>
      </w:tr>
      <w:tr w14:paraId="4FC9216D">
        <w:trPr>
          <w:trHeight w:val="407" w:hRule="atLeast"/>
        </w:trPr>
        <w:tc>
          <w:tcPr>
            <w:tcW w:w="0" w:type="dxa"/>
          </w:tcPr>
          <w:p w14:paraId="1F8B1292">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 xml:space="preserve">Stool </w:t>
            </w:r>
          </w:p>
        </w:tc>
        <w:tc>
          <w:tcPr>
            <w:tcW w:w="0" w:type="dxa"/>
          </w:tcPr>
          <w:p w14:paraId="3554372B">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7AD53513">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60620C8A">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2C8806E4">
            <w:pPr>
              <w:spacing w:before="78" w:line="360" w:lineRule="auto"/>
              <w:jc w:val="both"/>
              <w:rPr>
                <w:rFonts w:ascii="Calibri" w:hAnsi="Calibri" w:cs="Calibri"/>
                <w:color w:val="000000" w:themeColor="text1"/>
                <w:spacing w:val="-14"/>
                <w14:textFill>
                  <w14:solidFill>
                    <w14:schemeClr w14:val="tx1"/>
                  </w14:solidFill>
                </w14:textFill>
              </w:rPr>
            </w:pPr>
          </w:p>
        </w:tc>
        <w:tc>
          <w:tcPr>
            <w:tcW w:w="2199" w:type="dxa"/>
          </w:tcPr>
          <w:p w14:paraId="797D1CDC">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2mL</w:t>
            </w:r>
          </w:p>
        </w:tc>
      </w:tr>
      <w:tr w14:paraId="147672F5">
        <w:trPr>
          <w:trHeight w:val="407" w:hRule="atLeast"/>
        </w:trPr>
        <w:tc>
          <w:tcPr>
            <w:tcW w:w="0" w:type="dxa"/>
          </w:tcPr>
          <w:p w14:paraId="72143606">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Placenta fetal side</w:t>
            </w:r>
          </w:p>
        </w:tc>
        <w:tc>
          <w:tcPr>
            <w:tcW w:w="0" w:type="dxa"/>
          </w:tcPr>
          <w:p w14:paraId="0C6985CF">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473F12D1">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59C1B3BE">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7719555D">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99" w:type="dxa"/>
          </w:tcPr>
          <w:p w14:paraId="21ECCCB8">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2mL</w:t>
            </w:r>
          </w:p>
        </w:tc>
      </w:tr>
      <w:tr w14:paraId="60DBEAF3">
        <w:trPr>
          <w:trHeight w:val="407" w:hRule="atLeast"/>
        </w:trPr>
        <w:tc>
          <w:tcPr>
            <w:tcW w:w="0" w:type="dxa"/>
          </w:tcPr>
          <w:p w14:paraId="1F24D8C1">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Placenta maternal side</w:t>
            </w:r>
          </w:p>
        </w:tc>
        <w:tc>
          <w:tcPr>
            <w:tcW w:w="0" w:type="dxa"/>
          </w:tcPr>
          <w:p w14:paraId="639C1CFB">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7710C436">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5944558F">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2D93383A">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99" w:type="dxa"/>
          </w:tcPr>
          <w:p w14:paraId="03E0C46B">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 xml:space="preserve">2mL </w:t>
            </w:r>
          </w:p>
        </w:tc>
      </w:tr>
      <w:tr w14:paraId="02DE909E">
        <w:trPr>
          <w:trHeight w:val="407" w:hRule="atLeast"/>
        </w:trPr>
        <w:tc>
          <w:tcPr>
            <w:tcW w:w="0" w:type="dxa"/>
          </w:tcPr>
          <w:p w14:paraId="6FD16150">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Umbilical venous serum</w:t>
            </w:r>
          </w:p>
        </w:tc>
        <w:tc>
          <w:tcPr>
            <w:tcW w:w="0" w:type="dxa"/>
          </w:tcPr>
          <w:p w14:paraId="4E8F2FA0">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6622E6D0">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63FDA3A9">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147C6C07">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99" w:type="dxa"/>
          </w:tcPr>
          <w:p w14:paraId="04491606">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2mL</w:t>
            </w:r>
          </w:p>
        </w:tc>
      </w:tr>
      <w:tr w14:paraId="66203DB2">
        <w:trPr>
          <w:trHeight w:val="407" w:hRule="atLeast"/>
        </w:trPr>
        <w:tc>
          <w:tcPr>
            <w:tcW w:w="0" w:type="dxa"/>
          </w:tcPr>
          <w:p w14:paraId="2F5EA5DC">
            <w:pPr>
              <w:spacing w:before="78" w:line="360" w:lineRule="auto"/>
              <w:jc w:val="both"/>
              <w:rPr>
                <w:rFonts w:ascii="Calibri" w:hAnsi="Calibri" w:cs="Calibri"/>
                <w:b/>
                <w:bCs/>
                <w:color w:val="000000" w:themeColor="text1"/>
                <w:spacing w:val="-14"/>
                <w14:textFill>
                  <w14:solidFill>
                    <w14:schemeClr w14:val="tx1"/>
                  </w14:solidFill>
                </w14:textFill>
              </w:rPr>
            </w:pPr>
            <w:r>
              <w:rPr>
                <w:rFonts w:ascii="Calibri" w:hAnsi="Calibri" w:cs="Calibri"/>
                <w:b/>
                <w:bCs/>
                <w:color w:val="000000" w:themeColor="text1"/>
                <w:spacing w:val="-14"/>
                <w14:textFill>
                  <w14:solidFill>
                    <w14:schemeClr w14:val="tx1"/>
                  </w14:solidFill>
                </w14:textFill>
              </w:rPr>
              <w:t>Umbilical venous plasma</w:t>
            </w:r>
          </w:p>
        </w:tc>
        <w:tc>
          <w:tcPr>
            <w:tcW w:w="0" w:type="dxa"/>
          </w:tcPr>
          <w:p w14:paraId="5D0DC60F">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747415D2">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24761A78">
            <w:pPr>
              <w:spacing w:before="78" w:line="360" w:lineRule="auto"/>
              <w:jc w:val="both"/>
              <w:rPr>
                <w:rFonts w:ascii="Calibri" w:hAnsi="Calibri" w:cs="Calibri"/>
                <w:color w:val="000000" w:themeColor="text1"/>
                <w:spacing w:val="-14"/>
                <w14:textFill>
                  <w14:solidFill>
                    <w14:schemeClr w14:val="tx1"/>
                  </w14:solidFill>
                </w14:textFill>
              </w:rPr>
            </w:pPr>
          </w:p>
        </w:tc>
        <w:tc>
          <w:tcPr>
            <w:tcW w:w="0" w:type="dxa"/>
          </w:tcPr>
          <w:p w14:paraId="61E226C3">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99" w:type="dxa"/>
          </w:tcPr>
          <w:p w14:paraId="3BF5F762">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2mL</w:t>
            </w:r>
          </w:p>
        </w:tc>
      </w:tr>
      <w:tr w14:paraId="2452B5F8">
        <w:trPr>
          <w:trHeight w:val="407" w:hRule="atLeast"/>
        </w:trPr>
        <w:tc>
          <w:tcPr>
            <w:tcW w:w="0" w:type="dxa"/>
          </w:tcPr>
          <w:p w14:paraId="7DEBC05C">
            <w:pPr>
              <w:spacing w:before="78" w:line="360" w:lineRule="auto"/>
              <w:jc w:val="both"/>
              <w:rPr>
                <w:rFonts w:ascii="Calibri" w:hAnsi="Calibri" w:cs="Calibri"/>
                <w:b/>
                <w:bCs/>
                <w:color w:val="000000" w:themeColor="text1"/>
                <w:spacing w:val="-14"/>
                <w14:textFill>
                  <w14:solidFill>
                    <w14:schemeClr w14:val="tx1"/>
                  </w14:solidFill>
                </w14:textFill>
              </w:rPr>
            </w:pPr>
            <w:bookmarkStart w:id="39" w:name="OLE_LINK2"/>
            <w:r>
              <w:rPr>
                <w:rFonts w:ascii="Calibri" w:hAnsi="Calibri" w:cs="Calibri"/>
                <w:b/>
                <w:bCs/>
                <w:color w:val="000000" w:themeColor="text1"/>
                <w:spacing w:val="-14"/>
                <w14:textFill>
                  <w14:solidFill>
                    <w14:schemeClr w14:val="tx1"/>
                  </w14:solidFill>
                </w14:textFill>
              </w:rPr>
              <w:t>Specimen management</w:t>
            </w:r>
            <w:bookmarkEnd w:id="39"/>
          </w:p>
        </w:tc>
        <w:tc>
          <w:tcPr>
            <w:tcW w:w="0" w:type="dxa"/>
          </w:tcPr>
          <w:p w14:paraId="583F7C70">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1695A7A3">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064CCE9E">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0" w:type="dxa"/>
          </w:tcPr>
          <w:p w14:paraId="4B9F31EE">
            <w:pPr>
              <w:spacing w:before="78" w:line="360" w:lineRule="auto"/>
              <w:jc w:val="both"/>
              <w:rPr>
                <w:rFonts w:ascii="Calibri" w:hAnsi="Calibri" w:cs="Calibri"/>
                <w:color w:val="000000" w:themeColor="text1"/>
                <w:spacing w:val="-14"/>
                <w14:textFill>
                  <w14:solidFill>
                    <w14:schemeClr w14:val="tx1"/>
                  </w14:solidFill>
                </w14:textFill>
              </w:rPr>
            </w:pPr>
            <w:r>
              <w:rPr>
                <w:rFonts w:ascii="Segoe UI Symbol" w:hAnsi="Segoe UI Symbol" w:cs="Segoe UI Symbol"/>
                <w:color w:val="000000" w:themeColor="text1"/>
                <w:spacing w:val="-14"/>
                <w14:textFill>
                  <w14:solidFill>
                    <w14:schemeClr w14:val="tx1"/>
                  </w14:solidFill>
                </w14:textFill>
              </w:rPr>
              <w:t>✓</w:t>
            </w:r>
          </w:p>
        </w:tc>
        <w:tc>
          <w:tcPr>
            <w:tcW w:w="2199" w:type="dxa"/>
          </w:tcPr>
          <w:p w14:paraId="354B4995">
            <w:pPr>
              <w:spacing w:before="78" w:line="360" w:lineRule="auto"/>
              <w:jc w:val="both"/>
              <w:rPr>
                <w:rFonts w:ascii="Calibri" w:hAnsi="Calibri" w:cs="Calibri"/>
                <w:color w:val="000000" w:themeColor="text1"/>
                <w:spacing w:val="-14"/>
                <w14:textFill>
                  <w14:solidFill>
                    <w14:schemeClr w14:val="tx1"/>
                  </w14:solidFill>
                </w14:textFill>
              </w:rPr>
            </w:pPr>
            <w:r>
              <w:rPr>
                <w:rFonts w:ascii="Calibri" w:hAnsi="Calibri" w:cs="Calibri"/>
                <w:color w:val="000000" w:themeColor="text1"/>
                <w:spacing w:val="-14"/>
                <w14:textFill>
                  <w14:solidFill>
                    <w14:schemeClr w14:val="tx1"/>
                  </w14:solidFill>
                </w14:textFill>
              </w:rPr>
              <w:t>N/A</w:t>
            </w:r>
          </w:p>
        </w:tc>
      </w:tr>
    </w:tbl>
    <w:p w14:paraId="67DCEB8B">
      <w:pPr>
        <w:spacing w:line="360" w:lineRule="auto"/>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t>Specimen management, including filling out sample application, transportation and storage forms</w:t>
      </w:r>
    </w:p>
    <w:p w14:paraId="25E44FDC">
      <w:pPr>
        <w:pStyle w:val="2"/>
        <w:spacing w:line="360" w:lineRule="auto"/>
        <w:rPr>
          <w:rFonts w:ascii="Calibri" w:hAnsi="Calibri" w:eastAsia="宋体" w:cs="Calibri"/>
          <w:b/>
          <w:bCs/>
          <w:color w:val="000000" w:themeColor="text1"/>
          <w:sz w:val="24"/>
          <w:szCs w:val="24"/>
          <w14:textFill>
            <w14:solidFill>
              <w14:schemeClr w14:val="tx1"/>
            </w14:solidFill>
          </w14:textFill>
        </w:rPr>
      </w:pPr>
      <w:r>
        <w:rPr>
          <w:rFonts w:ascii="Calibri" w:hAnsi="Calibri" w:eastAsia="宋体" w:cs="Calibri"/>
          <w:b/>
          <w:bCs/>
          <w:color w:val="000000" w:themeColor="text1"/>
          <w:sz w:val="24"/>
          <w:szCs w:val="24"/>
          <w14:textFill>
            <w14:solidFill>
              <w14:schemeClr w14:val="tx1"/>
            </w14:solidFill>
          </w14:textFill>
        </w:rPr>
        <w:t>References</w:t>
      </w:r>
    </w:p>
    <w:p w14:paraId="42D880F1">
      <w:pPr>
        <w:pStyle w:val="92"/>
        <w:rPr>
          <w:rFonts w:ascii="Calibri" w:hAnsi="Calibri" w:cs="Calibri"/>
          <w:color w:val="000000"/>
        </w:rPr>
      </w:pPr>
      <w:r>
        <w:rPr>
          <w:rFonts w:ascii="Calibri" w:hAnsi="Calibri" w:cs="Calibri"/>
          <w:color w:val="000000" w:themeColor="text1"/>
          <w14:textFill>
            <w14:solidFill>
              <w14:schemeClr w14:val="tx1"/>
            </w14:solidFill>
          </w14:textFill>
        </w:rPr>
        <w:fldChar w:fldCharType="begin"/>
      </w:r>
      <w:r>
        <w:rPr>
          <w:rFonts w:ascii="Calibri" w:hAnsi="Calibri" w:cs="Calibri"/>
          <w:color w:val="000000" w:themeColor="text1"/>
          <w14:textFill>
            <w14:solidFill>
              <w14:schemeClr w14:val="tx1"/>
            </w14:solidFill>
          </w14:textFill>
        </w:rPr>
        <w:instrText xml:space="preserve"> ADDIN ZOTERO_BIBL {"uncited":[],"omitted":[],"custom":[]} CSL_BIBLIOGRAPHY </w:instrText>
      </w:r>
      <w:r>
        <w:rPr>
          <w:rFonts w:ascii="Calibri" w:hAnsi="Calibri" w:cs="Calibri"/>
          <w:color w:val="000000" w:themeColor="text1"/>
          <w14:textFill>
            <w14:solidFill>
              <w14:schemeClr w14:val="tx1"/>
            </w14:solidFill>
          </w14:textFill>
        </w:rPr>
        <w:fldChar w:fldCharType="separate"/>
      </w:r>
      <w:r>
        <w:rPr>
          <w:rFonts w:ascii="Calibri" w:hAnsi="Calibri" w:cs="Calibri"/>
          <w:color w:val="000000"/>
        </w:rPr>
        <w:t>1.</w:t>
      </w:r>
      <w:r>
        <w:rPr>
          <w:rFonts w:ascii="Calibri" w:hAnsi="Calibri" w:cs="Calibri"/>
          <w:color w:val="000000"/>
        </w:rPr>
        <w:tab/>
      </w:r>
      <w:r>
        <w:rPr>
          <w:rFonts w:ascii="Calibri" w:hAnsi="Calibri" w:cs="Calibri"/>
          <w:color w:val="000000"/>
        </w:rPr>
        <w:t xml:space="preserve">Page, J. M. </w:t>
      </w:r>
      <w:r>
        <w:rPr>
          <w:rFonts w:ascii="Calibri" w:hAnsi="Calibri" w:cs="Calibri"/>
          <w:i/>
          <w:iCs/>
          <w:color w:val="000000"/>
        </w:rPr>
        <w:t>et al.</w:t>
      </w:r>
      <w:r>
        <w:rPr>
          <w:rFonts w:ascii="Calibri" w:hAnsi="Calibri" w:cs="Calibri"/>
          <w:color w:val="000000"/>
        </w:rPr>
        <w:t xml:space="preserve"> Characteristics of stillbirths associated with diabetes in a diverse U.S. cohort. </w:t>
      </w:r>
      <w:r>
        <w:rPr>
          <w:rFonts w:ascii="Calibri" w:hAnsi="Calibri" w:cs="Calibri"/>
          <w:i/>
          <w:iCs/>
          <w:color w:val="000000"/>
        </w:rPr>
        <w:t>Obstet. Gynecol.</w:t>
      </w:r>
      <w:r>
        <w:rPr>
          <w:rFonts w:ascii="Calibri" w:hAnsi="Calibri" w:cs="Calibri"/>
          <w:color w:val="000000"/>
        </w:rPr>
        <w:t xml:space="preserve"> </w:t>
      </w:r>
      <w:r>
        <w:rPr>
          <w:rFonts w:ascii="Calibri" w:hAnsi="Calibri" w:cs="Calibri"/>
          <w:b/>
          <w:bCs/>
          <w:color w:val="000000"/>
        </w:rPr>
        <w:t>136</w:t>
      </w:r>
      <w:r>
        <w:rPr>
          <w:rFonts w:ascii="Calibri" w:hAnsi="Calibri" w:cs="Calibri"/>
          <w:color w:val="000000"/>
        </w:rPr>
        <w:t>, 1095–1102 (2020).</w:t>
      </w:r>
    </w:p>
    <w:p w14:paraId="06D7651C">
      <w:pPr>
        <w:pStyle w:val="92"/>
        <w:rPr>
          <w:rFonts w:ascii="Calibri" w:hAnsi="Calibri" w:cs="Calibri"/>
          <w:color w:val="000000"/>
        </w:rPr>
      </w:pPr>
      <w:r>
        <w:rPr>
          <w:rFonts w:ascii="Calibri" w:hAnsi="Calibri" w:cs="Calibri"/>
          <w:color w:val="000000"/>
        </w:rPr>
        <w:t>2.</w:t>
      </w:r>
      <w:r>
        <w:rPr>
          <w:rFonts w:ascii="Calibri" w:hAnsi="Calibri" w:cs="Calibri"/>
          <w:color w:val="000000"/>
        </w:rPr>
        <w:tab/>
      </w:r>
      <w:r>
        <w:rPr>
          <w:rFonts w:ascii="Calibri" w:hAnsi="Calibri" w:cs="Calibri"/>
          <w:color w:val="000000"/>
        </w:rPr>
        <w:t xml:space="preserve">Selen, D. J. </w:t>
      </w:r>
      <w:r>
        <w:rPr>
          <w:rFonts w:ascii="Calibri" w:hAnsi="Calibri" w:cs="Calibri"/>
          <w:i/>
          <w:iCs/>
          <w:color w:val="000000"/>
        </w:rPr>
        <w:t>et al.</w:t>
      </w:r>
      <w:r>
        <w:rPr>
          <w:rFonts w:ascii="Calibri" w:hAnsi="Calibri" w:cs="Calibri"/>
          <w:color w:val="000000"/>
        </w:rPr>
        <w:t xml:space="preserve"> Gestational glucose intolerance and risk of future diabetes. </w:t>
      </w:r>
      <w:r>
        <w:rPr>
          <w:rFonts w:ascii="Calibri" w:hAnsi="Calibri" w:cs="Calibri"/>
          <w:i/>
          <w:iCs/>
          <w:color w:val="000000"/>
        </w:rPr>
        <w:t>Diabetes Care</w:t>
      </w:r>
      <w:r>
        <w:rPr>
          <w:rFonts w:ascii="Calibri" w:hAnsi="Calibri" w:cs="Calibri"/>
          <w:color w:val="000000"/>
        </w:rPr>
        <w:t xml:space="preserve"> </w:t>
      </w:r>
      <w:r>
        <w:rPr>
          <w:rFonts w:ascii="Calibri" w:hAnsi="Calibri" w:cs="Calibri"/>
          <w:b/>
          <w:bCs/>
          <w:color w:val="000000"/>
        </w:rPr>
        <w:t>46</w:t>
      </w:r>
      <w:r>
        <w:rPr>
          <w:rFonts w:ascii="Calibri" w:hAnsi="Calibri" w:cs="Calibri"/>
          <w:color w:val="000000"/>
        </w:rPr>
        <w:t>, 83–91 (2023).</w:t>
      </w:r>
    </w:p>
    <w:p w14:paraId="104EA88F">
      <w:pPr>
        <w:pStyle w:val="92"/>
        <w:rPr>
          <w:rFonts w:ascii="Calibri" w:hAnsi="Calibri" w:cs="Calibri"/>
          <w:color w:val="000000"/>
        </w:rPr>
      </w:pPr>
      <w:r>
        <w:rPr>
          <w:rFonts w:ascii="Calibri" w:hAnsi="Calibri" w:cs="Calibri"/>
          <w:color w:val="000000"/>
        </w:rPr>
        <w:t>3.</w:t>
      </w:r>
      <w:r>
        <w:rPr>
          <w:rFonts w:ascii="Calibri" w:hAnsi="Calibri" w:cs="Calibri"/>
          <w:color w:val="000000"/>
        </w:rPr>
        <w:tab/>
      </w:r>
      <w:r>
        <w:rPr>
          <w:rFonts w:ascii="Calibri" w:hAnsi="Calibri" w:cs="Calibri"/>
          <w:color w:val="000000"/>
        </w:rPr>
        <w:t xml:space="preserve">Iwama, N. </w:t>
      </w:r>
      <w:r>
        <w:rPr>
          <w:rFonts w:ascii="Calibri" w:hAnsi="Calibri" w:cs="Calibri"/>
          <w:i/>
          <w:iCs/>
          <w:color w:val="000000"/>
        </w:rPr>
        <w:t>et al.</w:t>
      </w:r>
      <w:r>
        <w:rPr>
          <w:rFonts w:ascii="Calibri" w:hAnsi="Calibri" w:cs="Calibri"/>
          <w:color w:val="000000"/>
        </w:rPr>
        <w:t xml:space="preserve"> Impact of maternal overweight/obesity and high fasting plasma glucose on adverse perinatal outcomes in early gestational diabetes mellitus. </w:t>
      </w:r>
      <w:r>
        <w:rPr>
          <w:rFonts w:ascii="Calibri" w:hAnsi="Calibri" w:cs="Calibri"/>
          <w:i/>
          <w:iCs/>
          <w:color w:val="000000"/>
        </w:rPr>
        <w:t>J. Diabetes Investig.</w:t>
      </w:r>
      <w:r>
        <w:rPr>
          <w:rFonts w:ascii="Calibri" w:hAnsi="Calibri" w:cs="Calibri"/>
          <w:color w:val="000000"/>
        </w:rPr>
        <w:t xml:space="preserve"> </w:t>
      </w:r>
      <w:r>
        <w:rPr>
          <w:rFonts w:ascii="Calibri" w:hAnsi="Calibri" w:cs="Calibri"/>
          <w:b/>
          <w:bCs/>
          <w:color w:val="000000"/>
        </w:rPr>
        <w:t>16</w:t>
      </w:r>
      <w:r>
        <w:rPr>
          <w:rFonts w:ascii="Calibri" w:hAnsi="Calibri" w:cs="Calibri"/>
          <w:color w:val="000000"/>
        </w:rPr>
        <w:t>, 744–754 (2025).</w:t>
      </w:r>
    </w:p>
    <w:p w14:paraId="34A53112">
      <w:pPr>
        <w:pStyle w:val="92"/>
        <w:rPr>
          <w:rFonts w:ascii="Calibri" w:hAnsi="Calibri" w:cs="Calibri"/>
          <w:color w:val="000000"/>
        </w:rPr>
      </w:pPr>
      <w:r>
        <w:rPr>
          <w:rFonts w:ascii="Calibri" w:hAnsi="Calibri" w:cs="Calibri"/>
          <w:color w:val="000000"/>
        </w:rPr>
        <w:t>4.</w:t>
      </w:r>
      <w:r>
        <w:rPr>
          <w:rFonts w:ascii="Calibri" w:hAnsi="Calibri" w:cs="Calibri"/>
          <w:color w:val="000000"/>
        </w:rPr>
        <w:tab/>
      </w:r>
      <w:r>
        <w:rPr>
          <w:rFonts w:ascii="Calibri" w:hAnsi="Calibri" w:cs="Calibri"/>
          <w:color w:val="000000"/>
        </w:rPr>
        <w:t xml:space="preserve">Beunen, K. </w:t>
      </w:r>
      <w:r>
        <w:rPr>
          <w:rFonts w:ascii="Calibri" w:hAnsi="Calibri" w:cs="Calibri"/>
          <w:i/>
          <w:iCs/>
          <w:color w:val="000000"/>
        </w:rPr>
        <w:t>et al.</w:t>
      </w:r>
      <w:r>
        <w:rPr>
          <w:rFonts w:ascii="Calibri" w:hAnsi="Calibri" w:cs="Calibri"/>
          <w:color w:val="000000"/>
        </w:rPr>
        <w:t xml:space="preserve"> Fetal size monitoring in women with gestational diabetes and normal glucose tolerance. </w:t>
      </w:r>
      <w:r>
        <w:rPr>
          <w:rFonts w:ascii="Calibri" w:hAnsi="Calibri" w:cs="Calibri"/>
          <w:i/>
          <w:iCs/>
          <w:color w:val="000000"/>
        </w:rPr>
        <w:t>Acta Diabetol.</w:t>
      </w:r>
      <w:r>
        <w:rPr>
          <w:rFonts w:ascii="Calibri" w:hAnsi="Calibri" w:cs="Calibri"/>
          <w:color w:val="000000"/>
        </w:rPr>
        <w:t xml:space="preserve"> </w:t>
      </w:r>
      <w:r>
        <w:rPr>
          <w:rFonts w:ascii="Calibri" w:hAnsi="Calibri" w:cs="Calibri"/>
          <w:b/>
          <w:bCs/>
          <w:color w:val="000000"/>
        </w:rPr>
        <w:t>62</w:t>
      </w:r>
      <w:r>
        <w:rPr>
          <w:rFonts w:ascii="Calibri" w:hAnsi="Calibri" w:cs="Calibri"/>
          <w:color w:val="000000"/>
        </w:rPr>
        <w:t>, 35–48 (2025).</w:t>
      </w:r>
    </w:p>
    <w:p w14:paraId="40583F14">
      <w:pPr>
        <w:pStyle w:val="92"/>
        <w:rPr>
          <w:rFonts w:ascii="Calibri" w:hAnsi="Calibri" w:cs="Calibri"/>
          <w:color w:val="000000"/>
        </w:rPr>
      </w:pPr>
      <w:r>
        <w:rPr>
          <w:rFonts w:ascii="Calibri" w:hAnsi="Calibri" w:cs="Calibri"/>
          <w:color w:val="000000"/>
        </w:rPr>
        <w:t>5.</w:t>
      </w:r>
      <w:r>
        <w:rPr>
          <w:rFonts w:ascii="Calibri" w:hAnsi="Calibri" w:cs="Calibri"/>
          <w:color w:val="000000"/>
        </w:rPr>
        <w:tab/>
      </w:r>
      <w:r>
        <w:rPr>
          <w:rFonts w:ascii="Calibri" w:hAnsi="Calibri" w:cs="Calibri"/>
          <w:color w:val="000000"/>
        </w:rPr>
        <w:t xml:space="preserve">Golshahi, F. </w:t>
      </w:r>
      <w:r>
        <w:rPr>
          <w:rFonts w:ascii="Calibri" w:hAnsi="Calibri" w:cs="Calibri"/>
          <w:i/>
          <w:iCs/>
          <w:color w:val="000000"/>
        </w:rPr>
        <w:t>et al.</w:t>
      </w:r>
      <w:r>
        <w:rPr>
          <w:rFonts w:ascii="Calibri" w:hAnsi="Calibri" w:cs="Calibri"/>
          <w:color w:val="000000"/>
        </w:rPr>
        <w:t xml:space="preserve"> Comparing umbilical cord arterial blood gas findings in pregnancies with and without gestational diabetes mellitus following elective cesarean section: a  multicenter retrospective cohort study in Iran. </w:t>
      </w:r>
      <w:r>
        <w:rPr>
          <w:rFonts w:ascii="Calibri" w:hAnsi="Calibri" w:cs="Calibri"/>
          <w:i/>
          <w:iCs/>
          <w:color w:val="000000"/>
        </w:rPr>
        <w:t>BMC Pregnancy Childbirth</w:t>
      </w:r>
      <w:r>
        <w:rPr>
          <w:rFonts w:ascii="Calibri" w:hAnsi="Calibri" w:cs="Calibri"/>
          <w:color w:val="000000"/>
        </w:rPr>
        <w:t xml:space="preserve"> </w:t>
      </w:r>
      <w:r>
        <w:rPr>
          <w:rFonts w:ascii="Calibri" w:hAnsi="Calibri" w:cs="Calibri"/>
          <w:b/>
          <w:bCs/>
          <w:color w:val="000000"/>
        </w:rPr>
        <w:t>25</w:t>
      </w:r>
      <w:r>
        <w:rPr>
          <w:rFonts w:ascii="Calibri" w:hAnsi="Calibri" w:cs="Calibri"/>
          <w:color w:val="000000"/>
        </w:rPr>
        <w:t>, 412 (2025).</w:t>
      </w:r>
    </w:p>
    <w:p w14:paraId="1478BD4E">
      <w:pPr>
        <w:pStyle w:val="92"/>
        <w:rPr>
          <w:rFonts w:ascii="Calibri" w:hAnsi="Calibri" w:cs="Calibri"/>
          <w:color w:val="000000"/>
        </w:rPr>
      </w:pPr>
      <w:r>
        <w:rPr>
          <w:rFonts w:ascii="Calibri" w:hAnsi="Calibri" w:cs="Calibri"/>
          <w:color w:val="000000"/>
        </w:rPr>
        <w:t>6.</w:t>
      </w:r>
      <w:r>
        <w:rPr>
          <w:rFonts w:ascii="Calibri" w:hAnsi="Calibri" w:cs="Calibri"/>
          <w:color w:val="000000"/>
        </w:rPr>
        <w:tab/>
      </w:r>
      <w:r>
        <w:rPr>
          <w:rFonts w:ascii="Calibri" w:hAnsi="Calibri" w:cs="Calibri"/>
          <w:color w:val="000000"/>
        </w:rPr>
        <w:t xml:space="preserve">Derakhshan, A. </w:t>
      </w:r>
      <w:r>
        <w:rPr>
          <w:rFonts w:ascii="Calibri" w:hAnsi="Calibri" w:cs="Calibri"/>
          <w:i/>
          <w:iCs/>
          <w:color w:val="000000"/>
        </w:rPr>
        <w:t>et al.</w:t>
      </w:r>
      <w:r>
        <w:rPr>
          <w:rFonts w:ascii="Calibri" w:hAnsi="Calibri" w:cs="Calibri"/>
          <w:color w:val="000000"/>
        </w:rPr>
        <w:t xml:space="preserve"> Association of maternal thyroid function with birthweight: a systematic review and individual-participant data meta-analysis. </w:t>
      </w:r>
      <w:r>
        <w:rPr>
          <w:rFonts w:ascii="Calibri" w:hAnsi="Calibri" w:cs="Calibri"/>
          <w:i/>
          <w:iCs/>
          <w:color w:val="000000"/>
        </w:rPr>
        <w:t>Lancet Diabetes Endocrinol.</w:t>
      </w:r>
      <w:r>
        <w:rPr>
          <w:rFonts w:ascii="Calibri" w:hAnsi="Calibri" w:cs="Calibri"/>
          <w:color w:val="000000"/>
        </w:rPr>
        <w:t xml:space="preserve"> </w:t>
      </w:r>
      <w:r>
        <w:rPr>
          <w:rFonts w:ascii="Calibri" w:hAnsi="Calibri" w:cs="Calibri"/>
          <w:b/>
          <w:bCs/>
          <w:color w:val="000000"/>
        </w:rPr>
        <w:t>8</w:t>
      </w:r>
      <w:r>
        <w:rPr>
          <w:rFonts w:ascii="Calibri" w:hAnsi="Calibri" w:cs="Calibri"/>
          <w:color w:val="000000"/>
        </w:rPr>
        <w:t>, 501–510 (2020).</w:t>
      </w:r>
    </w:p>
    <w:p w14:paraId="77032768">
      <w:pPr>
        <w:pStyle w:val="92"/>
        <w:rPr>
          <w:rFonts w:ascii="Calibri" w:hAnsi="Calibri" w:cs="Calibri"/>
          <w:color w:val="000000"/>
        </w:rPr>
      </w:pPr>
      <w:r>
        <w:rPr>
          <w:rFonts w:ascii="Calibri" w:hAnsi="Calibri" w:cs="Calibri"/>
          <w:color w:val="000000"/>
        </w:rPr>
        <w:t>7.</w:t>
      </w:r>
      <w:r>
        <w:rPr>
          <w:rFonts w:ascii="Calibri" w:hAnsi="Calibri" w:cs="Calibri"/>
          <w:color w:val="000000"/>
        </w:rPr>
        <w:tab/>
      </w:r>
      <w:r>
        <w:rPr>
          <w:rFonts w:ascii="Calibri" w:hAnsi="Calibri" w:cs="Calibri"/>
          <w:color w:val="000000"/>
        </w:rPr>
        <w:t xml:space="preserve">Toloza, F. J. K. </w:t>
      </w:r>
      <w:r>
        <w:rPr>
          <w:rFonts w:ascii="Calibri" w:hAnsi="Calibri" w:cs="Calibri"/>
          <w:i/>
          <w:iCs/>
          <w:color w:val="000000"/>
        </w:rPr>
        <w:t>et al.</w:t>
      </w:r>
      <w:r>
        <w:rPr>
          <w:rFonts w:ascii="Calibri" w:hAnsi="Calibri" w:cs="Calibri"/>
          <w:color w:val="000000"/>
        </w:rPr>
        <w:t xml:space="preserve"> Association between maternal thyroid function and risk of gestational hypertension and pre-eclampsia: a systematic review and individual-participant  data meta-analysis. </w:t>
      </w:r>
      <w:r>
        <w:rPr>
          <w:rFonts w:ascii="Calibri" w:hAnsi="Calibri" w:cs="Calibri"/>
          <w:i/>
          <w:iCs/>
          <w:color w:val="000000"/>
        </w:rPr>
        <w:t>Lancet Diabetes Endocrinol.</w:t>
      </w:r>
      <w:r>
        <w:rPr>
          <w:rFonts w:ascii="Calibri" w:hAnsi="Calibri" w:cs="Calibri"/>
          <w:color w:val="000000"/>
        </w:rPr>
        <w:t xml:space="preserve"> </w:t>
      </w:r>
      <w:r>
        <w:rPr>
          <w:rFonts w:ascii="Calibri" w:hAnsi="Calibri" w:cs="Calibri"/>
          <w:b/>
          <w:bCs/>
          <w:color w:val="000000"/>
        </w:rPr>
        <w:t>10</w:t>
      </w:r>
      <w:r>
        <w:rPr>
          <w:rFonts w:ascii="Calibri" w:hAnsi="Calibri" w:cs="Calibri"/>
          <w:color w:val="000000"/>
        </w:rPr>
        <w:t>, 243–252 (2022).</w:t>
      </w:r>
    </w:p>
    <w:p w14:paraId="4F0BCB53">
      <w:pPr>
        <w:pStyle w:val="92"/>
        <w:rPr>
          <w:rFonts w:ascii="Calibri" w:hAnsi="Calibri" w:cs="Calibri"/>
          <w:color w:val="000000"/>
        </w:rPr>
      </w:pPr>
      <w:r>
        <w:rPr>
          <w:rFonts w:ascii="Calibri" w:hAnsi="Calibri" w:cs="Calibri"/>
          <w:color w:val="000000"/>
        </w:rPr>
        <w:t>8.</w:t>
      </w:r>
      <w:r>
        <w:rPr>
          <w:rFonts w:ascii="Calibri" w:hAnsi="Calibri" w:cs="Calibri"/>
          <w:color w:val="000000"/>
        </w:rPr>
        <w:tab/>
      </w:r>
      <w:r>
        <w:rPr>
          <w:rFonts w:ascii="Calibri" w:hAnsi="Calibri" w:cs="Calibri"/>
          <w:color w:val="000000"/>
        </w:rPr>
        <w:t xml:space="preserve">Jiao, X.-F. </w:t>
      </w:r>
      <w:r>
        <w:rPr>
          <w:rFonts w:ascii="Calibri" w:hAnsi="Calibri" w:cs="Calibri"/>
          <w:i/>
          <w:iCs/>
          <w:color w:val="000000"/>
        </w:rPr>
        <w:t>et al.</w:t>
      </w:r>
      <w:r>
        <w:rPr>
          <w:rFonts w:ascii="Calibri" w:hAnsi="Calibri" w:cs="Calibri"/>
          <w:color w:val="000000"/>
        </w:rPr>
        <w:t xml:space="preserve"> The impact of levothyroxine therapy on the pregnancy, neonatal and childhood outcomes of subclinical hypothyroidism during pregnancy: an updated systematic  review, meta-analysis and trial sequential analysis. </w:t>
      </w:r>
      <w:r>
        <w:rPr>
          <w:rFonts w:ascii="Calibri" w:hAnsi="Calibri" w:cs="Calibri"/>
          <w:i/>
          <w:iCs/>
          <w:color w:val="000000"/>
        </w:rPr>
        <w:t>Front. Endocrinol.</w:t>
      </w:r>
      <w:r>
        <w:rPr>
          <w:rFonts w:ascii="Calibri" w:hAnsi="Calibri" w:cs="Calibri"/>
          <w:color w:val="000000"/>
        </w:rPr>
        <w:t xml:space="preserve"> </w:t>
      </w:r>
      <w:r>
        <w:rPr>
          <w:rFonts w:ascii="Calibri" w:hAnsi="Calibri" w:cs="Calibri"/>
          <w:b/>
          <w:bCs/>
          <w:color w:val="000000"/>
        </w:rPr>
        <w:t>13</w:t>
      </w:r>
      <w:r>
        <w:rPr>
          <w:rFonts w:ascii="Calibri" w:hAnsi="Calibri" w:cs="Calibri"/>
          <w:color w:val="000000"/>
        </w:rPr>
        <w:t>, 964084 (2022).</w:t>
      </w:r>
    </w:p>
    <w:p w14:paraId="12840373">
      <w:pPr>
        <w:pStyle w:val="92"/>
        <w:rPr>
          <w:rFonts w:ascii="Calibri" w:hAnsi="Calibri" w:cs="Calibri"/>
          <w:color w:val="000000"/>
        </w:rPr>
      </w:pPr>
      <w:r>
        <w:rPr>
          <w:rFonts w:ascii="Calibri" w:hAnsi="Calibri" w:cs="Calibri"/>
          <w:color w:val="000000"/>
        </w:rPr>
        <w:t>9.</w:t>
      </w:r>
      <w:r>
        <w:rPr>
          <w:rFonts w:ascii="Calibri" w:hAnsi="Calibri" w:cs="Calibri"/>
          <w:color w:val="000000"/>
        </w:rPr>
        <w:tab/>
      </w:r>
      <w:r>
        <w:rPr>
          <w:rFonts w:ascii="Calibri" w:hAnsi="Calibri" w:cs="Calibri"/>
          <w:color w:val="000000"/>
        </w:rPr>
        <w:t xml:space="preserve">Gao, S. </w:t>
      </w:r>
      <w:r>
        <w:rPr>
          <w:rFonts w:ascii="Calibri" w:hAnsi="Calibri" w:cs="Calibri"/>
          <w:i/>
          <w:iCs/>
          <w:color w:val="000000"/>
        </w:rPr>
        <w:t>et al.</w:t>
      </w:r>
      <w:r>
        <w:rPr>
          <w:rFonts w:ascii="Calibri" w:hAnsi="Calibri" w:cs="Calibri"/>
          <w:color w:val="000000"/>
        </w:rPr>
        <w:t xml:space="preserve"> Levothyroxine treatment in pregnant women with thyrotropin levels ranging between 2.5 and 10 mIU/L: A propensity score matched analysis. </w:t>
      </w:r>
      <w:r>
        <w:rPr>
          <w:rFonts w:ascii="Calibri" w:hAnsi="Calibri" w:cs="Calibri"/>
          <w:i/>
          <w:iCs/>
          <w:color w:val="000000"/>
        </w:rPr>
        <w:t>Thyroid Off. J. Am. Thyroid Assoc.</w:t>
      </w:r>
      <w:r>
        <w:rPr>
          <w:rFonts w:ascii="Calibri" w:hAnsi="Calibri" w:cs="Calibri"/>
          <w:color w:val="000000"/>
        </w:rPr>
        <w:t xml:space="preserve"> </w:t>
      </w:r>
      <w:r>
        <w:rPr>
          <w:rFonts w:ascii="Calibri" w:hAnsi="Calibri" w:cs="Calibri"/>
          <w:b/>
          <w:bCs/>
          <w:color w:val="000000"/>
        </w:rPr>
        <w:t>34</w:t>
      </w:r>
      <w:r>
        <w:rPr>
          <w:rFonts w:ascii="Calibri" w:hAnsi="Calibri" w:cs="Calibri"/>
          <w:color w:val="000000"/>
        </w:rPr>
        <w:t>, 912–919 (2024).</w:t>
      </w:r>
    </w:p>
    <w:p w14:paraId="6D851383">
      <w:pPr>
        <w:pStyle w:val="92"/>
        <w:rPr>
          <w:rFonts w:ascii="Calibri" w:hAnsi="Calibri" w:cs="Calibri"/>
          <w:color w:val="000000"/>
        </w:rPr>
      </w:pPr>
      <w:r>
        <w:rPr>
          <w:rFonts w:ascii="Calibri" w:hAnsi="Calibri" w:cs="Calibri"/>
          <w:color w:val="000000"/>
        </w:rPr>
        <w:t>10.</w:t>
      </w:r>
      <w:r>
        <w:rPr>
          <w:rFonts w:ascii="Calibri" w:hAnsi="Calibri" w:cs="Calibri"/>
          <w:color w:val="000000"/>
        </w:rPr>
        <w:tab/>
      </w:r>
      <w:r>
        <w:rPr>
          <w:rFonts w:ascii="Calibri" w:hAnsi="Calibri" w:cs="Calibri"/>
          <w:color w:val="000000"/>
        </w:rPr>
        <w:t xml:space="preserve">Foo, R. X. </w:t>
      </w:r>
      <w:r>
        <w:rPr>
          <w:rFonts w:ascii="Calibri" w:hAnsi="Calibri" w:cs="Calibri"/>
          <w:i/>
          <w:iCs/>
          <w:color w:val="000000"/>
        </w:rPr>
        <w:t>et al.</w:t>
      </w:r>
      <w:r>
        <w:rPr>
          <w:rFonts w:ascii="Calibri" w:hAnsi="Calibri" w:cs="Calibri"/>
          <w:color w:val="000000"/>
        </w:rPr>
        <w:t xml:space="preserve"> Gestational diabetes mellitus and development of intergenerational non-alcoholic fatty liver disease (NAFLD) after delivery: a systematic review and  meta-analysis. </w:t>
      </w:r>
      <w:r>
        <w:rPr>
          <w:rFonts w:ascii="Calibri" w:hAnsi="Calibri" w:cs="Calibri"/>
          <w:i/>
          <w:iCs/>
          <w:color w:val="000000"/>
        </w:rPr>
        <w:t>Eclinicalmedicine</w:t>
      </w:r>
      <w:r>
        <w:rPr>
          <w:rFonts w:ascii="Calibri" w:hAnsi="Calibri" w:cs="Calibri"/>
          <w:color w:val="000000"/>
        </w:rPr>
        <w:t xml:space="preserve"> </w:t>
      </w:r>
      <w:r>
        <w:rPr>
          <w:rFonts w:ascii="Calibri" w:hAnsi="Calibri" w:cs="Calibri"/>
          <w:b/>
          <w:bCs/>
          <w:color w:val="000000"/>
        </w:rPr>
        <w:t>72</w:t>
      </w:r>
      <w:r>
        <w:rPr>
          <w:rFonts w:ascii="Calibri" w:hAnsi="Calibri" w:cs="Calibri"/>
          <w:color w:val="000000"/>
        </w:rPr>
        <w:t>, 102609 (2024).</w:t>
      </w:r>
    </w:p>
    <w:p w14:paraId="254A8665">
      <w:pPr>
        <w:pStyle w:val="92"/>
        <w:rPr>
          <w:rFonts w:ascii="Calibri" w:hAnsi="Calibri" w:cs="Calibri"/>
          <w:color w:val="000000"/>
        </w:rPr>
      </w:pPr>
      <w:r>
        <w:rPr>
          <w:rFonts w:ascii="Calibri" w:hAnsi="Calibri" w:cs="Calibri"/>
          <w:color w:val="000000"/>
        </w:rPr>
        <w:t>11.</w:t>
      </w:r>
      <w:r>
        <w:rPr>
          <w:rFonts w:ascii="Calibri" w:hAnsi="Calibri" w:cs="Calibri"/>
          <w:color w:val="000000"/>
        </w:rPr>
        <w:tab/>
      </w:r>
      <w:r>
        <w:rPr>
          <w:rFonts w:ascii="Calibri" w:hAnsi="Calibri" w:cs="Calibri"/>
          <w:color w:val="000000"/>
        </w:rPr>
        <w:t xml:space="preserve">Wang, X. </w:t>
      </w:r>
      <w:r>
        <w:rPr>
          <w:rFonts w:ascii="Calibri" w:hAnsi="Calibri" w:cs="Calibri"/>
          <w:i/>
          <w:iCs/>
          <w:color w:val="000000"/>
        </w:rPr>
        <w:t>et al.</w:t>
      </w:r>
      <w:r>
        <w:rPr>
          <w:rFonts w:ascii="Calibri" w:hAnsi="Calibri" w:cs="Calibri"/>
          <w:color w:val="000000"/>
        </w:rPr>
        <w:t xml:space="preserve"> The association between dyslipidaemia in the first trimester and adverse pregnancy outcomes in pregnant women with subclinical hypothyroidism: A cohort  study. </w:t>
      </w:r>
      <w:r>
        <w:rPr>
          <w:rFonts w:ascii="Calibri" w:hAnsi="Calibri" w:cs="Calibri"/>
          <w:i/>
          <w:iCs/>
          <w:color w:val="000000"/>
        </w:rPr>
        <w:t>Lipids Health Dis.</w:t>
      </w:r>
      <w:r>
        <w:rPr>
          <w:rFonts w:ascii="Calibri" w:hAnsi="Calibri" w:cs="Calibri"/>
          <w:color w:val="000000"/>
        </w:rPr>
        <w:t xml:space="preserve"> </w:t>
      </w:r>
      <w:r>
        <w:rPr>
          <w:rFonts w:ascii="Calibri" w:hAnsi="Calibri" w:cs="Calibri"/>
          <w:b/>
          <w:bCs/>
          <w:color w:val="000000"/>
        </w:rPr>
        <w:t>23</w:t>
      </w:r>
      <w:r>
        <w:rPr>
          <w:rFonts w:ascii="Calibri" w:hAnsi="Calibri" w:cs="Calibri"/>
          <w:color w:val="000000"/>
        </w:rPr>
        <w:t>, 13 (2024).</w:t>
      </w:r>
    </w:p>
    <w:p w14:paraId="3712A9A2">
      <w:pPr>
        <w:pStyle w:val="92"/>
        <w:rPr>
          <w:rFonts w:ascii="Calibri" w:hAnsi="Calibri" w:cs="Calibri"/>
          <w:color w:val="000000"/>
        </w:rPr>
      </w:pPr>
      <w:r>
        <w:rPr>
          <w:rFonts w:ascii="Calibri" w:hAnsi="Calibri" w:cs="Calibri"/>
          <w:color w:val="000000"/>
        </w:rPr>
        <w:t>12.</w:t>
      </w:r>
      <w:r>
        <w:rPr>
          <w:rFonts w:ascii="Calibri" w:hAnsi="Calibri" w:cs="Calibri"/>
          <w:color w:val="000000"/>
        </w:rPr>
        <w:tab/>
      </w:r>
      <w:r>
        <w:rPr>
          <w:rFonts w:ascii="Calibri" w:hAnsi="Calibri" w:cs="Calibri"/>
          <w:color w:val="000000"/>
        </w:rPr>
        <w:t xml:space="preserve">Mihai, M. </w:t>
      </w:r>
      <w:r>
        <w:rPr>
          <w:rFonts w:ascii="Calibri" w:hAnsi="Calibri" w:cs="Calibri"/>
          <w:i/>
          <w:iCs/>
          <w:color w:val="000000"/>
        </w:rPr>
        <w:t>et al.</w:t>
      </w:r>
      <w:r>
        <w:rPr>
          <w:rFonts w:ascii="Calibri" w:hAnsi="Calibri" w:cs="Calibri"/>
          <w:color w:val="000000"/>
        </w:rPr>
        <w:t xml:space="preserve"> Subclinical hypothyroidism and gestational hypertensive disorders in a cohort of romanian pregnant women with gestational diabetes mellitus: a pilot study. </w:t>
      </w:r>
      <w:r>
        <w:rPr>
          <w:rFonts w:ascii="Calibri" w:hAnsi="Calibri" w:cs="Calibri"/>
          <w:i/>
          <w:iCs/>
          <w:color w:val="000000"/>
        </w:rPr>
        <w:t>Biomedicines</w:t>
      </w:r>
      <w:r>
        <w:rPr>
          <w:rFonts w:ascii="Calibri" w:hAnsi="Calibri" w:cs="Calibri"/>
          <w:color w:val="000000"/>
        </w:rPr>
        <w:t xml:space="preserve"> </w:t>
      </w:r>
      <w:r>
        <w:rPr>
          <w:rFonts w:ascii="Calibri" w:hAnsi="Calibri" w:cs="Calibri"/>
          <w:b/>
          <w:bCs/>
          <w:color w:val="000000"/>
        </w:rPr>
        <w:t>12</w:t>
      </w:r>
      <w:r>
        <w:rPr>
          <w:rFonts w:ascii="Calibri" w:hAnsi="Calibri" w:cs="Calibri"/>
          <w:color w:val="000000"/>
        </w:rPr>
        <w:t>, (2024).</w:t>
      </w:r>
    </w:p>
    <w:p w14:paraId="620276A1">
      <w:pPr>
        <w:pStyle w:val="92"/>
        <w:rPr>
          <w:rFonts w:ascii="Calibri" w:hAnsi="Calibri" w:cs="Calibri"/>
          <w:color w:val="000000"/>
        </w:rPr>
      </w:pPr>
      <w:r>
        <w:rPr>
          <w:rFonts w:ascii="Calibri" w:hAnsi="Calibri" w:cs="Calibri"/>
          <w:color w:val="000000"/>
        </w:rPr>
        <w:t>13.</w:t>
      </w:r>
      <w:r>
        <w:rPr>
          <w:rFonts w:ascii="Calibri" w:hAnsi="Calibri" w:cs="Calibri"/>
          <w:color w:val="000000"/>
        </w:rPr>
        <w:tab/>
      </w:r>
      <w:r>
        <w:rPr>
          <w:rFonts w:ascii="Calibri" w:hAnsi="Calibri" w:cs="Calibri"/>
          <w:color w:val="000000"/>
        </w:rPr>
        <w:t xml:space="preserve">Ying, Q. </w:t>
      </w:r>
      <w:r>
        <w:rPr>
          <w:rFonts w:ascii="Calibri" w:hAnsi="Calibri" w:cs="Calibri"/>
          <w:i/>
          <w:iCs/>
          <w:color w:val="000000"/>
        </w:rPr>
        <w:t>et al.</w:t>
      </w:r>
      <w:r>
        <w:rPr>
          <w:rFonts w:ascii="Calibri" w:hAnsi="Calibri" w:cs="Calibri"/>
          <w:color w:val="000000"/>
        </w:rPr>
        <w:t xml:space="preserve"> Gestational diabetes mellitus and risk of long-term all-cause and cardiac mortality: a prospective cohort study. </w:t>
      </w:r>
      <w:r>
        <w:rPr>
          <w:rFonts w:ascii="Calibri" w:hAnsi="Calibri" w:cs="Calibri"/>
          <w:i/>
          <w:iCs/>
          <w:color w:val="000000"/>
        </w:rPr>
        <w:t>Cardiovasc. Diabetol.</w:t>
      </w:r>
      <w:r>
        <w:rPr>
          <w:rFonts w:ascii="Calibri" w:hAnsi="Calibri" w:cs="Calibri"/>
          <w:color w:val="000000"/>
        </w:rPr>
        <w:t xml:space="preserve"> </w:t>
      </w:r>
      <w:r>
        <w:rPr>
          <w:rFonts w:ascii="Calibri" w:hAnsi="Calibri" w:cs="Calibri"/>
          <w:b/>
          <w:bCs/>
          <w:color w:val="000000"/>
        </w:rPr>
        <w:t>23</w:t>
      </w:r>
      <w:r>
        <w:rPr>
          <w:rFonts w:ascii="Calibri" w:hAnsi="Calibri" w:cs="Calibri"/>
          <w:color w:val="000000"/>
        </w:rPr>
        <w:t>, 47 (2024).</w:t>
      </w:r>
    </w:p>
    <w:p w14:paraId="138DE2F8">
      <w:pPr>
        <w:pStyle w:val="92"/>
        <w:rPr>
          <w:rFonts w:ascii="Calibri" w:hAnsi="Calibri" w:cs="Calibri"/>
          <w:color w:val="000000"/>
        </w:rPr>
      </w:pPr>
      <w:r>
        <w:rPr>
          <w:rFonts w:ascii="Calibri" w:hAnsi="Calibri" w:cs="Calibri"/>
          <w:color w:val="000000"/>
        </w:rPr>
        <w:t>14.</w:t>
      </w:r>
      <w:r>
        <w:rPr>
          <w:rFonts w:ascii="Calibri" w:hAnsi="Calibri" w:cs="Calibri"/>
          <w:color w:val="000000"/>
        </w:rPr>
        <w:tab/>
      </w:r>
      <w:r>
        <w:rPr>
          <w:rFonts w:ascii="Calibri" w:hAnsi="Calibri" w:cs="Calibri"/>
          <w:color w:val="000000"/>
        </w:rPr>
        <w:t xml:space="preserve">Tagami, K. </w:t>
      </w:r>
      <w:r>
        <w:rPr>
          <w:rFonts w:ascii="Calibri" w:hAnsi="Calibri" w:cs="Calibri"/>
          <w:i/>
          <w:iCs/>
          <w:color w:val="000000"/>
        </w:rPr>
        <w:t>et al.</w:t>
      </w:r>
      <w:r>
        <w:rPr>
          <w:rFonts w:ascii="Calibri" w:hAnsi="Calibri" w:cs="Calibri"/>
          <w:color w:val="000000"/>
        </w:rPr>
        <w:t xml:space="preserve"> Advanced maternal age is a risk factor for both early and late gestational diabetes mellitus: the Japan environment and children’s study. </w:t>
      </w:r>
      <w:r>
        <w:rPr>
          <w:rFonts w:ascii="Calibri" w:hAnsi="Calibri" w:cs="Calibri"/>
          <w:i/>
          <w:iCs/>
          <w:color w:val="000000"/>
        </w:rPr>
        <w:t>J. Diabetes Investig.</w:t>
      </w:r>
      <w:r>
        <w:rPr>
          <w:rFonts w:ascii="Calibri" w:hAnsi="Calibri" w:cs="Calibri"/>
          <w:color w:val="000000"/>
        </w:rPr>
        <w:t xml:space="preserve"> </w:t>
      </w:r>
      <w:r>
        <w:rPr>
          <w:rFonts w:ascii="Calibri" w:hAnsi="Calibri" w:cs="Calibri"/>
          <w:b/>
          <w:bCs/>
          <w:color w:val="000000"/>
        </w:rPr>
        <w:t>16</w:t>
      </w:r>
      <w:r>
        <w:rPr>
          <w:rFonts w:ascii="Calibri" w:hAnsi="Calibri" w:cs="Calibri"/>
          <w:color w:val="000000"/>
        </w:rPr>
        <w:t>, 735–743 (2025).</w:t>
      </w:r>
    </w:p>
    <w:p w14:paraId="45490DD3">
      <w:pPr>
        <w:pStyle w:val="92"/>
        <w:rPr>
          <w:rFonts w:ascii="Calibri" w:hAnsi="Calibri" w:cs="Calibri"/>
          <w:color w:val="000000"/>
        </w:rPr>
      </w:pPr>
      <w:r>
        <w:rPr>
          <w:rFonts w:ascii="Calibri" w:hAnsi="Calibri" w:cs="Calibri"/>
          <w:color w:val="000000"/>
        </w:rPr>
        <w:t>15.</w:t>
      </w:r>
      <w:r>
        <w:rPr>
          <w:rFonts w:ascii="Calibri" w:hAnsi="Calibri" w:cs="Calibri"/>
          <w:color w:val="000000"/>
        </w:rPr>
        <w:tab/>
      </w:r>
      <w:r>
        <w:rPr>
          <w:rFonts w:ascii="Calibri" w:hAnsi="Calibri" w:cs="Calibri"/>
          <w:color w:val="000000"/>
        </w:rPr>
        <w:t xml:space="preserve">Payandeh, N. </w:t>
      </w:r>
      <w:r>
        <w:rPr>
          <w:rFonts w:ascii="Calibri" w:hAnsi="Calibri" w:cs="Calibri"/>
          <w:i/>
          <w:iCs/>
          <w:color w:val="000000"/>
        </w:rPr>
        <w:t>et al.</w:t>
      </w:r>
      <w:r>
        <w:rPr>
          <w:rFonts w:ascii="Calibri" w:hAnsi="Calibri" w:cs="Calibri"/>
          <w:color w:val="000000"/>
        </w:rPr>
        <w:t xml:space="preserve"> The association between the dietary inflammatory index during pregnancy and risk of gestational diabetes: a prospective cohort study and a meta-analysis. </w:t>
      </w:r>
      <w:r>
        <w:rPr>
          <w:rFonts w:ascii="Calibri" w:hAnsi="Calibri" w:cs="Calibri"/>
          <w:i/>
          <w:iCs/>
          <w:color w:val="000000"/>
        </w:rPr>
        <w:t>BMC Endocr. Disord.</w:t>
      </w:r>
      <w:r>
        <w:rPr>
          <w:rFonts w:ascii="Calibri" w:hAnsi="Calibri" w:cs="Calibri"/>
          <w:color w:val="000000"/>
        </w:rPr>
        <w:t xml:space="preserve"> </w:t>
      </w:r>
      <w:r>
        <w:rPr>
          <w:rFonts w:ascii="Calibri" w:hAnsi="Calibri" w:cs="Calibri"/>
          <w:b/>
          <w:bCs/>
          <w:color w:val="000000"/>
        </w:rPr>
        <w:t>25</w:t>
      </w:r>
      <w:r>
        <w:rPr>
          <w:rFonts w:ascii="Calibri" w:hAnsi="Calibri" w:cs="Calibri"/>
          <w:color w:val="000000"/>
        </w:rPr>
        <w:t>, 29 (2025).</w:t>
      </w:r>
    </w:p>
    <w:p w14:paraId="1EA4274E">
      <w:pPr>
        <w:pStyle w:val="92"/>
        <w:rPr>
          <w:rFonts w:ascii="Calibri" w:hAnsi="Calibri" w:cs="Calibri"/>
          <w:color w:val="000000"/>
        </w:rPr>
      </w:pPr>
      <w:r>
        <w:rPr>
          <w:rFonts w:ascii="Calibri" w:hAnsi="Calibri" w:cs="Calibri"/>
          <w:color w:val="000000"/>
        </w:rPr>
        <w:t>16.</w:t>
      </w:r>
      <w:r>
        <w:rPr>
          <w:rFonts w:ascii="Calibri" w:hAnsi="Calibri" w:cs="Calibri"/>
          <w:color w:val="000000"/>
        </w:rPr>
        <w:tab/>
      </w:r>
      <w:r>
        <w:rPr>
          <w:rFonts w:ascii="Calibri" w:hAnsi="Calibri" w:cs="Calibri"/>
          <w:color w:val="000000"/>
        </w:rPr>
        <w:t xml:space="preserve">Talebi, S. </w:t>
      </w:r>
      <w:r>
        <w:rPr>
          <w:rFonts w:ascii="Calibri" w:hAnsi="Calibri" w:cs="Calibri"/>
          <w:i/>
          <w:iCs/>
          <w:color w:val="000000"/>
        </w:rPr>
        <w:t>et al.</w:t>
      </w:r>
      <w:r>
        <w:rPr>
          <w:rFonts w:ascii="Calibri" w:hAnsi="Calibri" w:cs="Calibri"/>
          <w:color w:val="000000"/>
        </w:rPr>
        <w:t xml:space="preserve"> Dietary fat intake with risk of gestational diabetes mellitus and preeclampsia: a systematic review and meta-analysis of prospective cohort studies. </w:t>
      </w:r>
      <w:r>
        <w:rPr>
          <w:rFonts w:ascii="Calibri" w:hAnsi="Calibri" w:cs="Calibri"/>
          <w:i/>
          <w:iCs/>
          <w:color w:val="000000"/>
        </w:rPr>
        <w:t>Nutr. Rev.</w:t>
      </w:r>
      <w:r>
        <w:rPr>
          <w:rFonts w:ascii="Calibri" w:hAnsi="Calibri" w:cs="Calibri"/>
          <w:color w:val="000000"/>
        </w:rPr>
        <w:t xml:space="preserve"> </w:t>
      </w:r>
      <w:r>
        <w:rPr>
          <w:rFonts w:ascii="Calibri" w:hAnsi="Calibri" w:cs="Calibri"/>
          <w:b/>
          <w:bCs/>
          <w:color w:val="000000"/>
        </w:rPr>
        <w:t>83</w:t>
      </w:r>
      <w:r>
        <w:rPr>
          <w:rFonts w:ascii="Calibri" w:hAnsi="Calibri" w:cs="Calibri"/>
          <w:color w:val="000000"/>
        </w:rPr>
        <w:t>, e74–e87 (2025).</w:t>
      </w:r>
    </w:p>
    <w:p w14:paraId="1A849209">
      <w:pPr>
        <w:pStyle w:val="92"/>
        <w:rPr>
          <w:rFonts w:ascii="Calibri" w:hAnsi="Calibri" w:cs="Calibri"/>
          <w:color w:val="000000"/>
        </w:rPr>
      </w:pPr>
      <w:r>
        <w:rPr>
          <w:rFonts w:ascii="Calibri" w:hAnsi="Calibri" w:cs="Calibri"/>
          <w:color w:val="000000"/>
        </w:rPr>
        <w:t>17.</w:t>
      </w:r>
      <w:r>
        <w:rPr>
          <w:rFonts w:ascii="Calibri" w:hAnsi="Calibri" w:cs="Calibri"/>
          <w:color w:val="000000"/>
        </w:rPr>
        <w:tab/>
      </w:r>
      <w:r>
        <w:rPr>
          <w:rFonts w:ascii="Calibri" w:hAnsi="Calibri" w:cs="Calibri"/>
          <w:color w:val="000000"/>
        </w:rPr>
        <w:t xml:space="preserve">Zhao, D. </w:t>
      </w:r>
      <w:r>
        <w:rPr>
          <w:rFonts w:ascii="Calibri" w:hAnsi="Calibri" w:cs="Calibri"/>
          <w:i/>
          <w:iCs/>
          <w:color w:val="000000"/>
        </w:rPr>
        <w:t>et al.</w:t>
      </w:r>
      <w:r>
        <w:rPr>
          <w:rFonts w:ascii="Calibri" w:hAnsi="Calibri" w:cs="Calibri"/>
          <w:color w:val="000000"/>
        </w:rPr>
        <w:t xml:space="preserve"> A prospective study of early pregnancy metal concentrations and gestational diabetes mellitus based on a birth cohort in northwest China. </w:t>
      </w:r>
      <w:r>
        <w:rPr>
          <w:rFonts w:ascii="Calibri" w:hAnsi="Calibri" w:cs="Calibri"/>
          <w:i/>
          <w:iCs/>
          <w:color w:val="000000"/>
        </w:rPr>
        <w:t>BMC Pregnancy Childbirth</w:t>
      </w:r>
      <w:r>
        <w:rPr>
          <w:rFonts w:ascii="Calibri" w:hAnsi="Calibri" w:cs="Calibri"/>
          <w:color w:val="000000"/>
        </w:rPr>
        <w:t xml:space="preserve"> </w:t>
      </w:r>
      <w:r>
        <w:rPr>
          <w:rFonts w:ascii="Calibri" w:hAnsi="Calibri" w:cs="Calibri"/>
          <w:b/>
          <w:bCs/>
          <w:color w:val="000000"/>
        </w:rPr>
        <w:t>25</w:t>
      </w:r>
      <w:r>
        <w:rPr>
          <w:rFonts w:ascii="Calibri" w:hAnsi="Calibri" w:cs="Calibri"/>
          <w:color w:val="000000"/>
        </w:rPr>
        <w:t>, 387 (2025).</w:t>
      </w:r>
    </w:p>
    <w:p w14:paraId="6AE32DAC">
      <w:pPr>
        <w:pStyle w:val="92"/>
        <w:rPr>
          <w:rFonts w:ascii="Calibri" w:hAnsi="Calibri" w:cs="Calibri"/>
          <w:color w:val="000000"/>
        </w:rPr>
      </w:pPr>
      <w:r>
        <w:rPr>
          <w:rFonts w:ascii="Calibri" w:hAnsi="Calibri" w:cs="Calibri"/>
          <w:color w:val="000000"/>
        </w:rPr>
        <w:t>18.</w:t>
      </w:r>
      <w:r>
        <w:rPr>
          <w:rFonts w:ascii="Calibri" w:hAnsi="Calibri" w:cs="Calibri"/>
          <w:color w:val="000000"/>
        </w:rPr>
        <w:tab/>
      </w:r>
      <w:r>
        <w:rPr>
          <w:rFonts w:ascii="Calibri" w:hAnsi="Calibri" w:cs="Calibri"/>
          <w:color w:val="000000"/>
        </w:rPr>
        <w:t xml:space="preserve">Hu, Y. </w:t>
      </w:r>
      <w:r>
        <w:rPr>
          <w:rFonts w:ascii="Calibri" w:hAnsi="Calibri" w:cs="Calibri"/>
          <w:i/>
          <w:iCs/>
          <w:color w:val="000000"/>
        </w:rPr>
        <w:t>et al.</w:t>
      </w:r>
      <w:r>
        <w:rPr>
          <w:rFonts w:ascii="Calibri" w:hAnsi="Calibri" w:cs="Calibri"/>
          <w:color w:val="000000"/>
        </w:rPr>
        <w:t xml:space="preserve"> </w:t>
      </w:r>
      <w:bookmarkStart w:id="40" w:name="OLE_LINK54"/>
      <w:r>
        <w:rPr>
          <w:rFonts w:ascii="Calibri" w:hAnsi="Calibri" w:cs="Calibri"/>
          <w:color w:val="000000"/>
        </w:rPr>
        <w:t>Circulating miR-486-3p as a potential biomarker for the diagnosis of gestational diabetes mellitus and the prediction of adverse pregnancy outcomes.</w:t>
      </w:r>
      <w:bookmarkEnd w:id="40"/>
      <w:r>
        <w:rPr>
          <w:rFonts w:ascii="Calibri" w:hAnsi="Calibri" w:cs="Calibri"/>
          <w:color w:val="000000"/>
        </w:rPr>
        <w:t xml:space="preserve"> </w:t>
      </w:r>
      <w:r>
        <w:rPr>
          <w:rFonts w:ascii="Calibri" w:hAnsi="Calibri" w:cs="Calibri"/>
          <w:i/>
          <w:iCs/>
          <w:color w:val="000000"/>
        </w:rPr>
        <w:t>BMC Pregnancy Childbirth</w:t>
      </w:r>
      <w:r>
        <w:rPr>
          <w:rFonts w:ascii="Calibri" w:hAnsi="Calibri" w:cs="Calibri"/>
          <w:color w:val="000000"/>
        </w:rPr>
        <w:t xml:space="preserve"> </w:t>
      </w:r>
      <w:r>
        <w:rPr>
          <w:rFonts w:ascii="Calibri" w:hAnsi="Calibri" w:cs="Calibri"/>
          <w:b/>
          <w:bCs/>
          <w:color w:val="000000"/>
        </w:rPr>
        <w:t>25</w:t>
      </w:r>
      <w:r>
        <w:rPr>
          <w:rFonts w:ascii="Calibri" w:hAnsi="Calibri" w:cs="Calibri"/>
          <w:color w:val="000000"/>
        </w:rPr>
        <w:t>, 291 (2025).</w:t>
      </w:r>
    </w:p>
    <w:p w14:paraId="285C077D">
      <w:pPr>
        <w:pStyle w:val="92"/>
        <w:rPr>
          <w:rFonts w:ascii="Calibri" w:hAnsi="Calibri" w:cs="Calibri"/>
          <w:color w:val="000000"/>
        </w:rPr>
      </w:pPr>
      <w:r>
        <w:rPr>
          <w:rFonts w:ascii="Calibri" w:hAnsi="Calibri" w:cs="Calibri"/>
          <w:color w:val="000000"/>
        </w:rPr>
        <w:t>19.</w:t>
      </w:r>
      <w:r>
        <w:rPr>
          <w:rFonts w:ascii="Calibri" w:hAnsi="Calibri" w:cs="Calibri"/>
          <w:color w:val="000000"/>
        </w:rPr>
        <w:tab/>
      </w:r>
      <w:r>
        <w:rPr>
          <w:rFonts w:ascii="Calibri" w:hAnsi="Calibri" w:cs="Calibri"/>
          <w:color w:val="000000"/>
        </w:rPr>
        <w:t xml:space="preserve">Yang, Z. </w:t>
      </w:r>
      <w:r>
        <w:rPr>
          <w:rFonts w:ascii="Calibri" w:hAnsi="Calibri" w:cs="Calibri"/>
          <w:i/>
          <w:iCs/>
          <w:color w:val="000000"/>
        </w:rPr>
        <w:t>et al.</w:t>
      </w:r>
      <w:r>
        <w:rPr>
          <w:rFonts w:ascii="Calibri" w:hAnsi="Calibri" w:cs="Calibri"/>
          <w:color w:val="000000"/>
        </w:rPr>
        <w:t xml:space="preserve"> Associations between exposure to phthalates and subclinical hypothyroidism in pregnant women during early pregnancy: a pilot case-control study in China. </w:t>
      </w:r>
      <w:r>
        <w:rPr>
          <w:rFonts w:ascii="Calibri" w:hAnsi="Calibri" w:cs="Calibri"/>
          <w:i/>
          <w:iCs/>
          <w:color w:val="000000"/>
        </w:rPr>
        <w:t>Environ. Pollut. Barking Essex 1987</w:t>
      </w:r>
      <w:r>
        <w:rPr>
          <w:rFonts w:ascii="Calibri" w:hAnsi="Calibri" w:cs="Calibri"/>
          <w:color w:val="000000"/>
        </w:rPr>
        <w:t xml:space="preserve"> </w:t>
      </w:r>
      <w:r>
        <w:rPr>
          <w:rFonts w:ascii="Calibri" w:hAnsi="Calibri" w:cs="Calibri"/>
          <w:b/>
          <w:bCs/>
          <w:color w:val="000000"/>
        </w:rPr>
        <w:t>320</w:t>
      </w:r>
      <w:r>
        <w:rPr>
          <w:rFonts w:ascii="Calibri" w:hAnsi="Calibri" w:cs="Calibri"/>
          <w:color w:val="000000"/>
        </w:rPr>
        <w:t>, 121051 (2023).</w:t>
      </w:r>
    </w:p>
    <w:p w14:paraId="6D97FE61">
      <w:pPr>
        <w:pStyle w:val="92"/>
        <w:rPr>
          <w:rFonts w:ascii="Calibri" w:hAnsi="Calibri" w:cs="Calibri"/>
          <w:color w:val="000000"/>
        </w:rPr>
      </w:pPr>
      <w:r>
        <w:rPr>
          <w:rFonts w:ascii="Calibri" w:hAnsi="Calibri" w:cs="Calibri"/>
          <w:color w:val="000000"/>
        </w:rPr>
        <w:t>20.</w:t>
      </w:r>
      <w:r>
        <w:rPr>
          <w:rFonts w:ascii="Calibri" w:hAnsi="Calibri" w:cs="Calibri"/>
          <w:color w:val="000000"/>
        </w:rPr>
        <w:tab/>
      </w:r>
      <w:r>
        <w:rPr>
          <w:rFonts w:ascii="Calibri" w:hAnsi="Calibri" w:cs="Calibri"/>
          <w:color w:val="000000"/>
        </w:rPr>
        <w:t xml:space="preserve">Zhang, T., Xia, Y., Han, T.-L., Zhang, H. &amp; Baker, P. N. Five serum fatty acids are associated with subclinical hypothyroidism in a chinese pregnant population. </w:t>
      </w:r>
      <w:r>
        <w:rPr>
          <w:rFonts w:ascii="Calibri" w:hAnsi="Calibri" w:cs="Calibri"/>
          <w:i/>
          <w:iCs/>
          <w:color w:val="000000"/>
        </w:rPr>
        <w:t>Sci. Rep.</w:t>
      </w:r>
      <w:r>
        <w:rPr>
          <w:rFonts w:ascii="Calibri" w:hAnsi="Calibri" w:cs="Calibri"/>
          <w:color w:val="000000"/>
        </w:rPr>
        <w:t xml:space="preserve"> </w:t>
      </w:r>
      <w:r>
        <w:rPr>
          <w:rFonts w:ascii="Calibri" w:hAnsi="Calibri" w:cs="Calibri"/>
          <w:b/>
          <w:bCs/>
          <w:color w:val="000000"/>
        </w:rPr>
        <w:t>10</w:t>
      </w:r>
      <w:r>
        <w:rPr>
          <w:rFonts w:ascii="Calibri" w:hAnsi="Calibri" w:cs="Calibri"/>
          <w:color w:val="000000"/>
        </w:rPr>
        <w:t>, 6743 (2020).</w:t>
      </w:r>
    </w:p>
    <w:p w14:paraId="7B06C360">
      <w:pPr>
        <w:pStyle w:val="92"/>
        <w:rPr>
          <w:rFonts w:ascii="Calibri" w:hAnsi="Calibri" w:cs="Calibri"/>
          <w:color w:val="000000"/>
        </w:rPr>
      </w:pPr>
      <w:r>
        <w:rPr>
          <w:rFonts w:ascii="Calibri" w:hAnsi="Calibri" w:cs="Calibri"/>
          <w:color w:val="000000"/>
        </w:rPr>
        <w:t>21.</w:t>
      </w:r>
      <w:r>
        <w:rPr>
          <w:rFonts w:ascii="Calibri" w:hAnsi="Calibri" w:cs="Calibri"/>
          <w:color w:val="000000"/>
        </w:rPr>
        <w:tab/>
      </w:r>
      <w:r>
        <w:rPr>
          <w:rFonts w:ascii="Calibri" w:hAnsi="Calibri" w:cs="Calibri"/>
          <w:color w:val="000000"/>
        </w:rPr>
        <w:t xml:space="preserve">Li, Q. </w:t>
      </w:r>
      <w:r>
        <w:rPr>
          <w:rFonts w:ascii="Calibri" w:hAnsi="Calibri" w:cs="Calibri"/>
          <w:i/>
          <w:iCs/>
          <w:color w:val="000000"/>
        </w:rPr>
        <w:t>et al.</w:t>
      </w:r>
      <w:r>
        <w:rPr>
          <w:rFonts w:ascii="Calibri" w:hAnsi="Calibri" w:cs="Calibri"/>
          <w:color w:val="000000"/>
        </w:rPr>
        <w:t xml:space="preserve"> Plasma manganese levels and risk of gestational diabetes mellitus: a prospective cohort study. </w:t>
      </w:r>
      <w:r>
        <w:rPr>
          <w:rFonts w:ascii="Calibri" w:hAnsi="Calibri" w:cs="Calibri"/>
          <w:i/>
          <w:iCs/>
          <w:color w:val="000000"/>
        </w:rPr>
        <w:t>Environ. Sci. Technol.</w:t>
      </w:r>
      <w:r>
        <w:rPr>
          <w:rFonts w:ascii="Calibri" w:hAnsi="Calibri" w:cs="Calibri"/>
          <w:color w:val="000000"/>
        </w:rPr>
        <w:t xml:space="preserve"> </w:t>
      </w:r>
      <w:r>
        <w:rPr>
          <w:rFonts w:ascii="Calibri" w:hAnsi="Calibri" w:cs="Calibri"/>
          <w:b/>
          <w:bCs/>
          <w:color w:val="000000"/>
        </w:rPr>
        <w:t>56</w:t>
      </w:r>
      <w:r>
        <w:rPr>
          <w:rFonts w:ascii="Calibri" w:hAnsi="Calibri" w:cs="Calibri"/>
          <w:color w:val="000000"/>
        </w:rPr>
        <w:t>, 15860–15868 (2022).</w:t>
      </w:r>
    </w:p>
    <w:p w14:paraId="4D82288B">
      <w:pPr>
        <w:pStyle w:val="92"/>
        <w:rPr>
          <w:rFonts w:ascii="Calibri" w:hAnsi="Calibri" w:cs="Calibri"/>
          <w:color w:val="000000"/>
        </w:rPr>
      </w:pPr>
      <w:r>
        <w:rPr>
          <w:rFonts w:ascii="Calibri" w:hAnsi="Calibri" w:cs="Calibri"/>
          <w:color w:val="000000"/>
        </w:rPr>
        <w:t>22.</w:t>
      </w:r>
      <w:r>
        <w:rPr>
          <w:rFonts w:ascii="Calibri" w:hAnsi="Calibri" w:cs="Calibri"/>
          <w:color w:val="000000"/>
        </w:rPr>
        <w:tab/>
      </w:r>
      <w:r>
        <w:rPr>
          <w:rFonts w:ascii="Calibri" w:hAnsi="Calibri" w:cs="Calibri"/>
          <w:color w:val="000000"/>
        </w:rPr>
        <w:t xml:space="preserve">Zhen, J. </w:t>
      </w:r>
      <w:r>
        <w:rPr>
          <w:rFonts w:ascii="Calibri" w:hAnsi="Calibri" w:cs="Calibri"/>
          <w:i/>
          <w:iCs/>
          <w:color w:val="000000"/>
        </w:rPr>
        <w:t>et al.</w:t>
      </w:r>
      <w:r>
        <w:rPr>
          <w:rFonts w:ascii="Calibri" w:hAnsi="Calibri" w:cs="Calibri"/>
          <w:color w:val="000000"/>
        </w:rPr>
        <w:t xml:space="preserve"> Genome-wide association and mendelian randomisation analysis among 30,699 chinese pregnant women identifies novel genetic and molecular risk factors for  gestational diabetes and glycaemic traits. </w:t>
      </w:r>
      <w:r>
        <w:rPr>
          <w:rFonts w:ascii="Calibri" w:hAnsi="Calibri" w:cs="Calibri"/>
          <w:i/>
          <w:iCs/>
          <w:color w:val="000000"/>
        </w:rPr>
        <w:t>Diabetologia</w:t>
      </w:r>
      <w:r>
        <w:rPr>
          <w:rFonts w:ascii="Calibri" w:hAnsi="Calibri" w:cs="Calibri"/>
          <w:color w:val="000000"/>
        </w:rPr>
        <w:t xml:space="preserve"> </w:t>
      </w:r>
      <w:r>
        <w:rPr>
          <w:rFonts w:ascii="Calibri" w:hAnsi="Calibri" w:cs="Calibri"/>
          <w:b/>
          <w:bCs/>
          <w:color w:val="000000"/>
        </w:rPr>
        <w:t>67</w:t>
      </w:r>
      <w:r>
        <w:rPr>
          <w:rFonts w:ascii="Calibri" w:hAnsi="Calibri" w:cs="Calibri"/>
          <w:color w:val="000000"/>
        </w:rPr>
        <w:t>, 703–713 (2024).</w:t>
      </w:r>
    </w:p>
    <w:p w14:paraId="155A4147">
      <w:pPr>
        <w:pStyle w:val="92"/>
        <w:rPr>
          <w:rFonts w:ascii="Calibri" w:hAnsi="Calibri" w:cs="Calibri"/>
          <w:color w:val="000000" w:themeColor="text1"/>
          <w14:textFill>
            <w14:solidFill>
              <w14:schemeClr w14:val="tx1"/>
            </w14:solidFill>
          </w14:textFill>
        </w:rPr>
      </w:pPr>
      <w:r>
        <w:rPr>
          <w:rFonts w:ascii="Calibri" w:hAnsi="Calibri" w:cs="Calibri"/>
          <w:color w:val="000000" w:themeColor="text1"/>
          <w14:textFill>
            <w14:solidFill>
              <w14:schemeClr w14:val="tx1"/>
            </w14:solidFill>
          </w14:textFill>
        </w:rPr>
        <w:fldChar w:fldCharType="end"/>
      </w:r>
    </w:p>
    <w:sectPr>
      <w:pgSz w:w="11906" w:h="16838"/>
      <w:pgMar w:top="1440" w:right="1803" w:bottom="1440" w:left="1803" w:header="851" w:footer="992" w:gutter="0"/>
      <w:lnNumType w:countBy="1" w:restart="continuous"/>
      <w:cols w:space="0" w:num="1"/>
      <w:docGrid w:type="line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Light">
    <w:altName w:val="汉仪中等线KW"/>
    <w:panose1 w:val="02010600030101010101"/>
    <w:charset w:val="86"/>
    <w:family w:val="auto"/>
    <w:pitch w:val="default"/>
    <w:sig w:usb0="00000000" w:usb1="00000000" w:usb2="00000016" w:usb3="00000000" w:csb0="0004000F" w:csb1="00000000"/>
  </w:font>
  <w:font w:name="Menlo">
    <w:panose1 w:val="020B0609030804020204"/>
    <w:charset w:val="00"/>
    <w:family w:val="modern"/>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Segoe UI Symbol">
    <w:altName w:val="苹方-简"/>
    <w:panose1 w:val="020B0502040204020203"/>
    <w:charset w:val="00"/>
    <w:family w:val="swiss"/>
    <w:pitch w:val="default"/>
    <w:sig w:usb0="00000000" w:usb1="00000000" w:usb2="00040000" w:usb3="00000000" w:csb0="00000001" w:csb1="00000000"/>
  </w:font>
  <w:font w:name="PingFang SC">
    <w:panose1 w:val="020B0400000000000000"/>
    <w:charset w:val="86"/>
    <w:family w:val="swiss"/>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儷宋 Pro">
    <w:panose1 w:val="02020300000000000000"/>
    <w:charset w:val="88"/>
    <w:family w:val="auto"/>
    <w:pitch w:val="default"/>
    <w:sig w:usb0="80000001" w:usb1="28091800" w:usb2="00000016"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3EFFA">
    <w:pPr>
      <w:pStyle w:val="1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17967890" name="文本框 191796789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50CA6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FmsO3TUCAABnBAAADgAAAAAAAAABACAAAAAfAQAAZHJzL2Uyb0RvYy54bWxQ&#10;SwUGAAAAAAYABgBZAQAAxgUAAAAA&#10;">
              <v:fill on="f" focussize="0,0"/>
              <v:stroke on="f" weight="0.5pt"/>
              <v:imagedata o:title=""/>
              <o:lock v:ext="edit" aspectratio="f"/>
              <v:textbox inset="0mm,0mm,0mm,0mm" style="mso-fit-shape-to-text:t;">
                <w:txbxContent>
                  <w:p w14:paraId="7750CA67">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80056">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81307">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6781307">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hideSpellingErrors/>
  <w:hideGrammaticalErrors/>
  <w:trackRevisions w:val="1"/>
  <w:documentProtection w:enforcement="0"/>
  <w:defaultTabStop w:val="420"/>
  <w:drawingGridVerticalSpacing w:val="166"/>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101"/>
    <w:rsid w:val="00000302"/>
    <w:rsid w:val="00001528"/>
    <w:rsid w:val="000026FC"/>
    <w:rsid w:val="000032FC"/>
    <w:rsid w:val="00003780"/>
    <w:rsid w:val="00003C14"/>
    <w:rsid w:val="00003C36"/>
    <w:rsid w:val="00003E91"/>
    <w:rsid w:val="00004D63"/>
    <w:rsid w:val="00005B6A"/>
    <w:rsid w:val="0000692E"/>
    <w:rsid w:val="000074EE"/>
    <w:rsid w:val="0001099A"/>
    <w:rsid w:val="00010C6C"/>
    <w:rsid w:val="00011C2E"/>
    <w:rsid w:val="0001229D"/>
    <w:rsid w:val="00012D37"/>
    <w:rsid w:val="000136A3"/>
    <w:rsid w:val="000145FF"/>
    <w:rsid w:val="00015713"/>
    <w:rsid w:val="00015B75"/>
    <w:rsid w:val="00016A8F"/>
    <w:rsid w:val="00016CFD"/>
    <w:rsid w:val="000171B9"/>
    <w:rsid w:val="000173C9"/>
    <w:rsid w:val="000174A4"/>
    <w:rsid w:val="00017B83"/>
    <w:rsid w:val="00017F3C"/>
    <w:rsid w:val="00022886"/>
    <w:rsid w:val="00022A16"/>
    <w:rsid w:val="00022AED"/>
    <w:rsid w:val="00022F31"/>
    <w:rsid w:val="00023CCA"/>
    <w:rsid w:val="00023D0D"/>
    <w:rsid w:val="00024524"/>
    <w:rsid w:val="00024E81"/>
    <w:rsid w:val="000254E4"/>
    <w:rsid w:val="0002640E"/>
    <w:rsid w:val="00026478"/>
    <w:rsid w:val="00026B05"/>
    <w:rsid w:val="00027E6E"/>
    <w:rsid w:val="000300D3"/>
    <w:rsid w:val="0003016F"/>
    <w:rsid w:val="000304D1"/>
    <w:rsid w:val="000305F2"/>
    <w:rsid w:val="00033019"/>
    <w:rsid w:val="00033306"/>
    <w:rsid w:val="000341DE"/>
    <w:rsid w:val="00034F87"/>
    <w:rsid w:val="0003541A"/>
    <w:rsid w:val="0003796E"/>
    <w:rsid w:val="00037B56"/>
    <w:rsid w:val="00040877"/>
    <w:rsid w:val="000411F2"/>
    <w:rsid w:val="00041BAB"/>
    <w:rsid w:val="000420E2"/>
    <w:rsid w:val="00042312"/>
    <w:rsid w:val="0004249F"/>
    <w:rsid w:val="000425AB"/>
    <w:rsid w:val="00042A60"/>
    <w:rsid w:val="00043325"/>
    <w:rsid w:val="000435D4"/>
    <w:rsid w:val="00043C71"/>
    <w:rsid w:val="0004435D"/>
    <w:rsid w:val="00044FCF"/>
    <w:rsid w:val="000456BF"/>
    <w:rsid w:val="00045744"/>
    <w:rsid w:val="0004630A"/>
    <w:rsid w:val="000503D1"/>
    <w:rsid w:val="00050525"/>
    <w:rsid w:val="00051573"/>
    <w:rsid w:val="000516C2"/>
    <w:rsid w:val="0005284F"/>
    <w:rsid w:val="000542E7"/>
    <w:rsid w:val="000574D9"/>
    <w:rsid w:val="000607A1"/>
    <w:rsid w:val="0006110A"/>
    <w:rsid w:val="00061A63"/>
    <w:rsid w:val="00063191"/>
    <w:rsid w:val="000634FE"/>
    <w:rsid w:val="00063E0C"/>
    <w:rsid w:val="000648B4"/>
    <w:rsid w:val="000652F6"/>
    <w:rsid w:val="00066C4D"/>
    <w:rsid w:val="0006713C"/>
    <w:rsid w:val="0006739E"/>
    <w:rsid w:val="0006783E"/>
    <w:rsid w:val="0007016C"/>
    <w:rsid w:val="00070659"/>
    <w:rsid w:val="000730A7"/>
    <w:rsid w:val="00073519"/>
    <w:rsid w:val="00073CBD"/>
    <w:rsid w:val="00073F9A"/>
    <w:rsid w:val="00074C5D"/>
    <w:rsid w:val="000755DB"/>
    <w:rsid w:val="000765B6"/>
    <w:rsid w:val="000779ED"/>
    <w:rsid w:val="000808F7"/>
    <w:rsid w:val="00081744"/>
    <w:rsid w:val="0008182B"/>
    <w:rsid w:val="000832F5"/>
    <w:rsid w:val="000840CE"/>
    <w:rsid w:val="0008459C"/>
    <w:rsid w:val="000850B9"/>
    <w:rsid w:val="00085659"/>
    <w:rsid w:val="00085720"/>
    <w:rsid w:val="000863BD"/>
    <w:rsid w:val="00090BF5"/>
    <w:rsid w:val="000917EF"/>
    <w:rsid w:val="00091B99"/>
    <w:rsid w:val="0009227F"/>
    <w:rsid w:val="00094253"/>
    <w:rsid w:val="00095810"/>
    <w:rsid w:val="000958AE"/>
    <w:rsid w:val="00095981"/>
    <w:rsid w:val="000959A0"/>
    <w:rsid w:val="00097989"/>
    <w:rsid w:val="00097D9D"/>
    <w:rsid w:val="000A0392"/>
    <w:rsid w:val="000A0429"/>
    <w:rsid w:val="000A0C7C"/>
    <w:rsid w:val="000A10C0"/>
    <w:rsid w:val="000A239D"/>
    <w:rsid w:val="000A32D5"/>
    <w:rsid w:val="000A4399"/>
    <w:rsid w:val="000A5A07"/>
    <w:rsid w:val="000A5C99"/>
    <w:rsid w:val="000A7357"/>
    <w:rsid w:val="000B09F8"/>
    <w:rsid w:val="000B1008"/>
    <w:rsid w:val="000B2655"/>
    <w:rsid w:val="000B27E0"/>
    <w:rsid w:val="000B322C"/>
    <w:rsid w:val="000B3E4E"/>
    <w:rsid w:val="000B460B"/>
    <w:rsid w:val="000B502E"/>
    <w:rsid w:val="000B578C"/>
    <w:rsid w:val="000B6F35"/>
    <w:rsid w:val="000B756D"/>
    <w:rsid w:val="000B7EB3"/>
    <w:rsid w:val="000C0058"/>
    <w:rsid w:val="000C0178"/>
    <w:rsid w:val="000C05C6"/>
    <w:rsid w:val="000C0ED3"/>
    <w:rsid w:val="000C223D"/>
    <w:rsid w:val="000C2C82"/>
    <w:rsid w:val="000C4373"/>
    <w:rsid w:val="000C4886"/>
    <w:rsid w:val="000C4993"/>
    <w:rsid w:val="000C4CB0"/>
    <w:rsid w:val="000C6EA8"/>
    <w:rsid w:val="000C7CAF"/>
    <w:rsid w:val="000D03F3"/>
    <w:rsid w:val="000D066D"/>
    <w:rsid w:val="000D0C65"/>
    <w:rsid w:val="000D2684"/>
    <w:rsid w:val="000D2F3F"/>
    <w:rsid w:val="000D3977"/>
    <w:rsid w:val="000D3B01"/>
    <w:rsid w:val="000D3F40"/>
    <w:rsid w:val="000D432C"/>
    <w:rsid w:val="000D4A0A"/>
    <w:rsid w:val="000D4A35"/>
    <w:rsid w:val="000D4BF9"/>
    <w:rsid w:val="000D4EBB"/>
    <w:rsid w:val="000D539D"/>
    <w:rsid w:val="000D55D1"/>
    <w:rsid w:val="000D59FC"/>
    <w:rsid w:val="000D7120"/>
    <w:rsid w:val="000D71FD"/>
    <w:rsid w:val="000E070C"/>
    <w:rsid w:val="000E0BDF"/>
    <w:rsid w:val="000E1268"/>
    <w:rsid w:val="000E12B1"/>
    <w:rsid w:val="000E3232"/>
    <w:rsid w:val="000E397C"/>
    <w:rsid w:val="000E5011"/>
    <w:rsid w:val="000E58DA"/>
    <w:rsid w:val="000E5F36"/>
    <w:rsid w:val="000E6044"/>
    <w:rsid w:val="000E6508"/>
    <w:rsid w:val="000E65DF"/>
    <w:rsid w:val="000E751D"/>
    <w:rsid w:val="000E7721"/>
    <w:rsid w:val="000E7F61"/>
    <w:rsid w:val="000F0C4C"/>
    <w:rsid w:val="000F0EBE"/>
    <w:rsid w:val="000F17DA"/>
    <w:rsid w:val="000F1B1E"/>
    <w:rsid w:val="000F1CFC"/>
    <w:rsid w:val="000F23E4"/>
    <w:rsid w:val="000F3102"/>
    <w:rsid w:val="000F492C"/>
    <w:rsid w:val="000F543F"/>
    <w:rsid w:val="000F5AD6"/>
    <w:rsid w:val="000F6111"/>
    <w:rsid w:val="000F6203"/>
    <w:rsid w:val="000F69C3"/>
    <w:rsid w:val="00100191"/>
    <w:rsid w:val="001001AB"/>
    <w:rsid w:val="0010021E"/>
    <w:rsid w:val="00100373"/>
    <w:rsid w:val="001015BA"/>
    <w:rsid w:val="00101AB8"/>
    <w:rsid w:val="00104C1B"/>
    <w:rsid w:val="00104CC7"/>
    <w:rsid w:val="00105001"/>
    <w:rsid w:val="001052AC"/>
    <w:rsid w:val="0010787E"/>
    <w:rsid w:val="001079EA"/>
    <w:rsid w:val="00111F65"/>
    <w:rsid w:val="00112431"/>
    <w:rsid w:val="001126F7"/>
    <w:rsid w:val="00112926"/>
    <w:rsid w:val="00113526"/>
    <w:rsid w:val="00113740"/>
    <w:rsid w:val="00113B3C"/>
    <w:rsid w:val="0011441C"/>
    <w:rsid w:val="00114F08"/>
    <w:rsid w:val="001165D7"/>
    <w:rsid w:val="00116B4F"/>
    <w:rsid w:val="001178A8"/>
    <w:rsid w:val="00117FBD"/>
    <w:rsid w:val="001222DB"/>
    <w:rsid w:val="001235F9"/>
    <w:rsid w:val="00123D47"/>
    <w:rsid w:val="001245DC"/>
    <w:rsid w:val="00125637"/>
    <w:rsid w:val="00127290"/>
    <w:rsid w:val="001279F9"/>
    <w:rsid w:val="00127C38"/>
    <w:rsid w:val="001314D2"/>
    <w:rsid w:val="0013381F"/>
    <w:rsid w:val="0013489E"/>
    <w:rsid w:val="00134B60"/>
    <w:rsid w:val="00134D27"/>
    <w:rsid w:val="00135229"/>
    <w:rsid w:val="001363AC"/>
    <w:rsid w:val="0013704F"/>
    <w:rsid w:val="00137905"/>
    <w:rsid w:val="001379FD"/>
    <w:rsid w:val="00137C28"/>
    <w:rsid w:val="00140156"/>
    <w:rsid w:val="00140BAA"/>
    <w:rsid w:val="00140D74"/>
    <w:rsid w:val="00141298"/>
    <w:rsid w:val="00141589"/>
    <w:rsid w:val="00141A5C"/>
    <w:rsid w:val="00141ECF"/>
    <w:rsid w:val="00142A80"/>
    <w:rsid w:val="00144E15"/>
    <w:rsid w:val="00146014"/>
    <w:rsid w:val="00146501"/>
    <w:rsid w:val="001468D1"/>
    <w:rsid w:val="00146EA0"/>
    <w:rsid w:val="00150C82"/>
    <w:rsid w:val="00150D30"/>
    <w:rsid w:val="00154465"/>
    <w:rsid w:val="00154D3D"/>
    <w:rsid w:val="00154FC1"/>
    <w:rsid w:val="00155B54"/>
    <w:rsid w:val="001565C6"/>
    <w:rsid w:val="001576E5"/>
    <w:rsid w:val="00161E89"/>
    <w:rsid w:val="001624D8"/>
    <w:rsid w:val="001628A0"/>
    <w:rsid w:val="00162C63"/>
    <w:rsid w:val="001632D9"/>
    <w:rsid w:val="00164BC2"/>
    <w:rsid w:val="00166B23"/>
    <w:rsid w:val="00167A0C"/>
    <w:rsid w:val="00167DC4"/>
    <w:rsid w:val="00167E7F"/>
    <w:rsid w:val="00167F98"/>
    <w:rsid w:val="00170308"/>
    <w:rsid w:val="001721FA"/>
    <w:rsid w:val="00172A72"/>
    <w:rsid w:val="00172F34"/>
    <w:rsid w:val="00173843"/>
    <w:rsid w:val="00174864"/>
    <w:rsid w:val="00175138"/>
    <w:rsid w:val="00175413"/>
    <w:rsid w:val="001765FC"/>
    <w:rsid w:val="001769E2"/>
    <w:rsid w:val="00176DE3"/>
    <w:rsid w:val="001771CE"/>
    <w:rsid w:val="001800E7"/>
    <w:rsid w:val="001819EB"/>
    <w:rsid w:val="00181AAF"/>
    <w:rsid w:val="00181C6F"/>
    <w:rsid w:val="0018221C"/>
    <w:rsid w:val="00183A5F"/>
    <w:rsid w:val="0018412C"/>
    <w:rsid w:val="00184E0A"/>
    <w:rsid w:val="00184EED"/>
    <w:rsid w:val="00185028"/>
    <w:rsid w:val="001906BE"/>
    <w:rsid w:val="00190CB1"/>
    <w:rsid w:val="0019157E"/>
    <w:rsid w:val="001924FD"/>
    <w:rsid w:val="001942BC"/>
    <w:rsid w:val="00194719"/>
    <w:rsid w:val="001948BE"/>
    <w:rsid w:val="00194D5F"/>
    <w:rsid w:val="0019548F"/>
    <w:rsid w:val="00195A52"/>
    <w:rsid w:val="00195A74"/>
    <w:rsid w:val="00196A4B"/>
    <w:rsid w:val="00197EB8"/>
    <w:rsid w:val="001A014D"/>
    <w:rsid w:val="001A052D"/>
    <w:rsid w:val="001A0F37"/>
    <w:rsid w:val="001A0F5E"/>
    <w:rsid w:val="001A1570"/>
    <w:rsid w:val="001A16F6"/>
    <w:rsid w:val="001A36B9"/>
    <w:rsid w:val="001A441E"/>
    <w:rsid w:val="001A5101"/>
    <w:rsid w:val="001A705C"/>
    <w:rsid w:val="001A70C5"/>
    <w:rsid w:val="001A7963"/>
    <w:rsid w:val="001B01C8"/>
    <w:rsid w:val="001B055A"/>
    <w:rsid w:val="001B1889"/>
    <w:rsid w:val="001B1F5D"/>
    <w:rsid w:val="001B307D"/>
    <w:rsid w:val="001B3350"/>
    <w:rsid w:val="001B39D8"/>
    <w:rsid w:val="001B3D75"/>
    <w:rsid w:val="001B5007"/>
    <w:rsid w:val="001B5982"/>
    <w:rsid w:val="001B6457"/>
    <w:rsid w:val="001B6D37"/>
    <w:rsid w:val="001B7B7E"/>
    <w:rsid w:val="001C1258"/>
    <w:rsid w:val="001C1BAA"/>
    <w:rsid w:val="001C1F37"/>
    <w:rsid w:val="001C2948"/>
    <w:rsid w:val="001C3C39"/>
    <w:rsid w:val="001C3CB9"/>
    <w:rsid w:val="001C3E14"/>
    <w:rsid w:val="001C4702"/>
    <w:rsid w:val="001C6BFF"/>
    <w:rsid w:val="001C7257"/>
    <w:rsid w:val="001C7304"/>
    <w:rsid w:val="001C76A6"/>
    <w:rsid w:val="001D024D"/>
    <w:rsid w:val="001D1372"/>
    <w:rsid w:val="001D1598"/>
    <w:rsid w:val="001D171F"/>
    <w:rsid w:val="001D173C"/>
    <w:rsid w:val="001D2D0B"/>
    <w:rsid w:val="001D2E2F"/>
    <w:rsid w:val="001D3619"/>
    <w:rsid w:val="001D3776"/>
    <w:rsid w:val="001D47A5"/>
    <w:rsid w:val="001D4B2A"/>
    <w:rsid w:val="001D538F"/>
    <w:rsid w:val="001D608A"/>
    <w:rsid w:val="001D6A99"/>
    <w:rsid w:val="001E0496"/>
    <w:rsid w:val="001E0EBD"/>
    <w:rsid w:val="001E15F3"/>
    <w:rsid w:val="001E2528"/>
    <w:rsid w:val="001E2EE2"/>
    <w:rsid w:val="001E3208"/>
    <w:rsid w:val="001E391A"/>
    <w:rsid w:val="001E46AC"/>
    <w:rsid w:val="001E514C"/>
    <w:rsid w:val="001E5E6B"/>
    <w:rsid w:val="001E6684"/>
    <w:rsid w:val="001E7480"/>
    <w:rsid w:val="001F0032"/>
    <w:rsid w:val="001F147D"/>
    <w:rsid w:val="001F168F"/>
    <w:rsid w:val="001F1988"/>
    <w:rsid w:val="001F2F3C"/>
    <w:rsid w:val="001F3996"/>
    <w:rsid w:val="001F4900"/>
    <w:rsid w:val="001F5D0F"/>
    <w:rsid w:val="001F676B"/>
    <w:rsid w:val="001F6E98"/>
    <w:rsid w:val="0020333D"/>
    <w:rsid w:val="00204299"/>
    <w:rsid w:val="00206E2B"/>
    <w:rsid w:val="00207811"/>
    <w:rsid w:val="002116F1"/>
    <w:rsid w:val="00211A4C"/>
    <w:rsid w:val="00213A28"/>
    <w:rsid w:val="002152F3"/>
    <w:rsid w:val="00215815"/>
    <w:rsid w:val="0021585D"/>
    <w:rsid w:val="0021590D"/>
    <w:rsid w:val="00220EBD"/>
    <w:rsid w:val="00221667"/>
    <w:rsid w:val="00221D8E"/>
    <w:rsid w:val="00222313"/>
    <w:rsid w:val="00222AAA"/>
    <w:rsid w:val="00222AC7"/>
    <w:rsid w:val="002262F7"/>
    <w:rsid w:val="002264FA"/>
    <w:rsid w:val="00226551"/>
    <w:rsid w:val="002266D2"/>
    <w:rsid w:val="00227537"/>
    <w:rsid w:val="00230E02"/>
    <w:rsid w:val="00231515"/>
    <w:rsid w:val="002331EE"/>
    <w:rsid w:val="002367D0"/>
    <w:rsid w:val="00241851"/>
    <w:rsid w:val="00242127"/>
    <w:rsid w:val="00242F46"/>
    <w:rsid w:val="002435AB"/>
    <w:rsid w:val="002435BC"/>
    <w:rsid w:val="00243667"/>
    <w:rsid w:val="002436D6"/>
    <w:rsid w:val="00244C13"/>
    <w:rsid w:val="00244F1E"/>
    <w:rsid w:val="00245FEA"/>
    <w:rsid w:val="00246F97"/>
    <w:rsid w:val="00247D3A"/>
    <w:rsid w:val="00247F03"/>
    <w:rsid w:val="00251793"/>
    <w:rsid w:val="00251868"/>
    <w:rsid w:val="002520CE"/>
    <w:rsid w:val="00252387"/>
    <w:rsid w:val="0025257E"/>
    <w:rsid w:val="002555F8"/>
    <w:rsid w:val="0025698B"/>
    <w:rsid w:val="00256ACF"/>
    <w:rsid w:val="00257EFF"/>
    <w:rsid w:val="00262E6C"/>
    <w:rsid w:val="0026354A"/>
    <w:rsid w:val="00263BA1"/>
    <w:rsid w:val="002649DE"/>
    <w:rsid w:val="00264CB2"/>
    <w:rsid w:val="00265659"/>
    <w:rsid w:val="002668EC"/>
    <w:rsid w:val="002678E3"/>
    <w:rsid w:val="002718AB"/>
    <w:rsid w:val="002725A9"/>
    <w:rsid w:val="00272D03"/>
    <w:rsid w:val="002736C3"/>
    <w:rsid w:val="00273B4B"/>
    <w:rsid w:val="002745B6"/>
    <w:rsid w:val="00274EC1"/>
    <w:rsid w:val="00275C3B"/>
    <w:rsid w:val="00275EB2"/>
    <w:rsid w:val="00276ECC"/>
    <w:rsid w:val="0027778C"/>
    <w:rsid w:val="002807E6"/>
    <w:rsid w:val="00280EAB"/>
    <w:rsid w:val="00281B97"/>
    <w:rsid w:val="00282776"/>
    <w:rsid w:val="002831D9"/>
    <w:rsid w:val="00283440"/>
    <w:rsid w:val="00283845"/>
    <w:rsid w:val="0028542A"/>
    <w:rsid w:val="00285997"/>
    <w:rsid w:val="00286CB7"/>
    <w:rsid w:val="00287AC8"/>
    <w:rsid w:val="00290127"/>
    <w:rsid w:val="00290D0C"/>
    <w:rsid w:val="0029244D"/>
    <w:rsid w:val="0029287E"/>
    <w:rsid w:val="00292AC8"/>
    <w:rsid w:val="00293AC1"/>
    <w:rsid w:val="00295331"/>
    <w:rsid w:val="002956D3"/>
    <w:rsid w:val="00297E3C"/>
    <w:rsid w:val="002A0391"/>
    <w:rsid w:val="002A0658"/>
    <w:rsid w:val="002A0942"/>
    <w:rsid w:val="002A0C62"/>
    <w:rsid w:val="002A37B2"/>
    <w:rsid w:val="002A41C7"/>
    <w:rsid w:val="002A46EE"/>
    <w:rsid w:val="002A4709"/>
    <w:rsid w:val="002A4E19"/>
    <w:rsid w:val="002A56F0"/>
    <w:rsid w:val="002A5DC1"/>
    <w:rsid w:val="002A61FF"/>
    <w:rsid w:val="002A66BE"/>
    <w:rsid w:val="002A67E4"/>
    <w:rsid w:val="002A7010"/>
    <w:rsid w:val="002A7152"/>
    <w:rsid w:val="002A766E"/>
    <w:rsid w:val="002A7B25"/>
    <w:rsid w:val="002B001D"/>
    <w:rsid w:val="002B0D74"/>
    <w:rsid w:val="002B12A2"/>
    <w:rsid w:val="002B1BCD"/>
    <w:rsid w:val="002B2906"/>
    <w:rsid w:val="002B3E51"/>
    <w:rsid w:val="002B4216"/>
    <w:rsid w:val="002B426E"/>
    <w:rsid w:val="002B439B"/>
    <w:rsid w:val="002B48D8"/>
    <w:rsid w:val="002B54C0"/>
    <w:rsid w:val="002B6165"/>
    <w:rsid w:val="002B713F"/>
    <w:rsid w:val="002C03D3"/>
    <w:rsid w:val="002C040D"/>
    <w:rsid w:val="002C0F74"/>
    <w:rsid w:val="002C2B5A"/>
    <w:rsid w:val="002C5A89"/>
    <w:rsid w:val="002C5D28"/>
    <w:rsid w:val="002C66BA"/>
    <w:rsid w:val="002C6A3D"/>
    <w:rsid w:val="002C6A4C"/>
    <w:rsid w:val="002C76BA"/>
    <w:rsid w:val="002C7B7C"/>
    <w:rsid w:val="002C7F68"/>
    <w:rsid w:val="002D1AA7"/>
    <w:rsid w:val="002D30B0"/>
    <w:rsid w:val="002D3FD1"/>
    <w:rsid w:val="002D46DE"/>
    <w:rsid w:val="002D4E58"/>
    <w:rsid w:val="002D558F"/>
    <w:rsid w:val="002D59FD"/>
    <w:rsid w:val="002D5E01"/>
    <w:rsid w:val="002E0324"/>
    <w:rsid w:val="002E2252"/>
    <w:rsid w:val="002E2DDC"/>
    <w:rsid w:val="002E38D5"/>
    <w:rsid w:val="002E3D69"/>
    <w:rsid w:val="002E4C06"/>
    <w:rsid w:val="002E5DDC"/>
    <w:rsid w:val="002E6803"/>
    <w:rsid w:val="002E6A53"/>
    <w:rsid w:val="002E7490"/>
    <w:rsid w:val="002E765F"/>
    <w:rsid w:val="002E7BE2"/>
    <w:rsid w:val="002E7F62"/>
    <w:rsid w:val="002F0AC6"/>
    <w:rsid w:val="002F0B74"/>
    <w:rsid w:val="002F13D1"/>
    <w:rsid w:val="002F17DF"/>
    <w:rsid w:val="002F1832"/>
    <w:rsid w:val="002F20EC"/>
    <w:rsid w:val="002F2BA5"/>
    <w:rsid w:val="002F31BB"/>
    <w:rsid w:val="002F3F4B"/>
    <w:rsid w:val="002F602C"/>
    <w:rsid w:val="002F6CAF"/>
    <w:rsid w:val="002F777E"/>
    <w:rsid w:val="003005AB"/>
    <w:rsid w:val="00300AFB"/>
    <w:rsid w:val="0030102E"/>
    <w:rsid w:val="0030166F"/>
    <w:rsid w:val="00301B36"/>
    <w:rsid w:val="00301BCC"/>
    <w:rsid w:val="00303B63"/>
    <w:rsid w:val="0030480B"/>
    <w:rsid w:val="00304A95"/>
    <w:rsid w:val="003059A6"/>
    <w:rsid w:val="00305C1B"/>
    <w:rsid w:val="0030709B"/>
    <w:rsid w:val="00311BA0"/>
    <w:rsid w:val="00311CFC"/>
    <w:rsid w:val="00312634"/>
    <w:rsid w:val="00313440"/>
    <w:rsid w:val="00313F01"/>
    <w:rsid w:val="003145A3"/>
    <w:rsid w:val="00314C28"/>
    <w:rsid w:val="003157FD"/>
    <w:rsid w:val="00317011"/>
    <w:rsid w:val="003172FE"/>
    <w:rsid w:val="003176B2"/>
    <w:rsid w:val="00317C16"/>
    <w:rsid w:val="003229A4"/>
    <w:rsid w:val="00322A2C"/>
    <w:rsid w:val="00323139"/>
    <w:rsid w:val="00324015"/>
    <w:rsid w:val="003248FC"/>
    <w:rsid w:val="00324A11"/>
    <w:rsid w:val="00324DE0"/>
    <w:rsid w:val="00326040"/>
    <w:rsid w:val="003260F3"/>
    <w:rsid w:val="00326B34"/>
    <w:rsid w:val="00327A0A"/>
    <w:rsid w:val="00330580"/>
    <w:rsid w:val="00331589"/>
    <w:rsid w:val="0033255B"/>
    <w:rsid w:val="00332C4A"/>
    <w:rsid w:val="00333637"/>
    <w:rsid w:val="0033463B"/>
    <w:rsid w:val="0033489E"/>
    <w:rsid w:val="003371A2"/>
    <w:rsid w:val="003378EA"/>
    <w:rsid w:val="00342848"/>
    <w:rsid w:val="003431C5"/>
    <w:rsid w:val="00343522"/>
    <w:rsid w:val="003437F4"/>
    <w:rsid w:val="003438FF"/>
    <w:rsid w:val="0034664A"/>
    <w:rsid w:val="00346745"/>
    <w:rsid w:val="00350BC9"/>
    <w:rsid w:val="00350E7E"/>
    <w:rsid w:val="0035141D"/>
    <w:rsid w:val="00351B68"/>
    <w:rsid w:val="00352081"/>
    <w:rsid w:val="003521E5"/>
    <w:rsid w:val="0035231F"/>
    <w:rsid w:val="00352650"/>
    <w:rsid w:val="00353179"/>
    <w:rsid w:val="003541C1"/>
    <w:rsid w:val="00354252"/>
    <w:rsid w:val="0035434C"/>
    <w:rsid w:val="00354905"/>
    <w:rsid w:val="00357B85"/>
    <w:rsid w:val="00357D0D"/>
    <w:rsid w:val="00360295"/>
    <w:rsid w:val="00361699"/>
    <w:rsid w:val="00361C79"/>
    <w:rsid w:val="00362095"/>
    <w:rsid w:val="00362B95"/>
    <w:rsid w:val="00363A7E"/>
    <w:rsid w:val="00363D21"/>
    <w:rsid w:val="0036481D"/>
    <w:rsid w:val="00364E7F"/>
    <w:rsid w:val="00365285"/>
    <w:rsid w:val="00365A20"/>
    <w:rsid w:val="0036629A"/>
    <w:rsid w:val="0036655F"/>
    <w:rsid w:val="00366AE8"/>
    <w:rsid w:val="00366BBD"/>
    <w:rsid w:val="00370508"/>
    <w:rsid w:val="00370A11"/>
    <w:rsid w:val="0037232D"/>
    <w:rsid w:val="00372B77"/>
    <w:rsid w:val="0037399F"/>
    <w:rsid w:val="00373EB1"/>
    <w:rsid w:val="00374EAC"/>
    <w:rsid w:val="00375187"/>
    <w:rsid w:val="00375195"/>
    <w:rsid w:val="003759B9"/>
    <w:rsid w:val="00375AA3"/>
    <w:rsid w:val="00375B1D"/>
    <w:rsid w:val="003760F2"/>
    <w:rsid w:val="003765C0"/>
    <w:rsid w:val="00377AA0"/>
    <w:rsid w:val="00380316"/>
    <w:rsid w:val="00380BE5"/>
    <w:rsid w:val="00381000"/>
    <w:rsid w:val="00382D0B"/>
    <w:rsid w:val="00383CB2"/>
    <w:rsid w:val="00385C0B"/>
    <w:rsid w:val="00391636"/>
    <w:rsid w:val="00391672"/>
    <w:rsid w:val="00391D74"/>
    <w:rsid w:val="00394AC6"/>
    <w:rsid w:val="0039650C"/>
    <w:rsid w:val="00396FE0"/>
    <w:rsid w:val="003A1102"/>
    <w:rsid w:val="003A1D1C"/>
    <w:rsid w:val="003A26D4"/>
    <w:rsid w:val="003A279C"/>
    <w:rsid w:val="003A27AC"/>
    <w:rsid w:val="003A300D"/>
    <w:rsid w:val="003A3AE4"/>
    <w:rsid w:val="003A42D1"/>
    <w:rsid w:val="003A4915"/>
    <w:rsid w:val="003A49C1"/>
    <w:rsid w:val="003A51E1"/>
    <w:rsid w:val="003A692E"/>
    <w:rsid w:val="003A70A1"/>
    <w:rsid w:val="003A7617"/>
    <w:rsid w:val="003A7A07"/>
    <w:rsid w:val="003B01D6"/>
    <w:rsid w:val="003B14DB"/>
    <w:rsid w:val="003B1892"/>
    <w:rsid w:val="003B1E7E"/>
    <w:rsid w:val="003B1E93"/>
    <w:rsid w:val="003B2EFE"/>
    <w:rsid w:val="003B34B4"/>
    <w:rsid w:val="003B384E"/>
    <w:rsid w:val="003B3CAB"/>
    <w:rsid w:val="003B3F79"/>
    <w:rsid w:val="003B4764"/>
    <w:rsid w:val="003B4AAC"/>
    <w:rsid w:val="003B4B22"/>
    <w:rsid w:val="003B4D49"/>
    <w:rsid w:val="003B638B"/>
    <w:rsid w:val="003B74DD"/>
    <w:rsid w:val="003B786F"/>
    <w:rsid w:val="003B7C64"/>
    <w:rsid w:val="003B7CF8"/>
    <w:rsid w:val="003C000A"/>
    <w:rsid w:val="003C04AA"/>
    <w:rsid w:val="003C0E21"/>
    <w:rsid w:val="003C3511"/>
    <w:rsid w:val="003C3AAF"/>
    <w:rsid w:val="003C3F0D"/>
    <w:rsid w:val="003C4514"/>
    <w:rsid w:val="003C4CA5"/>
    <w:rsid w:val="003C50DE"/>
    <w:rsid w:val="003C5822"/>
    <w:rsid w:val="003C6D6F"/>
    <w:rsid w:val="003D07CE"/>
    <w:rsid w:val="003D0ACF"/>
    <w:rsid w:val="003D1710"/>
    <w:rsid w:val="003D3DDE"/>
    <w:rsid w:val="003D5D32"/>
    <w:rsid w:val="003D779E"/>
    <w:rsid w:val="003E21AE"/>
    <w:rsid w:val="003E25FC"/>
    <w:rsid w:val="003E2DAF"/>
    <w:rsid w:val="003E3A83"/>
    <w:rsid w:val="003E42A9"/>
    <w:rsid w:val="003E51B3"/>
    <w:rsid w:val="003E7241"/>
    <w:rsid w:val="003E76A4"/>
    <w:rsid w:val="003E7D56"/>
    <w:rsid w:val="003E7EAF"/>
    <w:rsid w:val="003F0088"/>
    <w:rsid w:val="003F0420"/>
    <w:rsid w:val="003F0FB2"/>
    <w:rsid w:val="003F1D4B"/>
    <w:rsid w:val="003F2041"/>
    <w:rsid w:val="003F2A4C"/>
    <w:rsid w:val="003F36D3"/>
    <w:rsid w:val="003F4090"/>
    <w:rsid w:val="003F40C8"/>
    <w:rsid w:val="003F6B24"/>
    <w:rsid w:val="003F6BC4"/>
    <w:rsid w:val="003F6CAB"/>
    <w:rsid w:val="003F7A4A"/>
    <w:rsid w:val="0040050A"/>
    <w:rsid w:val="004008E0"/>
    <w:rsid w:val="0040092E"/>
    <w:rsid w:val="00400B4B"/>
    <w:rsid w:val="00400CC8"/>
    <w:rsid w:val="0040139C"/>
    <w:rsid w:val="00401AEB"/>
    <w:rsid w:val="00402255"/>
    <w:rsid w:val="004031CF"/>
    <w:rsid w:val="00404901"/>
    <w:rsid w:val="00405CD3"/>
    <w:rsid w:val="0040622B"/>
    <w:rsid w:val="00406A81"/>
    <w:rsid w:val="00406AB0"/>
    <w:rsid w:val="00406C3C"/>
    <w:rsid w:val="00407BB4"/>
    <w:rsid w:val="00411003"/>
    <w:rsid w:val="004111E6"/>
    <w:rsid w:val="00411405"/>
    <w:rsid w:val="004126AB"/>
    <w:rsid w:val="00412DC6"/>
    <w:rsid w:val="00412E7A"/>
    <w:rsid w:val="0041335A"/>
    <w:rsid w:val="00414E92"/>
    <w:rsid w:val="0041554D"/>
    <w:rsid w:val="004160B0"/>
    <w:rsid w:val="00416803"/>
    <w:rsid w:val="00417A37"/>
    <w:rsid w:val="00420DF0"/>
    <w:rsid w:val="00421BF9"/>
    <w:rsid w:val="0042371E"/>
    <w:rsid w:val="00423D58"/>
    <w:rsid w:val="0042672E"/>
    <w:rsid w:val="0042717C"/>
    <w:rsid w:val="00427296"/>
    <w:rsid w:val="0042764C"/>
    <w:rsid w:val="00427FA5"/>
    <w:rsid w:val="0043032E"/>
    <w:rsid w:val="00430942"/>
    <w:rsid w:val="00430DF6"/>
    <w:rsid w:val="00431B57"/>
    <w:rsid w:val="00431EB6"/>
    <w:rsid w:val="0043212D"/>
    <w:rsid w:val="004324D4"/>
    <w:rsid w:val="00432685"/>
    <w:rsid w:val="00432A4C"/>
    <w:rsid w:val="00432BC9"/>
    <w:rsid w:val="004345F8"/>
    <w:rsid w:val="004355A4"/>
    <w:rsid w:val="0043589C"/>
    <w:rsid w:val="00435934"/>
    <w:rsid w:val="00435FF5"/>
    <w:rsid w:val="00437016"/>
    <w:rsid w:val="0043714D"/>
    <w:rsid w:val="004403E3"/>
    <w:rsid w:val="00440443"/>
    <w:rsid w:val="00440728"/>
    <w:rsid w:val="004412C5"/>
    <w:rsid w:val="004413B8"/>
    <w:rsid w:val="00441A39"/>
    <w:rsid w:val="00441B6B"/>
    <w:rsid w:val="00441E7F"/>
    <w:rsid w:val="0044299D"/>
    <w:rsid w:val="00443C01"/>
    <w:rsid w:val="004443C2"/>
    <w:rsid w:val="00444569"/>
    <w:rsid w:val="00444605"/>
    <w:rsid w:val="004459B1"/>
    <w:rsid w:val="00446435"/>
    <w:rsid w:val="00446524"/>
    <w:rsid w:val="00447683"/>
    <w:rsid w:val="00447BE5"/>
    <w:rsid w:val="00447FB9"/>
    <w:rsid w:val="0045004C"/>
    <w:rsid w:val="004502A8"/>
    <w:rsid w:val="00452655"/>
    <w:rsid w:val="00453AE6"/>
    <w:rsid w:val="00453B45"/>
    <w:rsid w:val="00453FD7"/>
    <w:rsid w:val="0045439E"/>
    <w:rsid w:val="00456E0A"/>
    <w:rsid w:val="00457541"/>
    <w:rsid w:val="00457591"/>
    <w:rsid w:val="0046017F"/>
    <w:rsid w:val="0046077C"/>
    <w:rsid w:val="00460860"/>
    <w:rsid w:val="00460905"/>
    <w:rsid w:val="00462E56"/>
    <w:rsid w:val="00463108"/>
    <w:rsid w:val="00465520"/>
    <w:rsid w:val="00465872"/>
    <w:rsid w:val="004658DC"/>
    <w:rsid w:val="004659E1"/>
    <w:rsid w:val="004663D8"/>
    <w:rsid w:val="00467493"/>
    <w:rsid w:val="00467A71"/>
    <w:rsid w:val="00471139"/>
    <w:rsid w:val="004724B6"/>
    <w:rsid w:val="004729BE"/>
    <w:rsid w:val="00475130"/>
    <w:rsid w:val="0047535B"/>
    <w:rsid w:val="004755E6"/>
    <w:rsid w:val="004759BA"/>
    <w:rsid w:val="0048176A"/>
    <w:rsid w:val="004817A7"/>
    <w:rsid w:val="00482125"/>
    <w:rsid w:val="004825ED"/>
    <w:rsid w:val="00482A17"/>
    <w:rsid w:val="00483DBE"/>
    <w:rsid w:val="00486B11"/>
    <w:rsid w:val="00486CA4"/>
    <w:rsid w:val="0048714B"/>
    <w:rsid w:val="0048722A"/>
    <w:rsid w:val="00487558"/>
    <w:rsid w:val="00491620"/>
    <w:rsid w:val="004916A8"/>
    <w:rsid w:val="00491B59"/>
    <w:rsid w:val="00492471"/>
    <w:rsid w:val="004924FE"/>
    <w:rsid w:val="00492C32"/>
    <w:rsid w:val="00494E45"/>
    <w:rsid w:val="0049697D"/>
    <w:rsid w:val="004A026F"/>
    <w:rsid w:val="004A0EE0"/>
    <w:rsid w:val="004A11FA"/>
    <w:rsid w:val="004A17A0"/>
    <w:rsid w:val="004A1A77"/>
    <w:rsid w:val="004A1CDE"/>
    <w:rsid w:val="004A1DCC"/>
    <w:rsid w:val="004A2362"/>
    <w:rsid w:val="004A238E"/>
    <w:rsid w:val="004A2DBC"/>
    <w:rsid w:val="004A307A"/>
    <w:rsid w:val="004A387D"/>
    <w:rsid w:val="004A3F90"/>
    <w:rsid w:val="004A3F91"/>
    <w:rsid w:val="004A4F38"/>
    <w:rsid w:val="004A511F"/>
    <w:rsid w:val="004A55D2"/>
    <w:rsid w:val="004A57C8"/>
    <w:rsid w:val="004A5AB5"/>
    <w:rsid w:val="004A6704"/>
    <w:rsid w:val="004A6CD1"/>
    <w:rsid w:val="004A7D02"/>
    <w:rsid w:val="004B011F"/>
    <w:rsid w:val="004B1071"/>
    <w:rsid w:val="004B1820"/>
    <w:rsid w:val="004B1899"/>
    <w:rsid w:val="004B2334"/>
    <w:rsid w:val="004B3CA9"/>
    <w:rsid w:val="004B4B72"/>
    <w:rsid w:val="004B4F73"/>
    <w:rsid w:val="004B5580"/>
    <w:rsid w:val="004B5D87"/>
    <w:rsid w:val="004C22EC"/>
    <w:rsid w:val="004C2DFD"/>
    <w:rsid w:val="004C37E9"/>
    <w:rsid w:val="004C3DEA"/>
    <w:rsid w:val="004C3E42"/>
    <w:rsid w:val="004C414F"/>
    <w:rsid w:val="004C4BE2"/>
    <w:rsid w:val="004C5BD7"/>
    <w:rsid w:val="004C5FFA"/>
    <w:rsid w:val="004C6B42"/>
    <w:rsid w:val="004C7250"/>
    <w:rsid w:val="004C7F71"/>
    <w:rsid w:val="004D0A55"/>
    <w:rsid w:val="004D2262"/>
    <w:rsid w:val="004D2E28"/>
    <w:rsid w:val="004D4823"/>
    <w:rsid w:val="004D4DE6"/>
    <w:rsid w:val="004D4EE9"/>
    <w:rsid w:val="004D63B0"/>
    <w:rsid w:val="004D6642"/>
    <w:rsid w:val="004D69DA"/>
    <w:rsid w:val="004D7C93"/>
    <w:rsid w:val="004E00E9"/>
    <w:rsid w:val="004E01AF"/>
    <w:rsid w:val="004E091D"/>
    <w:rsid w:val="004E0B54"/>
    <w:rsid w:val="004E17FC"/>
    <w:rsid w:val="004E1D61"/>
    <w:rsid w:val="004E1E06"/>
    <w:rsid w:val="004E475D"/>
    <w:rsid w:val="004E4B68"/>
    <w:rsid w:val="004E4CFA"/>
    <w:rsid w:val="004E54EC"/>
    <w:rsid w:val="004E584B"/>
    <w:rsid w:val="004E5927"/>
    <w:rsid w:val="004E7A20"/>
    <w:rsid w:val="004E7DC5"/>
    <w:rsid w:val="004F0099"/>
    <w:rsid w:val="004F14A9"/>
    <w:rsid w:val="004F1A7A"/>
    <w:rsid w:val="004F1C4B"/>
    <w:rsid w:val="004F3303"/>
    <w:rsid w:val="004F3668"/>
    <w:rsid w:val="004F37DF"/>
    <w:rsid w:val="004F665D"/>
    <w:rsid w:val="004F6662"/>
    <w:rsid w:val="0050039D"/>
    <w:rsid w:val="00501C2B"/>
    <w:rsid w:val="0050262C"/>
    <w:rsid w:val="00503146"/>
    <w:rsid w:val="00503E84"/>
    <w:rsid w:val="00505BFA"/>
    <w:rsid w:val="00506525"/>
    <w:rsid w:val="00506AAC"/>
    <w:rsid w:val="005072BC"/>
    <w:rsid w:val="0051020C"/>
    <w:rsid w:val="005106DD"/>
    <w:rsid w:val="005129E3"/>
    <w:rsid w:val="00512B7B"/>
    <w:rsid w:val="00512F95"/>
    <w:rsid w:val="005131A1"/>
    <w:rsid w:val="005138EF"/>
    <w:rsid w:val="00513CB6"/>
    <w:rsid w:val="0051471F"/>
    <w:rsid w:val="005157F0"/>
    <w:rsid w:val="005158E2"/>
    <w:rsid w:val="00516062"/>
    <w:rsid w:val="0051622C"/>
    <w:rsid w:val="005171FE"/>
    <w:rsid w:val="00517C9C"/>
    <w:rsid w:val="00520AB3"/>
    <w:rsid w:val="00520C16"/>
    <w:rsid w:val="005211F4"/>
    <w:rsid w:val="005217D9"/>
    <w:rsid w:val="00521DF9"/>
    <w:rsid w:val="00523B54"/>
    <w:rsid w:val="005245F0"/>
    <w:rsid w:val="00524E7E"/>
    <w:rsid w:val="0052502C"/>
    <w:rsid w:val="00525DAE"/>
    <w:rsid w:val="00526FBF"/>
    <w:rsid w:val="005304FF"/>
    <w:rsid w:val="00530F0E"/>
    <w:rsid w:val="0053128E"/>
    <w:rsid w:val="00531B91"/>
    <w:rsid w:val="00531E12"/>
    <w:rsid w:val="00531F6A"/>
    <w:rsid w:val="0053389E"/>
    <w:rsid w:val="00535074"/>
    <w:rsid w:val="005352AB"/>
    <w:rsid w:val="00535A8E"/>
    <w:rsid w:val="00536523"/>
    <w:rsid w:val="0053654B"/>
    <w:rsid w:val="005365AB"/>
    <w:rsid w:val="0054160F"/>
    <w:rsid w:val="00541D11"/>
    <w:rsid w:val="00541FA1"/>
    <w:rsid w:val="005439A3"/>
    <w:rsid w:val="00543A66"/>
    <w:rsid w:val="00543F47"/>
    <w:rsid w:val="005443BD"/>
    <w:rsid w:val="00544FCD"/>
    <w:rsid w:val="005452BF"/>
    <w:rsid w:val="00545ACE"/>
    <w:rsid w:val="00545D32"/>
    <w:rsid w:val="00546E12"/>
    <w:rsid w:val="00547AE2"/>
    <w:rsid w:val="00547C1C"/>
    <w:rsid w:val="0055011C"/>
    <w:rsid w:val="00550174"/>
    <w:rsid w:val="0055098B"/>
    <w:rsid w:val="0055187C"/>
    <w:rsid w:val="00552C3A"/>
    <w:rsid w:val="00553FFD"/>
    <w:rsid w:val="0055529D"/>
    <w:rsid w:val="005559B2"/>
    <w:rsid w:val="00555D42"/>
    <w:rsid w:val="00555DDA"/>
    <w:rsid w:val="00557180"/>
    <w:rsid w:val="00557796"/>
    <w:rsid w:val="00557DBC"/>
    <w:rsid w:val="00557E34"/>
    <w:rsid w:val="00561F40"/>
    <w:rsid w:val="00563564"/>
    <w:rsid w:val="00563C78"/>
    <w:rsid w:val="005650E0"/>
    <w:rsid w:val="005653B8"/>
    <w:rsid w:val="005710FD"/>
    <w:rsid w:val="00571105"/>
    <w:rsid w:val="00571B1C"/>
    <w:rsid w:val="0057223F"/>
    <w:rsid w:val="00574F57"/>
    <w:rsid w:val="00577955"/>
    <w:rsid w:val="00577BD1"/>
    <w:rsid w:val="0058072A"/>
    <w:rsid w:val="00580E10"/>
    <w:rsid w:val="005810E6"/>
    <w:rsid w:val="00581E90"/>
    <w:rsid w:val="00581F37"/>
    <w:rsid w:val="005827A7"/>
    <w:rsid w:val="005842C2"/>
    <w:rsid w:val="00584570"/>
    <w:rsid w:val="0058556B"/>
    <w:rsid w:val="0058755D"/>
    <w:rsid w:val="005910F2"/>
    <w:rsid w:val="00591756"/>
    <w:rsid w:val="0059178C"/>
    <w:rsid w:val="00591ADF"/>
    <w:rsid w:val="005921FC"/>
    <w:rsid w:val="00592331"/>
    <w:rsid w:val="005927FE"/>
    <w:rsid w:val="005928B5"/>
    <w:rsid w:val="0059326B"/>
    <w:rsid w:val="00593530"/>
    <w:rsid w:val="005935DA"/>
    <w:rsid w:val="00593AB1"/>
    <w:rsid w:val="005944E2"/>
    <w:rsid w:val="005948DB"/>
    <w:rsid w:val="00594A0B"/>
    <w:rsid w:val="005950ED"/>
    <w:rsid w:val="005957F0"/>
    <w:rsid w:val="00595B27"/>
    <w:rsid w:val="00595F21"/>
    <w:rsid w:val="005965D5"/>
    <w:rsid w:val="0059670A"/>
    <w:rsid w:val="00596AE6"/>
    <w:rsid w:val="0059775E"/>
    <w:rsid w:val="005A01B0"/>
    <w:rsid w:val="005A077D"/>
    <w:rsid w:val="005A1B0C"/>
    <w:rsid w:val="005A1D4F"/>
    <w:rsid w:val="005A1FB1"/>
    <w:rsid w:val="005A3142"/>
    <w:rsid w:val="005A3203"/>
    <w:rsid w:val="005A32A7"/>
    <w:rsid w:val="005A4102"/>
    <w:rsid w:val="005A5404"/>
    <w:rsid w:val="005A7993"/>
    <w:rsid w:val="005B0768"/>
    <w:rsid w:val="005B0DEA"/>
    <w:rsid w:val="005B133D"/>
    <w:rsid w:val="005B197A"/>
    <w:rsid w:val="005B1E63"/>
    <w:rsid w:val="005B203D"/>
    <w:rsid w:val="005B23C9"/>
    <w:rsid w:val="005B25DA"/>
    <w:rsid w:val="005B2963"/>
    <w:rsid w:val="005B2BCC"/>
    <w:rsid w:val="005B2D46"/>
    <w:rsid w:val="005B5D4C"/>
    <w:rsid w:val="005B6A42"/>
    <w:rsid w:val="005B6C93"/>
    <w:rsid w:val="005B6D79"/>
    <w:rsid w:val="005B78DE"/>
    <w:rsid w:val="005C1526"/>
    <w:rsid w:val="005C1564"/>
    <w:rsid w:val="005C1773"/>
    <w:rsid w:val="005C19E6"/>
    <w:rsid w:val="005C23F4"/>
    <w:rsid w:val="005C249C"/>
    <w:rsid w:val="005C252A"/>
    <w:rsid w:val="005C2811"/>
    <w:rsid w:val="005C28CB"/>
    <w:rsid w:val="005C3CF1"/>
    <w:rsid w:val="005C4489"/>
    <w:rsid w:val="005C595E"/>
    <w:rsid w:val="005C6032"/>
    <w:rsid w:val="005C65B5"/>
    <w:rsid w:val="005C6EBF"/>
    <w:rsid w:val="005C7DE0"/>
    <w:rsid w:val="005D0526"/>
    <w:rsid w:val="005D060F"/>
    <w:rsid w:val="005D0892"/>
    <w:rsid w:val="005D0912"/>
    <w:rsid w:val="005D134E"/>
    <w:rsid w:val="005D2B84"/>
    <w:rsid w:val="005D33C7"/>
    <w:rsid w:val="005D3818"/>
    <w:rsid w:val="005D4623"/>
    <w:rsid w:val="005D4A20"/>
    <w:rsid w:val="005D673A"/>
    <w:rsid w:val="005D70F7"/>
    <w:rsid w:val="005D7E55"/>
    <w:rsid w:val="005D7FB0"/>
    <w:rsid w:val="005E198D"/>
    <w:rsid w:val="005E1A23"/>
    <w:rsid w:val="005E2B35"/>
    <w:rsid w:val="005E389D"/>
    <w:rsid w:val="005E3CF1"/>
    <w:rsid w:val="005E42AE"/>
    <w:rsid w:val="005E4FD8"/>
    <w:rsid w:val="005E52F0"/>
    <w:rsid w:val="005E6A2C"/>
    <w:rsid w:val="005E7B57"/>
    <w:rsid w:val="005E7D09"/>
    <w:rsid w:val="005F03E9"/>
    <w:rsid w:val="005F105D"/>
    <w:rsid w:val="005F1242"/>
    <w:rsid w:val="005F26B5"/>
    <w:rsid w:val="005F3B93"/>
    <w:rsid w:val="005F3EE6"/>
    <w:rsid w:val="005F4724"/>
    <w:rsid w:val="005F4ED8"/>
    <w:rsid w:val="005F5620"/>
    <w:rsid w:val="005F5CAD"/>
    <w:rsid w:val="005F6F48"/>
    <w:rsid w:val="005F72C1"/>
    <w:rsid w:val="005F74FF"/>
    <w:rsid w:val="00600864"/>
    <w:rsid w:val="00602094"/>
    <w:rsid w:val="006026A0"/>
    <w:rsid w:val="00602D47"/>
    <w:rsid w:val="006036D6"/>
    <w:rsid w:val="006044DF"/>
    <w:rsid w:val="00604EA0"/>
    <w:rsid w:val="0060565B"/>
    <w:rsid w:val="00605E8B"/>
    <w:rsid w:val="00607248"/>
    <w:rsid w:val="00610211"/>
    <w:rsid w:val="00611253"/>
    <w:rsid w:val="0061405A"/>
    <w:rsid w:val="00615A37"/>
    <w:rsid w:val="00615EEA"/>
    <w:rsid w:val="00616C1B"/>
    <w:rsid w:val="00617B64"/>
    <w:rsid w:val="0062011C"/>
    <w:rsid w:val="006209DF"/>
    <w:rsid w:val="00620AA5"/>
    <w:rsid w:val="006216E3"/>
    <w:rsid w:val="00621F83"/>
    <w:rsid w:val="0062338D"/>
    <w:rsid w:val="00623EEB"/>
    <w:rsid w:val="00624D2E"/>
    <w:rsid w:val="006250E7"/>
    <w:rsid w:val="00625BED"/>
    <w:rsid w:val="006266E6"/>
    <w:rsid w:val="006267C7"/>
    <w:rsid w:val="00631563"/>
    <w:rsid w:val="00631806"/>
    <w:rsid w:val="006328B7"/>
    <w:rsid w:val="00634690"/>
    <w:rsid w:val="006349CE"/>
    <w:rsid w:val="00634F4E"/>
    <w:rsid w:val="00637D14"/>
    <w:rsid w:val="00640D2F"/>
    <w:rsid w:val="00642CBD"/>
    <w:rsid w:val="00644D3E"/>
    <w:rsid w:val="00644E32"/>
    <w:rsid w:val="00645D37"/>
    <w:rsid w:val="00646910"/>
    <w:rsid w:val="00647BEA"/>
    <w:rsid w:val="0065016C"/>
    <w:rsid w:val="00650FE9"/>
    <w:rsid w:val="00653B53"/>
    <w:rsid w:val="0065542C"/>
    <w:rsid w:val="00655649"/>
    <w:rsid w:val="0065597A"/>
    <w:rsid w:val="00655C7E"/>
    <w:rsid w:val="00655EF3"/>
    <w:rsid w:val="00655F71"/>
    <w:rsid w:val="0065683C"/>
    <w:rsid w:val="00656DC5"/>
    <w:rsid w:val="00657486"/>
    <w:rsid w:val="00660299"/>
    <w:rsid w:val="00661C08"/>
    <w:rsid w:val="00661D28"/>
    <w:rsid w:val="0066382E"/>
    <w:rsid w:val="00664372"/>
    <w:rsid w:val="00665F25"/>
    <w:rsid w:val="0067132F"/>
    <w:rsid w:val="00671442"/>
    <w:rsid w:val="00671D80"/>
    <w:rsid w:val="00671DE2"/>
    <w:rsid w:val="00672384"/>
    <w:rsid w:val="00672A0F"/>
    <w:rsid w:val="0067316B"/>
    <w:rsid w:val="0067450A"/>
    <w:rsid w:val="00674B50"/>
    <w:rsid w:val="006759E6"/>
    <w:rsid w:val="00676431"/>
    <w:rsid w:val="0067754B"/>
    <w:rsid w:val="0068007A"/>
    <w:rsid w:val="0068156B"/>
    <w:rsid w:val="00681726"/>
    <w:rsid w:val="006827FF"/>
    <w:rsid w:val="00683547"/>
    <w:rsid w:val="00683B6F"/>
    <w:rsid w:val="00683F03"/>
    <w:rsid w:val="00683FBA"/>
    <w:rsid w:val="006848FD"/>
    <w:rsid w:val="00684DAA"/>
    <w:rsid w:val="006852D6"/>
    <w:rsid w:val="00685D61"/>
    <w:rsid w:val="0068601B"/>
    <w:rsid w:val="00686C04"/>
    <w:rsid w:val="006870C6"/>
    <w:rsid w:val="00690401"/>
    <w:rsid w:val="00690BAE"/>
    <w:rsid w:val="00691B09"/>
    <w:rsid w:val="006923D4"/>
    <w:rsid w:val="006938F4"/>
    <w:rsid w:val="00694630"/>
    <w:rsid w:val="006953E4"/>
    <w:rsid w:val="00696275"/>
    <w:rsid w:val="006965EF"/>
    <w:rsid w:val="00696A7E"/>
    <w:rsid w:val="00697B3D"/>
    <w:rsid w:val="006A05A7"/>
    <w:rsid w:val="006A09F0"/>
    <w:rsid w:val="006A0FD0"/>
    <w:rsid w:val="006A2599"/>
    <w:rsid w:val="006A2807"/>
    <w:rsid w:val="006A29CE"/>
    <w:rsid w:val="006A37A5"/>
    <w:rsid w:val="006A416D"/>
    <w:rsid w:val="006A4505"/>
    <w:rsid w:val="006A561E"/>
    <w:rsid w:val="006A698C"/>
    <w:rsid w:val="006A6E4D"/>
    <w:rsid w:val="006B00ED"/>
    <w:rsid w:val="006B0DDA"/>
    <w:rsid w:val="006B0DFF"/>
    <w:rsid w:val="006B0EC5"/>
    <w:rsid w:val="006B18FD"/>
    <w:rsid w:val="006B228F"/>
    <w:rsid w:val="006B2730"/>
    <w:rsid w:val="006B345D"/>
    <w:rsid w:val="006B3FB3"/>
    <w:rsid w:val="006B43D0"/>
    <w:rsid w:val="006B500C"/>
    <w:rsid w:val="006B5403"/>
    <w:rsid w:val="006B598E"/>
    <w:rsid w:val="006B611B"/>
    <w:rsid w:val="006B6441"/>
    <w:rsid w:val="006B666E"/>
    <w:rsid w:val="006B7596"/>
    <w:rsid w:val="006C0B42"/>
    <w:rsid w:val="006C1B07"/>
    <w:rsid w:val="006C1BF3"/>
    <w:rsid w:val="006C2523"/>
    <w:rsid w:val="006C43C0"/>
    <w:rsid w:val="006C459F"/>
    <w:rsid w:val="006C5739"/>
    <w:rsid w:val="006C6507"/>
    <w:rsid w:val="006C67DC"/>
    <w:rsid w:val="006C6AF4"/>
    <w:rsid w:val="006C7D01"/>
    <w:rsid w:val="006D03AE"/>
    <w:rsid w:val="006D043F"/>
    <w:rsid w:val="006D1CA9"/>
    <w:rsid w:val="006D1F3E"/>
    <w:rsid w:val="006D29F1"/>
    <w:rsid w:val="006D2BFD"/>
    <w:rsid w:val="006D5845"/>
    <w:rsid w:val="006D5B4B"/>
    <w:rsid w:val="006D5D7D"/>
    <w:rsid w:val="006D6E07"/>
    <w:rsid w:val="006D712D"/>
    <w:rsid w:val="006E041B"/>
    <w:rsid w:val="006E1D7E"/>
    <w:rsid w:val="006E33E1"/>
    <w:rsid w:val="006E53D0"/>
    <w:rsid w:val="006E5BB4"/>
    <w:rsid w:val="006E5E6A"/>
    <w:rsid w:val="006E61DB"/>
    <w:rsid w:val="006F0677"/>
    <w:rsid w:val="006F0927"/>
    <w:rsid w:val="006F0AED"/>
    <w:rsid w:val="006F2C04"/>
    <w:rsid w:val="006F4115"/>
    <w:rsid w:val="006F5173"/>
    <w:rsid w:val="006F584C"/>
    <w:rsid w:val="006F5D4B"/>
    <w:rsid w:val="006F6296"/>
    <w:rsid w:val="006F658D"/>
    <w:rsid w:val="006F661B"/>
    <w:rsid w:val="006F7355"/>
    <w:rsid w:val="006F73CA"/>
    <w:rsid w:val="006F7DC9"/>
    <w:rsid w:val="00701E27"/>
    <w:rsid w:val="007028EF"/>
    <w:rsid w:val="0070292A"/>
    <w:rsid w:val="007029E1"/>
    <w:rsid w:val="00703E2C"/>
    <w:rsid w:val="007043A0"/>
    <w:rsid w:val="007060EA"/>
    <w:rsid w:val="0070625F"/>
    <w:rsid w:val="00710E4C"/>
    <w:rsid w:val="00710E50"/>
    <w:rsid w:val="00713FD5"/>
    <w:rsid w:val="0071448C"/>
    <w:rsid w:val="00714AE1"/>
    <w:rsid w:val="00714D1A"/>
    <w:rsid w:val="00715435"/>
    <w:rsid w:val="00716C79"/>
    <w:rsid w:val="00717EF2"/>
    <w:rsid w:val="00720096"/>
    <w:rsid w:val="00720F68"/>
    <w:rsid w:val="00722711"/>
    <w:rsid w:val="00723ADB"/>
    <w:rsid w:val="00723F7A"/>
    <w:rsid w:val="0072464C"/>
    <w:rsid w:val="0072566C"/>
    <w:rsid w:val="00725677"/>
    <w:rsid w:val="00725998"/>
    <w:rsid w:val="00725A2E"/>
    <w:rsid w:val="007264FA"/>
    <w:rsid w:val="007276B5"/>
    <w:rsid w:val="00727921"/>
    <w:rsid w:val="0073182C"/>
    <w:rsid w:val="00731E38"/>
    <w:rsid w:val="00732223"/>
    <w:rsid w:val="00732A8D"/>
    <w:rsid w:val="00732B1B"/>
    <w:rsid w:val="00732F50"/>
    <w:rsid w:val="00733906"/>
    <w:rsid w:val="00734505"/>
    <w:rsid w:val="007345D7"/>
    <w:rsid w:val="007348FD"/>
    <w:rsid w:val="00734DDF"/>
    <w:rsid w:val="00735932"/>
    <w:rsid w:val="007359AB"/>
    <w:rsid w:val="007360A4"/>
    <w:rsid w:val="00736295"/>
    <w:rsid w:val="00736B38"/>
    <w:rsid w:val="007376E1"/>
    <w:rsid w:val="0073770B"/>
    <w:rsid w:val="00737CAD"/>
    <w:rsid w:val="007402CD"/>
    <w:rsid w:val="00740B72"/>
    <w:rsid w:val="00740CF8"/>
    <w:rsid w:val="00741A11"/>
    <w:rsid w:val="0074219A"/>
    <w:rsid w:val="00742329"/>
    <w:rsid w:val="00742B4A"/>
    <w:rsid w:val="0074370E"/>
    <w:rsid w:val="00744BE5"/>
    <w:rsid w:val="00745155"/>
    <w:rsid w:val="007462A7"/>
    <w:rsid w:val="00747412"/>
    <w:rsid w:val="00747639"/>
    <w:rsid w:val="00747CD0"/>
    <w:rsid w:val="0075089C"/>
    <w:rsid w:val="00751470"/>
    <w:rsid w:val="0075214D"/>
    <w:rsid w:val="00753373"/>
    <w:rsid w:val="0075491F"/>
    <w:rsid w:val="00756451"/>
    <w:rsid w:val="007572A1"/>
    <w:rsid w:val="00757BC8"/>
    <w:rsid w:val="00760709"/>
    <w:rsid w:val="00760BB6"/>
    <w:rsid w:val="00761271"/>
    <w:rsid w:val="00761F7F"/>
    <w:rsid w:val="00763191"/>
    <w:rsid w:val="007640A0"/>
    <w:rsid w:val="007643FC"/>
    <w:rsid w:val="00764AAA"/>
    <w:rsid w:val="00765895"/>
    <w:rsid w:val="00765D15"/>
    <w:rsid w:val="0076612E"/>
    <w:rsid w:val="007673C8"/>
    <w:rsid w:val="00767B79"/>
    <w:rsid w:val="0077074A"/>
    <w:rsid w:val="00770991"/>
    <w:rsid w:val="00770AAD"/>
    <w:rsid w:val="007719A6"/>
    <w:rsid w:val="00772A28"/>
    <w:rsid w:val="00773A2F"/>
    <w:rsid w:val="00774550"/>
    <w:rsid w:val="007745D5"/>
    <w:rsid w:val="00777B0D"/>
    <w:rsid w:val="007800C1"/>
    <w:rsid w:val="00780B9C"/>
    <w:rsid w:val="00782413"/>
    <w:rsid w:val="0078270B"/>
    <w:rsid w:val="00783B97"/>
    <w:rsid w:val="00783DBF"/>
    <w:rsid w:val="007840E1"/>
    <w:rsid w:val="00784265"/>
    <w:rsid w:val="0078465D"/>
    <w:rsid w:val="0078577C"/>
    <w:rsid w:val="007858BD"/>
    <w:rsid w:val="00785EFC"/>
    <w:rsid w:val="007860B9"/>
    <w:rsid w:val="007867FC"/>
    <w:rsid w:val="00786C3B"/>
    <w:rsid w:val="007871C2"/>
    <w:rsid w:val="00790243"/>
    <w:rsid w:val="00792552"/>
    <w:rsid w:val="007927D7"/>
    <w:rsid w:val="007932C2"/>
    <w:rsid w:val="007935CE"/>
    <w:rsid w:val="00793BC5"/>
    <w:rsid w:val="00793CA6"/>
    <w:rsid w:val="0079469F"/>
    <w:rsid w:val="0079687D"/>
    <w:rsid w:val="00796C19"/>
    <w:rsid w:val="007A005C"/>
    <w:rsid w:val="007A0345"/>
    <w:rsid w:val="007A0582"/>
    <w:rsid w:val="007A1354"/>
    <w:rsid w:val="007A191E"/>
    <w:rsid w:val="007A1F8D"/>
    <w:rsid w:val="007A27DE"/>
    <w:rsid w:val="007A2BCF"/>
    <w:rsid w:val="007A2BD0"/>
    <w:rsid w:val="007A31E5"/>
    <w:rsid w:val="007A3AA3"/>
    <w:rsid w:val="007A3ACA"/>
    <w:rsid w:val="007A3D86"/>
    <w:rsid w:val="007A4651"/>
    <w:rsid w:val="007A57D5"/>
    <w:rsid w:val="007A66AB"/>
    <w:rsid w:val="007A69A0"/>
    <w:rsid w:val="007A739A"/>
    <w:rsid w:val="007B088E"/>
    <w:rsid w:val="007B0B46"/>
    <w:rsid w:val="007B211A"/>
    <w:rsid w:val="007B3FBD"/>
    <w:rsid w:val="007B4BAB"/>
    <w:rsid w:val="007B58D1"/>
    <w:rsid w:val="007B5ADE"/>
    <w:rsid w:val="007B5F44"/>
    <w:rsid w:val="007B732F"/>
    <w:rsid w:val="007B7FCE"/>
    <w:rsid w:val="007C0001"/>
    <w:rsid w:val="007C0C99"/>
    <w:rsid w:val="007C0CDF"/>
    <w:rsid w:val="007C4B93"/>
    <w:rsid w:val="007C4F3A"/>
    <w:rsid w:val="007C571D"/>
    <w:rsid w:val="007C5B08"/>
    <w:rsid w:val="007C6247"/>
    <w:rsid w:val="007C7ED2"/>
    <w:rsid w:val="007D0B1C"/>
    <w:rsid w:val="007D27C3"/>
    <w:rsid w:val="007D36DF"/>
    <w:rsid w:val="007D3A37"/>
    <w:rsid w:val="007D4FE8"/>
    <w:rsid w:val="007D5027"/>
    <w:rsid w:val="007D5A3F"/>
    <w:rsid w:val="007D77F3"/>
    <w:rsid w:val="007D7CB3"/>
    <w:rsid w:val="007E057D"/>
    <w:rsid w:val="007E09DE"/>
    <w:rsid w:val="007E0C5D"/>
    <w:rsid w:val="007E0F7A"/>
    <w:rsid w:val="007E1737"/>
    <w:rsid w:val="007E2214"/>
    <w:rsid w:val="007E2D6E"/>
    <w:rsid w:val="007E369F"/>
    <w:rsid w:val="007E3C10"/>
    <w:rsid w:val="007E4575"/>
    <w:rsid w:val="007E45C6"/>
    <w:rsid w:val="007E5DE6"/>
    <w:rsid w:val="007E61F4"/>
    <w:rsid w:val="007E6FB7"/>
    <w:rsid w:val="007E7A76"/>
    <w:rsid w:val="007F17A1"/>
    <w:rsid w:val="007F2157"/>
    <w:rsid w:val="007F2313"/>
    <w:rsid w:val="007F2D4D"/>
    <w:rsid w:val="007F2EAC"/>
    <w:rsid w:val="007F36FD"/>
    <w:rsid w:val="007F3E45"/>
    <w:rsid w:val="007F5122"/>
    <w:rsid w:val="007F6616"/>
    <w:rsid w:val="007F6982"/>
    <w:rsid w:val="007F6F20"/>
    <w:rsid w:val="007F77D8"/>
    <w:rsid w:val="0080003F"/>
    <w:rsid w:val="00800A26"/>
    <w:rsid w:val="00800D0F"/>
    <w:rsid w:val="00801098"/>
    <w:rsid w:val="00802B25"/>
    <w:rsid w:val="008035F7"/>
    <w:rsid w:val="00803D5A"/>
    <w:rsid w:val="00803F47"/>
    <w:rsid w:val="008041E2"/>
    <w:rsid w:val="00804711"/>
    <w:rsid w:val="00804CEA"/>
    <w:rsid w:val="00804E18"/>
    <w:rsid w:val="00805115"/>
    <w:rsid w:val="00805137"/>
    <w:rsid w:val="00805981"/>
    <w:rsid w:val="00806388"/>
    <w:rsid w:val="008064CC"/>
    <w:rsid w:val="0080663C"/>
    <w:rsid w:val="008067D7"/>
    <w:rsid w:val="00811512"/>
    <w:rsid w:val="00811826"/>
    <w:rsid w:val="00811DBB"/>
    <w:rsid w:val="00812175"/>
    <w:rsid w:val="00813934"/>
    <w:rsid w:val="008140CD"/>
    <w:rsid w:val="00814387"/>
    <w:rsid w:val="00816128"/>
    <w:rsid w:val="008164F1"/>
    <w:rsid w:val="00816C02"/>
    <w:rsid w:val="00817365"/>
    <w:rsid w:val="00817693"/>
    <w:rsid w:val="00821037"/>
    <w:rsid w:val="00821906"/>
    <w:rsid w:val="00824A3F"/>
    <w:rsid w:val="00825196"/>
    <w:rsid w:val="00825976"/>
    <w:rsid w:val="008260C3"/>
    <w:rsid w:val="008261FD"/>
    <w:rsid w:val="0082781B"/>
    <w:rsid w:val="00827AF0"/>
    <w:rsid w:val="00827B87"/>
    <w:rsid w:val="008301E5"/>
    <w:rsid w:val="00830C76"/>
    <w:rsid w:val="00832CB5"/>
    <w:rsid w:val="0083348B"/>
    <w:rsid w:val="00833498"/>
    <w:rsid w:val="00833965"/>
    <w:rsid w:val="008340A6"/>
    <w:rsid w:val="00834166"/>
    <w:rsid w:val="00834A9F"/>
    <w:rsid w:val="00836587"/>
    <w:rsid w:val="00837015"/>
    <w:rsid w:val="00837A68"/>
    <w:rsid w:val="00840EBB"/>
    <w:rsid w:val="00841DFA"/>
    <w:rsid w:val="008420E3"/>
    <w:rsid w:val="008429C1"/>
    <w:rsid w:val="00843225"/>
    <w:rsid w:val="0084478C"/>
    <w:rsid w:val="00844A3E"/>
    <w:rsid w:val="0084556E"/>
    <w:rsid w:val="00847123"/>
    <w:rsid w:val="008473FC"/>
    <w:rsid w:val="0084781A"/>
    <w:rsid w:val="00847877"/>
    <w:rsid w:val="00847C3C"/>
    <w:rsid w:val="00847DA5"/>
    <w:rsid w:val="00847EEE"/>
    <w:rsid w:val="00853717"/>
    <w:rsid w:val="00853C37"/>
    <w:rsid w:val="00854DCC"/>
    <w:rsid w:val="00855DE6"/>
    <w:rsid w:val="00856008"/>
    <w:rsid w:val="008568F8"/>
    <w:rsid w:val="008572C0"/>
    <w:rsid w:val="00857648"/>
    <w:rsid w:val="0085781B"/>
    <w:rsid w:val="00857F31"/>
    <w:rsid w:val="0086111B"/>
    <w:rsid w:val="008611BA"/>
    <w:rsid w:val="00861946"/>
    <w:rsid w:val="00861C7B"/>
    <w:rsid w:val="00861E0E"/>
    <w:rsid w:val="008624F9"/>
    <w:rsid w:val="00862705"/>
    <w:rsid w:val="008631CC"/>
    <w:rsid w:val="00863956"/>
    <w:rsid w:val="00864B28"/>
    <w:rsid w:val="00864E35"/>
    <w:rsid w:val="00865B25"/>
    <w:rsid w:val="008662DC"/>
    <w:rsid w:val="0087021F"/>
    <w:rsid w:val="00870AAC"/>
    <w:rsid w:val="0087105E"/>
    <w:rsid w:val="00871CE6"/>
    <w:rsid w:val="0087222D"/>
    <w:rsid w:val="00872AF0"/>
    <w:rsid w:val="008732FD"/>
    <w:rsid w:val="0087436D"/>
    <w:rsid w:val="00875137"/>
    <w:rsid w:val="00875E39"/>
    <w:rsid w:val="0087682F"/>
    <w:rsid w:val="00876E5A"/>
    <w:rsid w:val="00876ED0"/>
    <w:rsid w:val="00876F3E"/>
    <w:rsid w:val="00881806"/>
    <w:rsid w:val="00884097"/>
    <w:rsid w:val="008855DC"/>
    <w:rsid w:val="00886273"/>
    <w:rsid w:val="008869AA"/>
    <w:rsid w:val="00886C25"/>
    <w:rsid w:val="00886ED0"/>
    <w:rsid w:val="00887718"/>
    <w:rsid w:val="0089060C"/>
    <w:rsid w:val="0089061F"/>
    <w:rsid w:val="008929CA"/>
    <w:rsid w:val="00892C6A"/>
    <w:rsid w:val="008935BE"/>
    <w:rsid w:val="00893746"/>
    <w:rsid w:val="0089393F"/>
    <w:rsid w:val="00893EFE"/>
    <w:rsid w:val="00894516"/>
    <w:rsid w:val="0089469E"/>
    <w:rsid w:val="00894843"/>
    <w:rsid w:val="00894EBA"/>
    <w:rsid w:val="008950C2"/>
    <w:rsid w:val="008950C7"/>
    <w:rsid w:val="008954A1"/>
    <w:rsid w:val="00895B13"/>
    <w:rsid w:val="00897BFD"/>
    <w:rsid w:val="00897F46"/>
    <w:rsid w:val="008A01F0"/>
    <w:rsid w:val="008A0382"/>
    <w:rsid w:val="008A0BD4"/>
    <w:rsid w:val="008A1030"/>
    <w:rsid w:val="008A1AA4"/>
    <w:rsid w:val="008A1CD4"/>
    <w:rsid w:val="008A1F85"/>
    <w:rsid w:val="008A2064"/>
    <w:rsid w:val="008A28D8"/>
    <w:rsid w:val="008A29F3"/>
    <w:rsid w:val="008A550D"/>
    <w:rsid w:val="008A5B0F"/>
    <w:rsid w:val="008A6058"/>
    <w:rsid w:val="008B04E5"/>
    <w:rsid w:val="008B1BE7"/>
    <w:rsid w:val="008B22B3"/>
    <w:rsid w:val="008B2ABC"/>
    <w:rsid w:val="008B2C60"/>
    <w:rsid w:val="008B321E"/>
    <w:rsid w:val="008B3297"/>
    <w:rsid w:val="008B33EA"/>
    <w:rsid w:val="008B4331"/>
    <w:rsid w:val="008B50ED"/>
    <w:rsid w:val="008B6C3E"/>
    <w:rsid w:val="008B79B6"/>
    <w:rsid w:val="008B7DCC"/>
    <w:rsid w:val="008C0BBF"/>
    <w:rsid w:val="008C0E70"/>
    <w:rsid w:val="008C1069"/>
    <w:rsid w:val="008C3268"/>
    <w:rsid w:val="008C3667"/>
    <w:rsid w:val="008C454B"/>
    <w:rsid w:val="008C4E33"/>
    <w:rsid w:val="008C5065"/>
    <w:rsid w:val="008C574B"/>
    <w:rsid w:val="008C7DEB"/>
    <w:rsid w:val="008D0199"/>
    <w:rsid w:val="008D14F5"/>
    <w:rsid w:val="008D1952"/>
    <w:rsid w:val="008D1E73"/>
    <w:rsid w:val="008D35EB"/>
    <w:rsid w:val="008D4DA2"/>
    <w:rsid w:val="008D56AC"/>
    <w:rsid w:val="008D7952"/>
    <w:rsid w:val="008E048B"/>
    <w:rsid w:val="008E1704"/>
    <w:rsid w:val="008E18B2"/>
    <w:rsid w:val="008E2114"/>
    <w:rsid w:val="008E2A11"/>
    <w:rsid w:val="008E2A1E"/>
    <w:rsid w:val="008E3250"/>
    <w:rsid w:val="008E3E21"/>
    <w:rsid w:val="008E3FB7"/>
    <w:rsid w:val="008E56E5"/>
    <w:rsid w:val="008F0784"/>
    <w:rsid w:val="008F1C05"/>
    <w:rsid w:val="008F21D1"/>
    <w:rsid w:val="008F2389"/>
    <w:rsid w:val="008F23BF"/>
    <w:rsid w:val="008F2B84"/>
    <w:rsid w:val="008F2D12"/>
    <w:rsid w:val="008F4AE7"/>
    <w:rsid w:val="008F4E0C"/>
    <w:rsid w:val="008F4F94"/>
    <w:rsid w:val="008F4F99"/>
    <w:rsid w:val="008F50E6"/>
    <w:rsid w:val="008F5202"/>
    <w:rsid w:val="008F55B2"/>
    <w:rsid w:val="008F598D"/>
    <w:rsid w:val="008F5FFE"/>
    <w:rsid w:val="008F6280"/>
    <w:rsid w:val="008F7D62"/>
    <w:rsid w:val="009017B9"/>
    <w:rsid w:val="00901802"/>
    <w:rsid w:val="00901EC6"/>
    <w:rsid w:val="00902222"/>
    <w:rsid w:val="0090295E"/>
    <w:rsid w:val="00902EB2"/>
    <w:rsid w:val="00902F8C"/>
    <w:rsid w:val="00903434"/>
    <w:rsid w:val="00903C7D"/>
    <w:rsid w:val="009040B7"/>
    <w:rsid w:val="00904866"/>
    <w:rsid w:val="00905D29"/>
    <w:rsid w:val="009065F7"/>
    <w:rsid w:val="00907496"/>
    <w:rsid w:val="00907641"/>
    <w:rsid w:val="009078ED"/>
    <w:rsid w:val="00910D28"/>
    <w:rsid w:val="00911330"/>
    <w:rsid w:val="0091141B"/>
    <w:rsid w:val="00911D1A"/>
    <w:rsid w:val="00911DA7"/>
    <w:rsid w:val="00911FA2"/>
    <w:rsid w:val="0091211B"/>
    <w:rsid w:val="0091236D"/>
    <w:rsid w:val="00912618"/>
    <w:rsid w:val="00913C6F"/>
    <w:rsid w:val="00915935"/>
    <w:rsid w:val="009160F3"/>
    <w:rsid w:val="0091775B"/>
    <w:rsid w:val="00917DD7"/>
    <w:rsid w:val="0092050C"/>
    <w:rsid w:val="00920A12"/>
    <w:rsid w:val="00920E79"/>
    <w:rsid w:val="0092123F"/>
    <w:rsid w:val="00922B23"/>
    <w:rsid w:val="0092542B"/>
    <w:rsid w:val="00925FEB"/>
    <w:rsid w:val="009261C8"/>
    <w:rsid w:val="009263B3"/>
    <w:rsid w:val="00930AA7"/>
    <w:rsid w:val="00931299"/>
    <w:rsid w:val="00931A4D"/>
    <w:rsid w:val="009326BB"/>
    <w:rsid w:val="00933417"/>
    <w:rsid w:val="009359F0"/>
    <w:rsid w:val="0093628B"/>
    <w:rsid w:val="00936980"/>
    <w:rsid w:val="00937321"/>
    <w:rsid w:val="0094001A"/>
    <w:rsid w:val="00940BBA"/>
    <w:rsid w:val="00940CE5"/>
    <w:rsid w:val="00940D5B"/>
    <w:rsid w:val="00941704"/>
    <w:rsid w:val="0094179B"/>
    <w:rsid w:val="009418F6"/>
    <w:rsid w:val="00941B63"/>
    <w:rsid w:val="00942E70"/>
    <w:rsid w:val="00943539"/>
    <w:rsid w:val="00943BB8"/>
    <w:rsid w:val="009451F9"/>
    <w:rsid w:val="0094531B"/>
    <w:rsid w:val="00946154"/>
    <w:rsid w:val="00946A7D"/>
    <w:rsid w:val="009473F0"/>
    <w:rsid w:val="00947E29"/>
    <w:rsid w:val="00947EB7"/>
    <w:rsid w:val="0095157F"/>
    <w:rsid w:val="00952624"/>
    <w:rsid w:val="00952854"/>
    <w:rsid w:val="00953C70"/>
    <w:rsid w:val="00953CDD"/>
    <w:rsid w:val="00955145"/>
    <w:rsid w:val="009552E5"/>
    <w:rsid w:val="00955FFF"/>
    <w:rsid w:val="009565E2"/>
    <w:rsid w:val="00956782"/>
    <w:rsid w:val="00957986"/>
    <w:rsid w:val="009620F5"/>
    <w:rsid w:val="0096374F"/>
    <w:rsid w:val="00963D67"/>
    <w:rsid w:val="00965602"/>
    <w:rsid w:val="00966371"/>
    <w:rsid w:val="009663B1"/>
    <w:rsid w:val="009666A1"/>
    <w:rsid w:val="00966ACB"/>
    <w:rsid w:val="00966F89"/>
    <w:rsid w:val="00967254"/>
    <w:rsid w:val="00967B53"/>
    <w:rsid w:val="009710D8"/>
    <w:rsid w:val="009717FB"/>
    <w:rsid w:val="00971AC3"/>
    <w:rsid w:val="00972241"/>
    <w:rsid w:val="0097226E"/>
    <w:rsid w:val="0097288B"/>
    <w:rsid w:val="009742ED"/>
    <w:rsid w:val="00974645"/>
    <w:rsid w:val="009752CE"/>
    <w:rsid w:val="00975886"/>
    <w:rsid w:val="00975F3C"/>
    <w:rsid w:val="009778A2"/>
    <w:rsid w:val="0098005F"/>
    <w:rsid w:val="009803A1"/>
    <w:rsid w:val="0098137B"/>
    <w:rsid w:val="00982A1E"/>
    <w:rsid w:val="00982ABC"/>
    <w:rsid w:val="009836B0"/>
    <w:rsid w:val="00983844"/>
    <w:rsid w:val="009841BC"/>
    <w:rsid w:val="00984D09"/>
    <w:rsid w:val="0098529A"/>
    <w:rsid w:val="0098547B"/>
    <w:rsid w:val="00985FEF"/>
    <w:rsid w:val="0098623E"/>
    <w:rsid w:val="009864CB"/>
    <w:rsid w:val="00986C20"/>
    <w:rsid w:val="0099076C"/>
    <w:rsid w:val="00990F3D"/>
    <w:rsid w:val="00991EDB"/>
    <w:rsid w:val="00991F4D"/>
    <w:rsid w:val="00992699"/>
    <w:rsid w:val="00993711"/>
    <w:rsid w:val="00993863"/>
    <w:rsid w:val="00993B99"/>
    <w:rsid w:val="00994A72"/>
    <w:rsid w:val="00995323"/>
    <w:rsid w:val="00995EB0"/>
    <w:rsid w:val="0099683A"/>
    <w:rsid w:val="0099693C"/>
    <w:rsid w:val="009A0C5E"/>
    <w:rsid w:val="009A0ED2"/>
    <w:rsid w:val="009A180C"/>
    <w:rsid w:val="009A1CA3"/>
    <w:rsid w:val="009A3056"/>
    <w:rsid w:val="009A3DCB"/>
    <w:rsid w:val="009A3E8A"/>
    <w:rsid w:val="009A4414"/>
    <w:rsid w:val="009A4A97"/>
    <w:rsid w:val="009A59C6"/>
    <w:rsid w:val="009A6C77"/>
    <w:rsid w:val="009A6DDB"/>
    <w:rsid w:val="009A6E4A"/>
    <w:rsid w:val="009A7727"/>
    <w:rsid w:val="009B0BDF"/>
    <w:rsid w:val="009B1ACA"/>
    <w:rsid w:val="009B2F0D"/>
    <w:rsid w:val="009B2FAC"/>
    <w:rsid w:val="009B39C5"/>
    <w:rsid w:val="009B3CA7"/>
    <w:rsid w:val="009B4284"/>
    <w:rsid w:val="009B4742"/>
    <w:rsid w:val="009B6016"/>
    <w:rsid w:val="009B62D9"/>
    <w:rsid w:val="009B6A96"/>
    <w:rsid w:val="009B7D44"/>
    <w:rsid w:val="009C0839"/>
    <w:rsid w:val="009C1F86"/>
    <w:rsid w:val="009C1FB1"/>
    <w:rsid w:val="009C2750"/>
    <w:rsid w:val="009C34E3"/>
    <w:rsid w:val="009C3E74"/>
    <w:rsid w:val="009C5169"/>
    <w:rsid w:val="009C598E"/>
    <w:rsid w:val="009C5C10"/>
    <w:rsid w:val="009C63F9"/>
    <w:rsid w:val="009C6C0D"/>
    <w:rsid w:val="009C7652"/>
    <w:rsid w:val="009C775A"/>
    <w:rsid w:val="009C7E91"/>
    <w:rsid w:val="009D0CFB"/>
    <w:rsid w:val="009D0FD9"/>
    <w:rsid w:val="009D1093"/>
    <w:rsid w:val="009D25EA"/>
    <w:rsid w:val="009D3140"/>
    <w:rsid w:val="009D3191"/>
    <w:rsid w:val="009D3A60"/>
    <w:rsid w:val="009D400D"/>
    <w:rsid w:val="009D4020"/>
    <w:rsid w:val="009D42EE"/>
    <w:rsid w:val="009D667E"/>
    <w:rsid w:val="009D6F4F"/>
    <w:rsid w:val="009E011C"/>
    <w:rsid w:val="009E1CEE"/>
    <w:rsid w:val="009E2370"/>
    <w:rsid w:val="009E3160"/>
    <w:rsid w:val="009E480E"/>
    <w:rsid w:val="009E4C9F"/>
    <w:rsid w:val="009E5CDF"/>
    <w:rsid w:val="009E5F0C"/>
    <w:rsid w:val="009E632C"/>
    <w:rsid w:val="009E7522"/>
    <w:rsid w:val="009E7BE3"/>
    <w:rsid w:val="009E7EBD"/>
    <w:rsid w:val="009F116F"/>
    <w:rsid w:val="009F173D"/>
    <w:rsid w:val="009F1DF4"/>
    <w:rsid w:val="009F217D"/>
    <w:rsid w:val="009F3C1B"/>
    <w:rsid w:val="009F3ECC"/>
    <w:rsid w:val="009F4094"/>
    <w:rsid w:val="009F4213"/>
    <w:rsid w:val="009F45A8"/>
    <w:rsid w:val="009F5D33"/>
    <w:rsid w:val="009F63F3"/>
    <w:rsid w:val="009F64FF"/>
    <w:rsid w:val="009F6988"/>
    <w:rsid w:val="009F7888"/>
    <w:rsid w:val="00A0083C"/>
    <w:rsid w:val="00A02855"/>
    <w:rsid w:val="00A029D4"/>
    <w:rsid w:val="00A05797"/>
    <w:rsid w:val="00A05EB9"/>
    <w:rsid w:val="00A0729C"/>
    <w:rsid w:val="00A122B7"/>
    <w:rsid w:val="00A12B63"/>
    <w:rsid w:val="00A13ED9"/>
    <w:rsid w:val="00A15469"/>
    <w:rsid w:val="00A1550A"/>
    <w:rsid w:val="00A15559"/>
    <w:rsid w:val="00A15DFD"/>
    <w:rsid w:val="00A15EAE"/>
    <w:rsid w:val="00A170D8"/>
    <w:rsid w:val="00A17B05"/>
    <w:rsid w:val="00A21A1C"/>
    <w:rsid w:val="00A22B6C"/>
    <w:rsid w:val="00A23440"/>
    <w:rsid w:val="00A24109"/>
    <w:rsid w:val="00A24C3D"/>
    <w:rsid w:val="00A24EE5"/>
    <w:rsid w:val="00A26454"/>
    <w:rsid w:val="00A2678C"/>
    <w:rsid w:val="00A30E6E"/>
    <w:rsid w:val="00A323F2"/>
    <w:rsid w:val="00A337A7"/>
    <w:rsid w:val="00A339A3"/>
    <w:rsid w:val="00A34489"/>
    <w:rsid w:val="00A3478B"/>
    <w:rsid w:val="00A366B5"/>
    <w:rsid w:val="00A41EFB"/>
    <w:rsid w:val="00A42077"/>
    <w:rsid w:val="00A42905"/>
    <w:rsid w:val="00A42982"/>
    <w:rsid w:val="00A43193"/>
    <w:rsid w:val="00A43274"/>
    <w:rsid w:val="00A4358D"/>
    <w:rsid w:val="00A44EE0"/>
    <w:rsid w:val="00A44F4D"/>
    <w:rsid w:val="00A45C8D"/>
    <w:rsid w:val="00A4699C"/>
    <w:rsid w:val="00A47C16"/>
    <w:rsid w:val="00A50063"/>
    <w:rsid w:val="00A504DD"/>
    <w:rsid w:val="00A50E36"/>
    <w:rsid w:val="00A51BC5"/>
    <w:rsid w:val="00A51F19"/>
    <w:rsid w:val="00A533B5"/>
    <w:rsid w:val="00A546F3"/>
    <w:rsid w:val="00A55FAC"/>
    <w:rsid w:val="00A5649D"/>
    <w:rsid w:val="00A56721"/>
    <w:rsid w:val="00A567E2"/>
    <w:rsid w:val="00A56A0B"/>
    <w:rsid w:val="00A56A6C"/>
    <w:rsid w:val="00A6104A"/>
    <w:rsid w:val="00A619B3"/>
    <w:rsid w:val="00A61FC2"/>
    <w:rsid w:val="00A62183"/>
    <w:rsid w:val="00A62631"/>
    <w:rsid w:val="00A62EE8"/>
    <w:rsid w:val="00A63A42"/>
    <w:rsid w:val="00A64FFD"/>
    <w:rsid w:val="00A651F2"/>
    <w:rsid w:val="00A671A3"/>
    <w:rsid w:val="00A70C7F"/>
    <w:rsid w:val="00A71DFB"/>
    <w:rsid w:val="00A723F3"/>
    <w:rsid w:val="00A728A6"/>
    <w:rsid w:val="00A73437"/>
    <w:rsid w:val="00A742A6"/>
    <w:rsid w:val="00A74881"/>
    <w:rsid w:val="00A74F60"/>
    <w:rsid w:val="00A75104"/>
    <w:rsid w:val="00A7525F"/>
    <w:rsid w:val="00A75565"/>
    <w:rsid w:val="00A76039"/>
    <w:rsid w:val="00A76309"/>
    <w:rsid w:val="00A768A7"/>
    <w:rsid w:val="00A76F29"/>
    <w:rsid w:val="00A807BF"/>
    <w:rsid w:val="00A80C7D"/>
    <w:rsid w:val="00A80C8A"/>
    <w:rsid w:val="00A812A7"/>
    <w:rsid w:val="00A835B5"/>
    <w:rsid w:val="00A8453D"/>
    <w:rsid w:val="00A84631"/>
    <w:rsid w:val="00A852F6"/>
    <w:rsid w:val="00A8533B"/>
    <w:rsid w:val="00A85885"/>
    <w:rsid w:val="00A85DF5"/>
    <w:rsid w:val="00A865BA"/>
    <w:rsid w:val="00A878DE"/>
    <w:rsid w:val="00A87F69"/>
    <w:rsid w:val="00A90574"/>
    <w:rsid w:val="00A90BFF"/>
    <w:rsid w:val="00A915AC"/>
    <w:rsid w:val="00A91EBB"/>
    <w:rsid w:val="00A92040"/>
    <w:rsid w:val="00A9206E"/>
    <w:rsid w:val="00A923D1"/>
    <w:rsid w:val="00A936A0"/>
    <w:rsid w:val="00A94C93"/>
    <w:rsid w:val="00A951C8"/>
    <w:rsid w:val="00A96283"/>
    <w:rsid w:val="00A97371"/>
    <w:rsid w:val="00AA01FF"/>
    <w:rsid w:val="00AA061D"/>
    <w:rsid w:val="00AA092F"/>
    <w:rsid w:val="00AA09A1"/>
    <w:rsid w:val="00AA114C"/>
    <w:rsid w:val="00AA137B"/>
    <w:rsid w:val="00AA19C6"/>
    <w:rsid w:val="00AA22DC"/>
    <w:rsid w:val="00AA39B2"/>
    <w:rsid w:val="00AA3A2A"/>
    <w:rsid w:val="00AA3DFC"/>
    <w:rsid w:val="00AA3F96"/>
    <w:rsid w:val="00AA3FC7"/>
    <w:rsid w:val="00AA5188"/>
    <w:rsid w:val="00AA5ACB"/>
    <w:rsid w:val="00AA6570"/>
    <w:rsid w:val="00AA6757"/>
    <w:rsid w:val="00AA6927"/>
    <w:rsid w:val="00AB0525"/>
    <w:rsid w:val="00AB0CDC"/>
    <w:rsid w:val="00AB1D25"/>
    <w:rsid w:val="00AB1F0C"/>
    <w:rsid w:val="00AB224E"/>
    <w:rsid w:val="00AB22B6"/>
    <w:rsid w:val="00AB2E68"/>
    <w:rsid w:val="00AB3784"/>
    <w:rsid w:val="00AB383F"/>
    <w:rsid w:val="00AB3C19"/>
    <w:rsid w:val="00AB4260"/>
    <w:rsid w:val="00AB4517"/>
    <w:rsid w:val="00AB4E21"/>
    <w:rsid w:val="00AB6E72"/>
    <w:rsid w:val="00AB7085"/>
    <w:rsid w:val="00AB7193"/>
    <w:rsid w:val="00AC05D0"/>
    <w:rsid w:val="00AC0753"/>
    <w:rsid w:val="00AC161B"/>
    <w:rsid w:val="00AC1E3B"/>
    <w:rsid w:val="00AC23C3"/>
    <w:rsid w:val="00AC24A7"/>
    <w:rsid w:val="00AC26EE"/>
    <w:rsid w:val="00AC471A"/>
    <w:rsid w:val="00AC4837"/>
    <w:rsid w:val="00AC498F"/>
    <w:rsid w:val="00AC5254"/>
    <w:rsid w:val="00AC5432"/>
    <w:rsid w:val="00AC6675"/>
    <w:rsid w:val="00AC7B6E"/>
    <w:rsid w:val="00AD13D0"/>
    <w:rsid w:val="00AD23D0"/>
    <w:rsid w:val="00AD27A6"/>
    <w:rsid w:val="00AD2C4C"/>
    <w:rsid w:val="00AD32AB"/>
    <w:rsid w:val="00AD5016"/>
    <w:rsid w:val="00AD6525"/>
    <w:rsid w:val="00AD665D"/>
    <w:rsid w:val="00AD6DB0"/>
    <w:rsid w:val="00AE239F"/>
    <w:rsid w:val="00AE2E32"/>
    <w:rsid w:val="00AE422A"/>
    <w:rsid w:val="00AE4277"/>
    <w:rsid w:val="00AE4617"/>
    <w:rsid w:val="00AE55DC"/>
    <w:rsid w:val="00AE756D"/>
    <w:rsid w:val="00AF0666"/>
    <w:rsid w:val="00AF139C"/>
    <w:rsid w:val="00AF1C9C"/>
    <w:rsid w:val="00AF3DB0"/>
    <w:rsid w:val="00AF49A3"/>
    <w:rsid w:val="00AF4F15"/>
    <w:rsid w:val="00AF686E"/>
    <w:rsid w:val="00B00C17"/>
    <w:rsid w:val="00B02127"/>
    <w:rsid w:val="00B05C6D"/>
    <w:rsid w:val="00B0750A"/>
    <w:rsid w:val="00B0756A"/>
    <w:rsid w:val="00B124AF"/>
    <w:rsid w:val="00B136FD"/>
    <w:rsid w:val="00B147CB"/>
    <w:rsid w:val="00B16A44"/>
    <w:rsid w:val="00B16B1B"/>
    <w:rsid w:val="00B16B97"/>
    <w:rsid w:val="00B17C99"/>
    <w:rsid w:val="00B2110C"/>
    <w:rsid w:val="00B22351"/>
    <w:rsid w:val="00B223DE"/>
    <w:rsid w:val="00B23EA9"/>
    <w:rsid w:val="00B244B7"/>
    <w:rsid w:val="00B25FAE"/>
    <w:rsid w:val="00B2615F"/>
    <w:rsid w:val="00B26438"/>
    <w:rsid w:val="00B30897"/>
    <w:rsid w:val="00B309AB"/>
    <w:rsid w:val="00B31A08"/>
    <w:rsid w:val="00B3221C"/>
    <w:rsid w:val="00B32C71"/>
    <w:rsid w:val="00B32D5C"/>
    <w:rsid w:val="00B330CE"/>
    <w:rsid w:val="00B334D1"/>
    <w:rsid w:val="00B33664"/>
    <w:rsid w:val="00B36911"/>
    <w:rsid w:val="00B41183"/>
    <w:rsid w:val="00B43878"/>
    <w:rsid w:val="00B45432"/>
    <w:rsid w:val="00B45977"/>
    <w:rsid w:val="00B45EC8"/>
    <w:rsid w:val="00B46004"/>
    <w:rsid w:val="00B4623E"/>
    <w:rsid w:val="00B462AB"/>
    <w:rsid w:val="00B475A6"/>
    <w:rsid w:val="00B5083A"/>
    <w:rsid w:val="00B5097E"/>
    <w:rsid w:val="00B51613"/>
    <w:rsid w:val="00B517CE"/>
    <w:rsid w:val="00B518DC"/>
    <w:rsid w:val="00B52DDA"/>
    <w:rsid w:val="00B5312A"/>
    <w:rsid w:val="00B54887"/>
    <w:rsid w:val="00B54D59"/>
    <w:rsid w:val="00B6025D"/>
    <w:rsid w:val="00B606CD"/>
    <w:rsid w:val="00B607EA"/>
    <w:rsid w:val="00B61C24"/>
    <w:rsid w:val="00B61F5E"/>
    <w:rsid w:val="00B624B3"/>
    <w:rsid w:val="00B62545"/>
    <w:rsid w:val="00B6345D"/>
    <w:rsid w:val="00B63A09"/>
    <w:rsid w:val="00B640CF"/>
    <w:rsid w:val="00B64EDE"/>
    <w:rsid w:val="00B65367"/>
    <w:rsid w:val="00B70DDE"/>
    <w:rsid w:val="00B712A8"/>
    <w:rsid w:val="00B71A2F"/>
    <w:rsid w:val="00B71F29"/>
    <w:rsid w:val="00B72DE1"/>
    <w:rsid w:val="00B72FD3"/>
    <w:rsid w:val="00B73846"/>
    <w:rsid w:val="00B73991"/>
    <w:rsid w:val="00B73AF5"/>
    <w:rsid w:val="00B74897"/>
    <w:rsid w:val="00B76A53"/>
    <w:rsid w:val="00B77FA5"/>
    <w:rsid w:val="00B81030"/>
    <w:rsid w:val="00B8118A"/>
    <w:rsid w:val="00B81322"/>
    <w:rsid w:val="00B81C80"/>
    <w:rsid w:val="00B81CF1"/>
    <w:rsid w:val="00B82984"/>
    <w:rsid w:val="00B82D89"/>
    <w:rsid w:val="00B8315B"/>
    <w:rsid w:val="00B83594"/>
    <w:rsid w:val="00B84862"/>
    <w:rsid w:val="00B8541F"/>
    <w:rsid w:val="00B86D8B"/>
    <w:rsid w:val="00B87A9A"/>
    <w:rsid w:val="00B90762"/>
    <w:rsid w:val="00B90A37"/>
    <w:rsid w:val="00B91501"/>
    <w:rsid w:val="00B92FEB"/>
    <w:rsid w:val="00B93A53"/>
    <w:rsid w:val="00B950E3"/>
    <w:rsid w:val="00B96752"/>
    <w:rsid w:val="00B97FF1"/>
    <w:rsid w:val="00BA03CB"/>
    <w:rsid w:val="00BA0661"/>
    <w:rsid w:val="00BA1612"/>
    <w:rsid w:val="00BA1DC6"/>
    <w:rsid w:val="00BA3C55"/>
    <w:rsid w:val="00BA4E18"/>
    <w:rsid w:val="00BA598B"/>
    <w:rsid w:val="00BA6AC8"/>
    <w:rsid w:val="00BA71B6"/>
    <w:rsid w:val="00BA7866"/>
    <w:rsid w:val="00BB0A4E"/>
    <w:rsid w:val="00BB0B98"/>
    <w:rsid w:val="00BB1D8A"/>
    <w:rsid w:val="00BB2095"/>
    <w:rsid w:val="00BB2865"/>
    <w:rsid w:val="00BB314C"/>
    <w:rsid w:val="00BB4945"/>
    <w:rsid w:val="00BB4C9F"/>
    <w:rsid w:val="00BB5B82"/>
    <w:rsid w:val="00BB5C7E"/>
    <w:rsid w:val="00BB6C78"/>
    <w:rsid w:val="00BB710B"/>
    <w:rsid w:val="00BB7D67"/>
    <w:rsid w:val="00BC1669"/>
    <w:rsid w:val="00BC45C7"/>
    <w:rsid w:val="00BC501F"/>
    <w:rsid w:val="00BC5092"/>
    <w:rsid w:val="00BC53FE"/>
    <w:rsid w:val="00BC61FA"/>
    <w:rsid w:val="00BC6C3D"/>
    <w:rsid w:val="00BC766A"/>
    <w:rsid w:val="00BD081E"/>
    <w:rsid w:val="00BD0D08"/>
    <w:rsid w:val="00BD387E"/>
    <w:rsid w:val="00BD3F4C"/>
    <w:rsid w:val="00BD4E7B"/>
    <w:rsid w:val="00BD51EC"/>
    <w:rsid w:val="00BD5D49"/>
    <w:rsid w:val="00BD6287"/>
    <w:rsid w:val="00BD64B3"/>
    <w:rsid w:val="00BD6F88"/>
    <w:rsid w:val="00BD74BD"/>
    <w:rsid w:val="00BD7A9C"/>
    <w:rsid w:val="00BE0807"/>
    <w:rsid w:val="00BE0F93"/>
    <w:rsid w:val="00BE105E"/>
    <w:rsid w:val="00BE2AC2"/>
    <w:rsid w:val="00BE2C17"/>
    <w:rsid w:val="00BE2D9C"/>
    <w:rsid w:val="00BE2FDE"/>
    <w:rsid w:val="00BE3025"/>
    <w:rsid w:val="00BE5B6E"/>
    <w:rsid w:val="00BE600F"/>
    <w:rsid w:val="00BE6F5A"/>
    <w:rsid w:val="00BE7147"/>
    <w:rsid w:val="00BF1180"/>
    <w:rsid w:val="00BF13C5"/>
    <w:rsid w:val="00BF233E"/>
    <w:rsid w:val="00BF368A"/>
    <w:rsid w:val="00BF36A2"/>
    <w:rsid w:val="00BF454C"/>
    <w:rsid w:val="00BF49C1"/>
    <w:rsid w:val="00BF61B8"/>
    <w:rsid w:val="00BF72C2"/>
    <w:rsid w:val="00C001AF"/>
    <w:rsid w:val="00C0059C"/>
    <w:rsid w:val="00C018D8"/>
    <w:rsid w:val="00C01979"/>
    <w:rsid w:val="00C02337"/>
    <w:rsid w:val="00C0267D"/>
    <w:rsid w:val="00C03536"/>
    <w:rsid w:val="00C036F5"/>
    <w:rsid w:val="00C048E3"/>
    <w:rsid w:val="00C04937"/>
    <w:rsid w:val="00C04ABA"/>
    <w:rsid w:val="00C057C1"/>
    <w:rsid w:val="00C068AA"/>
    <w:rsid w:val="00C06D92"/>
    <w:rsid w:val="00C07178"/>
    <w:rsid w:val="00C10997"/>
    <w:rsid w:val="00C11459"/>
    <w:rsid w:val="00C11F99"/>
    <w:rsid w:val="00C1293C"/>
    <w:rsid w:val="00C12A9B"/>
    <w:rsid w:val="00C132E0"/>
    <w:rsid w:val="00C13844"/>
    <w:rsid w:val="00C15127"/>
    <w:rsid w:val="00C15E0C"/>
    <w:rsid w:val="00C16BDD"/>
    <w:rsid w:val="00C171B3"/>
    <w:rsid w:val="00C175CD"/>
    <w:rsid w:val="00C203FC"/>
    <w:rsid w:val="00C211D7"/>
    <w:rsid w:val="00C228F7"/>
    <w:rsid w:val="00C22D59"/>
    <w:rsid w:val="00C231C8"/>
    <w:rsid w:val="00C235DF"/>
    <w:rsid w:val="00C236DD"/>
    <w:rsid w:val="00C23C70"/>
    <w:rsid w:val="00C23F0D"/>
    <w:rsid w:val="00C24C41"/>
    <w:rsid w:val="00C24FDA"/>
    <w:rsid w:val="00C25C58"/>
    <w:rsid w:val="00C25D8B"/>
    <w:rsid w:val="00C263C0"/>
    <w:rsid w:val="00C26E6C"/>
    <w:rsid w:val="00C306A0"/>
    <w:rsid w:val="00C320D5"/>
    <w:rsid w:val="00C327B9"/>
    <w:rsid w:val="00C32B10"/>
    <w:rsid w:val="00C330E8"/>
    <w:rsid w:val="00C333F7"/>
    <w:rsid w:val="00C33737"/>
    <w:rsid w:val="00C3524E"/>
    <w:rsid w:val="00C35381"/>
    <w:rsid w:val="00C35487"/>
    <w:rsid w:val="00C36989"/>
    <w:rsid w:val="00C36C8D"/>
    <w:rsid w:val="00C37869"/>
    <w:rsid w:val="00C37A17"/>
    <w:rsid w:val="00C37E90"/>
    <w:rsid w:val="00C40AE5"/>
    <w:rsid w:val="00C42451"/>
    <w:rsid w:val="00C433DC"/>
    <w:rsid w:val="00C43599"/>
    <w:rsid w:val="00C43A23"/>
    <w:rsid w:val="00C459AC"/>
    <w:rsid w:val="00C50870"/>
    <w:rsid w:val="00C52A8F"/>
    <w:rsid w:val="00C52E6B"/>
    <w:rsid w:val="00C542E2"/>
    <w:rsid w:val="00C55473"/>
    <w:rsid w:val="00C55792"/>
    <w:rsid w:val="00C56D52"/>
    <w:rsid w:val="00C571A1"/>
    <w:rsid w:val="00C60561"/>
    <w:rsid w:val="00C606BD"/>
    <w:rsid w:val="00C60A57"/>
    <w:rsid w:val="00C61254"/>
    <w:rsid w:val="00C616FE"/>
    <w:rsid w:val="00C64B2D"/>
    <w:rsid w:val="00C64FF2"/>
    <w:rsid w:val="00C65F8F"/>
    <w:rsid w:val="00C67087"/>
    <w:rsid w:val="00C67D18"/>
    <w:rsid w:val="00C67E1F"/>
    <w:rsid w:val="00C70870"/>
    <w:rsid w:val="00C713A9"/>
    <w:rsid w:val="00C713ED"/>
    <w:rsid w:val="00C7184E"/>
    <w:rsid w:val="00C719B2"/>
    <w:rsid w:val="00C71D78"/>
    <w:rsid w:val="00C7230B"/>
    <w:rsid w:val="00C72D37"/>
    <w:rsid w:val="00C730FB"/>
    <w:rsid w:val="00C735A7"/>
    <w:rsid w:val="00C73720"/>
    <w:rsid w:val="00C74227"/>
    <w:rsid w:val="00C7438E"/>
    <w:rsid w:val="00C74560"/>
    <w:rsid w:val="00C74DB4"/>
    <w:rsid w:val="00C74E3D"/>
    <w:rsid w:val="00C75AC1"/>
    <w:rsid w:val="00C77772"/>
    <w:rsid w:val="00C803C5"/>
    <w:rsid w:val="00C80914"/>
    <w:rsid w:val="00C80C52"/>
    <w:rsid w:val="00C811CD"/>
    <w:rsid w:val="00C812C8"/>
    <w:rsid w:val="00C81303"/>
    <w:rsid w:val="00C81403"/>
    <w:rsid w:val="00C81A1E"/>
    <w:rsid w:val="00C82B52"/>
    <w:rsid w:val="00C83297"/>
    <w:rsid w:val="00C84529"/>
    <w:rsid w:val="00C86913"/>
    <w:rsid w:val="00C875BE"/>
    <w:rsid w:val="00C877F9"/>
    <w:rsid w:val="00C9041E"/>
    <w:rsid w:val="00C9083E"/>
    <w:rsid w:val="00C910E3"/>
    <w:rsid w:val="00C91E9C"/>
    <w:rsid w:val="00C94442"/>
    <w:rsid w:val="00C945CD"/>
    <w:rsid w:val="00C94D46"/>
    <w:rsid w:val="00C95A3F"/>
    <w:rsid w:val="00C95ECD"/>
    <w:rsid w:val="00C96399"/>
    <w:rsid w:val="00C96D5E"/>
    <w:rsid w:val="00CA049B"/>
    <w:rsid w:val="00CA0780"/>
    <w:rsid w:val="00CA1990"/>
    <w:rsid w:val="00CA218E"/>
    <w:rsid w:val="00CA2B75"/>
    <w:rsid w:val="00CA31E8"/>
    <w:rsid w:val="00CA3916"/>
    <w:rsid w:val="00CA4188"/>
    <w:rsid w:val="00CA48BF"/>
    <w:rsid w:val="00CA4EC6"/>
    <w:rsid w:val="00CA5674"/>
    <w:rsid w:val="00CA5B7E"/>
    <w:rsid w:val="00CA7CA6"/>
    <w:rsid w:val="00CB100E"/>
    <w:rsid w:val="00CB1284"/>
    <w:rsid w:val="00CB17DD"/>
    <w:rsid w:val="00CB4205"/>
    <w:rsid w:val="00CB4400"/>
    <w:rsid w:val="00CB5B56"/>
    <w:rsid w:val="00CB5BBB"/>
    <w:rsid w:val="00CB7467"/>
    <w:rsid w:val="00CB7723"/>
    <w:rsid w:val="00CC0C1C"/>
    <w:rsid w:val="00CC1407"/>
    <w:rsid w:val="00CC42F7"/>
    <w:rsid w:val="00CC4D60"/>
    <w:rsid w:val="00CC516B"/>
    <w:rsid w:val="00CC5C7D"/>
    <w:rsid w:val="00CC72B7"/>
    <w:rsid w:val="00CC7A6C"/>
    <w:rsid w:val="00CD00CB"/>
    <w:rsid w:val="00CD06AB"/>
    <w:rsid w:val="00CD0E5D"/>
    <w:rsid w:val="00CD21AA"/>
    <w:rsid w:val="00CD270F"/>
    <w:rsid w:val="00CD32B9"/>
    <w:rsid w:val="00CD3540"/>
    <w:rsid w:val="00CD357A"/>
    <w:rsid w:val="00CD35FF"/>
    <w:rsid w:val="00CD3BAB"/>
    <w:rsid w:val="00CD3EC5"/>
    <w:rsid w:val="00CD452E"/>
    <w:rsid w:val="00CD486B"/>
    <w:rsid w:val="00CD4F34"/>
    <w:rsid w:val="00CD6DE8"/>
    <w:rsid w:val="00CE0949"/>
    <w:rsid w:val="00CE0A67"/>
    <w:rsid w:val="00CE17CB"/>
    <w:rsid w:val="00CE1904"/>
    <w:rsid w:val="00CE245E"/>
    <w:rsid w:val="00CE267D"/>
    <w:rsid w:val="00CE2705"/>
    <w:rsid w:val="00CE503A"/>
    <w:rsid w:val="00CE514B"/>
    <w:rsid w:val="00CE5CA9"/>
    <w:rsid w:val="00CE66A9"/>
    <w:rsid w:val="00CE6CAD"/>
    <w:rsid w:val="00CE7E3E"/>
    <w:rsid w:val="00CF0EC2"/>
    <w:rsid w:val="00CF10B8"/>
    <w:rsid w:val="00CF3248"/>
    <w:rsid w:val="00CF3994"/>
    <w:rsid w:val="00CF51C6"/>
    <w:rsid w:val="00CF554E"/>
    <w:rsid w:val="00CF6D5A"/>
    <w:rsid w:val="00D00E24"/>
    <w:rsid w:val="00D00E78"/>
    <w:rsid w:val="00D01A0C"/>
    <w:rsid w:val="00D02813"/>
    <w:rsid w:val="00D02E70"/>
    <w:rsid w:val="00D0408E"/>
    <w:rsid w:val="00D04A43"/>
    <w:rsid w:val="00D05532"/>
    <w:rsid w:val="00D06386"/>
    <w:rsid w:val="00D06AD2"/>
    <w:rsid w:val="00D101F2"/>
    <w:rsid w:val="00D10C46"/>
    <w:rsid w:val="00D1130F"/>
    <w:rsid w:val="00D1173B"/>
    <w:rsid w:val="00D11B63"/>
    <w:rsid w:val="00D1288B"/>
    <w:rsid w:val="00D12F4F"/>
    <w:rsid w:val="00D12F63"/>
    <w:rsid w:val="00D130D6"/>
    <w:rsid w:val="00D13691"/>
    <w:rsid w:val="00D148AE"/>
    <w:rsid w:val="00D15BB5"/>
    <w:rsid w:val="00D17143"/>
    <w:rsid w:val="00D1775E"/>
    <w:rsid w:val="00D17B03"/>
    <w:rsid w:val="00D17FA3"/>
    <w:rsid w:val="00D20818"/>
    <w:rsid w:val="00D2098F"/>
    <w:rsid w:val="00D21B35"/>
    <w:rsid w:val="00D21B6D"/>
    <w:rsid w:val="00D22B12"/>
    <w:rsid w:val="00D22C0E"/>
    <w:rsid w:val="00D23BD6"/>
    <w:rsid w:val="00D2424E"/>
    <w:rsid w:val="00D246C7"/>
    <w:rsid w:val="00D24977"/>
    <w:rsid w:val="00D249C9"/>
    <w:rsid w:val="00D2505A"/>
    <w:rsid w:val="00D2650E"/>
    <w:rsid w:val="00D26F3C"/>
    <w:rsid w:val="00D276CA"/>
    <w:rsid w:val="00D27974"/>
    <w:rsid w:val="00D27DDD"/>
    <w:rsid w:val="00D27F3A"/>
    <w:rsid w:val="00D304E2"/>
    <w:rsid w:val="00D32CE5"/>
    <w:rsid w:val="00D32EE1"/>
    <w:rsid w:val="00D3332D"/>
    <w:rsid w:val="00D33ADE"/>
    <w:rsid w:val="00D33B01"/>
    <w:rsid w:val="00D33CA6"/>
    <w:rsid w:val="00D34132"/>
    <w:rsid w:val="00D35241"/>
    <w:rsid w:val="00D36134"/>
    <w:rsid w:val="00D36165"/>
    <w:rsid w:val="00D36773"/>
    <w:rsid w:val="00D36A5E"/>
    <w:rsid w:val="00D40EF9"/>
    <w:rsid w:val="00D435DF"/>
    <w:rsid w:val="00D43835"/>
    <w:rsid w:val="00D4486A"/>
    <w:rsid w:val="00D4521E"/>
    <w:rsid w:val="00D45369"/>
    <w:rsid w:val="00D453B5"/>
    <w:rsid w:val="00D46750"/>
    <w:rsid w:val="00D47908"/>
    <w:rsid w:val="00D47A3B"/>
    <w:rsid w:val="00D5040A"/>
    <w:rsid w:val="00D50C50"/>
    <w:rsid w:val="00D5105E"/>
    <w:rsid w:val="00D51E41"/>
    <w:rsid w:val="00D52A3B"/>
    <w:rsid w:val="00D52E0A"/>
    <w:rsid w:val="00D54A8B"/>
    <w:rsid w:val="00D554D7"/>
    <w:rsid w:val="00D55E3A"/>
    <w:rsid w:val="00D5628B"/>
    <w:rsid w:val="00D57449"/>
    <w:rsid w:val="00D60E8F"/>
    <w:rsid w:val="00D61875"/>
    <w:rsid w:val="00D620E8"/>
    <w:rsid w:val="00D6276F"/>
    <w:rsid w:val="00D63414"/>
    <w:rsid w:val="00D636B6"/>
    <w:rsid w:val="00D649E2"/>
    <w:rsid w:val="00D65109"/>
    <w:rsid w:val="00D66029"/>
    <w:rsid w:val="00D666E7"/>
    <w:rsid w:val="00D6758E"/>
    <w:rsid w:val="00D67776"/>
    <w:rsid w:val="00D67B32"/>
    <w:rsid w:val="00D70399"/>
    <w:rsid w:val="00D722D3"/>
    <w:rsid w:val="00D72A08"/>
    <w:rsid w:val="00D73389"/>
    <w:rsid w:val="00D736FC"/>
    <w:rsid w:val="00D73CA0"/>
    <w:rsid w:val="00D74376"/>
    <w:rsid w:val="00D74566"/>
    <w:rsid w:val="00D75F90"/>
    <w:rsid w:val="00D77247"/>
    <w:rsid w:val="00D772B9"/>
    <w:rsid w:val="00D82599"/>
    <w:rsid w:val="00D82632"/>
    <w:rsid w:val="00D836B2"/>
    <w:rsid w:val="00D8376D"/>
    <w:rsid w:val="00D83926"/>
    <w:rsid w:val="00D83BF6"/>
    <w:rsid w:val="00D83C5B"/>
    <w:rsid w:val="00D8457E"/>
    <w:rsid w:val="00D85851"/>
    <w:rsid w:val="00D859A7"/>
    <w:rsid w:val="00D86E18"/>
    <w:rsid w:val="00D86FBF"/>
    <w:rsid w:val="00D87B46"/>
    <w:rsid w:val="00D90673"/>
    <w:rsid w:val="00D91071"/>
    <w:rsid w:val="00D917DB"/>
    <w:rsid w:val="00D91F32"/>
    <w:rsid w:val="00D922E7"/>
    <w:rsid w:val="00D93843"/>
    <w:rsid w:val="00D93DDA"/>
    <w:rsid w:val="00D93EB4"/>
    <w:rsid w:val="00D93F38"/>
    <w:rsid w:val="00D9404E"/>
    <w:rsid w:val="00D9441D"/>
    <w:rsid w:val="00D94507"/>
    <w:rsid w:val="00D94985"/>
    <w:rsid w:val="00D956DD"/>
    <w:rsid w:val="00D95DF7"/>
    <w:rsid w:val="00D96AD3"/>
    <w:rsid w:val="00D96CDA"/>
    <w:rsid w:val="00D96FFB"/>
    <w:rsid w:val="00D97C06"/>
    <w:rsid w:val="00DA0626"/>
    <w:rsid w:val="00DA0882"/>
    <w:rsid w:val="00DA143C"/>
    <w:rsid w:val="00DA1D1A"/>
    <w:rsid w:val="00DA2D72"/>
    <w:rsid w:val="00DA3227"/>
    <w:rsid w:val="00DA35E3"/>
    <w:rsid w:val="00DA4BE5"/>
    <w:rsid w:val="00DA5694"/>
    <w:rsid w:val="00DA63AC"/>
    <w:rsid w:val="00DA6DB4"/>
    <w:rsid w:val="00DA72DE"/>
    <w:rsid w:val="00DA76A8"/>
    <w:rsid w:val="00DA77A7"/>
    <w:rsid w:val="00DB08B7"/>
    <w:rsid w:val="00DB0A45"/>
    <w:rsid w:val="00DB0B69"/>
    <w:rsid w:val="00DB1450"/>
    <w:rsid w:val="00DB16BB"/>
    <w:rsid w:val="00DB1AA1"/>
    <w:rsid w:val="00DB340B"/>
    <w:rsid w:val="00DB3B02"/>
    <w:rsid w:val="00DB4952"/>
    <w:rsid w:val="00DB4DF6"/>
    <w:rsid w:val="00DB52BB"/>
    <w:rsid w:val="00DB58A7"/>
    <w:rsid w:val="00DB5B9E"/>
    <w:rsid w:val="00DB5FD2"/>
    <w:rsid w:val="00DB6C39"/>
    <w:rsid w:val="00DB6E15"/>
    <w:rsid w:val="00DB78A8"/>
    <w:rsid w:val="00DB78B9"/>
    <w:rsid w:val="00DB7BC5"/>
    <w:rsid w:val="00DB7DD5"/>
    <w:rsid w:val="00DC00E5"/>
    <w:rsid w:val="00DC012E"/>
    <w:rsid w:val="00DC065C"/>
    <w:rsid w:val="00DC0BC7"/>
    <w:rsid w:val="00DC1253"/>
    <w:rsid w:val="00DC1C16"/>
    <w:rsid w:val="00DC28A1"/>
    <w:rsid w:val="00DC3360"/>
    <w:rsid w:val="00DC3626"/>
    <w:rsid w:val="00DC3A46"/>
    <w:rsid w:val="00DC3F68"/>
    <w:rsid w:val="00DC40F2"/>
    <w:rsid w:val="00DC41F1"/>
    <w:rsid w:val="00DC42D9"/>
    <w:rsid w:val="00DC457D"/>
    <w:rsid w:val="00DC4680"/>
    <w:rsid w:val="00DC5426"/>
    <w:rsid w:val="00DC76EC"/>
    <w:rsid w:val="00DC7DE1"/>
    <w:rsid w:val="00DC7E3D"/>
    <w:rsid w:val="00DD06B2"/>
    <w:rsid w:val="00DD0936"/>
    <w:rsid w:val="00DD1E08"/>
    <w:rsid w:val="00DD1F37"/>
    <w:rsid w:val="00DD23BB"/>
    <w:rsid w:val="00DD3096"/>
    <w:rsid w:val="00DD3927"/>
    <w:rsid w:val="00DD3C7B"/>
    <w:rsid w:val="00DD3CBE"/>
    <w:rsid w:val="00DD4574"/>
    <w:rsid w:val="00DD46E1"/>
    <w:rsid w:val="00DD4EAD"/>
    <w:rsid w:val="00DD53B3"/>
    <w:rsid w:val="00DD546D"/>
    <w:rsid w:val="00DD5CEE"/>
    <w:rsid w:val="00DE08FF"/>
    <w:rsid w:val="00DE156D"/>
    <w:rsid w:val="00DE21D1"/>
    <w:rsid w:val="00DE2434"/>
    <w:rsid w:val="00DE2589"/>
    <w:rsid w:val="00DE2B93"/>
    <w:rsid w:val="00DE31FE"/>
    <w:rsid w:val="00DE339A"/>
    <w:rsid w:val="00DE4929"/>
    <w:rsid w:val="00DE4E50"/>
    <w:rsid w:val="00DE5063"/>
    <w:rsid w:val="00DE544F"/>
    <w:rsid w:val="00DE59C4"/>
    <w:rsid w:val="00DE64E0"/>
    <w:rsid w:val="00DE66BC"/>
    <w:rsid w:val="00DE66BD"/>
    <w:rsid w:val="00DE7D9A"/>
    <w:rsid w:val="00DF0385"/>
    <w:rsid w:val="00DF1605"/>
    <w:rsid w:val="00DF1659"/>
    <w:rsid w:val="00DF1B83"/>
    <w:rsid w:val="00DF5E88"/>
    <w:rsid w:val="00DF5F0B"/>
    <w:rsid w:val="00DF7ED5"/>
    <w:rsid w:val="00E00141"/>
    <w:rsid w:val="00E019C0"/>
    <w:rsid w:val="00E02EFD"/>
    <w:rsid w:val="00E02EFE"/>
    <w:rsid w:val="00E03D58"/>
    <w:rsid w:val="00E046A9"/>
    <w:rsid w:val="00E04723"/>
    <w:rsid w:val="00E04B16"/>
    <w:rsid w:val="00E051A9"/>
    <w:rsid w:val="00E051F4"/>
    <w:rsid w:val="00E053F5"/>
    <w:rsid w:val="00E05F8A"/>
    <w:rsid w:val="00E06488"/>
    <w:rsid w:val="00E07140"/>
    <w:rsid w:val="00E071AA"/>
    <w:rsid w:val="00E0753D"/>
    <w:rsid w:val="00E07552"/>
    <w:rsid w:val="00E106D4"/>
    <w:rsid w:val="00E11FEB"/>
    <w:rsid w:val="00E12A2C"/>
    <w:rsid w:val="00E12C0D"/>
    <w:rsid w:val="00E13185"/>
    <w:rsid w:val="00E134F3"/>
    <w:rsid w:val="00E13E9C"/>
    <w:rsid w:val="00E15437"/>
    <w:rsid w:val="00E15596"/>
    <w:rsid w:val="00E16884"/>
    <w:rsid w:val="00E172E3"/>
    <w:rsid w:val="00E17854"/>
    <w:rsid w:val="00E21D7D"/>
    <w:rsid w:val="00E220C6"/>
    <w:rsid w:val="00E2291C"/>
    <w:rsid w:val="00E22CB3"/>
    <w:rsid w:val="00E22D9D"/>
    <w:rsid w:val="00E23267"/>
    <w:rsid w:val="00E2354E"/>
    <w:rsid w:val="00E23885"/>
    <w:rsid w:val="00E23FFD"/>
    <w:rsid w:val="00E24BCB"/>
    <w:rsid w:val="00E24EC6"/>
    <w:rsid w:val="00E251A0"/>
    <w:rsid w:val="00E25894"/>
    <w:rsid w:val="00E26B9D"/>
    <w:rsid w:val="00E277F4"/>
    <w:rsid w:val="00E27879"/>
    <w:rsid w:val="00E31055"/>
    <w:rsid w:val="00E319B0"/>
    <w:rsid w:val="00E31A01"/>
    <w:rsid w:val="00E31D99"/>
    <w:rsid w:val="00E3308E"/>
    <w:rsid w:val="00E35958"/>
    <w:rsid w:val="00E360C9"/>
    <w:rsid w:val="00E36A74"/>
    <w:rsid w:val="00E36D47"/>
    <w:rsid w:val="00E406A8"/>
    <w:rsid w:val="00E408F9"/>
    <w:rsid w:val="00E4291D"/>
    <w:rsid w:val="00E42D98"/>
    <w:rsid w:val="00E4324B"/>
    <w:rsid w:val="00E44C8E"/>
    <w:rsid w:val="00E45344"/>
    <w:rsid w:val="00E45539"/>
    <w:rsid w:val="00E45541"/>
    <w:rsid w:val="00E45B3F"/>
    <w:rsid w:val="00E45E53"/>
    <w:rsid w:val="00E462F8"/>
    <w:rsid w:val="00E46825"/>
    <w:rsid w:val="00E46EFD"/>
    <w:rsid w:val="00E50D4A"/>
    <w:rsid w:val="00E543B3"/>
    <w:rsid w:val="00E54748"/>
    <w:rsid w:val="00E54E47"/>
    <w:rsid w:val="00E571BF"/>
    <w:rsid w:val="00E572ED"/>
    <w:rsid w:val="00E57D31"/>
    <w:rsid w:val="00E60175"/>
    <w:rsid w:val="00E60C1F"/>
    <w:rsid w:val="00E61B11"/>
    <w:rsid w:val="00E641D8"/>
    <w:rsid w:val="00E64948"/>
    <w:rsid w:val="00E64BDE"/>
    <w:rsid w:val="00E65348"/>
    <w:rsid w:val="00E656F3"/>
    <w:rsid w:val="00E65EC0"/>
    <w:rsid w:val="00E66B70"/>
    <w:rsid w:val="00E66CA6"/>
    <w:rsid w:val="00E71702"/>
    <w:rsid w:val="00E71F9C"/>
    <w:rsid w:val="00E7257A"/>
    <w:rsid w:val="00E733F6"/>
    <w:rsid w:val="00E73903"/>
    <w:rsid w:val="00E73CD0"/>
    <w:rsid w:val="00E7413F"/>
    <w:rsid w:val="00E755B5"/>
    <w:rsid w:val="00E757DE"/>
    <w:rsid w:val="00E75E7A"/>
    <w:rsid w:val="00E771FE"/>
    <w:rsid w:val="00E779E7"/>
    <w:rsid w:val="00E80D69"/>
    <w:rsid w:val="00E80F0B"/>
    <w:rsid w:val="00E80FD6"/>
    <w:rsid w:val="00E81671"/>
    <w:rsid w:val="00E81816"/>
    <w:rsid w:val="00E82581"/>
    <w:rsid w:val="00E82643"/>
    <w:rsid w:val="00E837E0"/>
    <w:rsid w:val="00E83913"/>
    <w:rsid w:val="00E83D8F"/>
    <w:rsid w:val="00E83F70"/>
    <w:rsid w:val="00E84171"/>
    <w:rsid w:val="00E843F1"/>
    <w:rsid w:val="00E84D25"/>
    <w:rsid w:val="00E8600A"/>
    <w:rsid w:val="00E877C6"/>
    <w:rsid w:val="00E9007B"/>
    <w:rsid w:val="00E91CAF"/>
    <w:rsid w:val="00E91F54"/>
    <w:rsid w:val="00E92F1A"/>
    <w:rsid w:val="00E93499"/>
    <w:rsid w:val="00E948EB"/>
    <w:rsid w:val="00E96F10"/>
    <w:rsid w:val="00E9726C"/>
    <w:rsid w:val="00E977DC"/>
    <w:rsid w:val="00EA1733"/>
    <w:rsid w:val="00EA212A"/>
    <w:rsid w:val="00EA214B"/>
    <w:rsid w:val="00EA503D"/>
    <w:rsid w:val="00EA5800"/>
    <w:rsid w:val="00EA660C"/>
    <w:rsid w:val="00EA7C3F"/>
    <w:rsid w:val="00EB05C2"/>
    <w:rsid w:val="00EB2577"/>
    <w:rsid w:val="00EB2A87"/>
    <w:rsid w:val="00EB2EC1"/>
    <w:rsid w:val="00EB3168"/>
    <w:rsid w:val="00EB37DB"/>
    <w:rsid w:val="00EB38F6"/>
    <w:rsid w:val="00EB4456"/>
    <w:rsid w:val="00EB70EE"/>
    <w:rsid w:val="00EB72F4"/>
    <w:rsid w:val="00EC0821"/>
    <w:rsid w:val="00EC1661"/>
    <w:rsid w:val="00EC3383"/>
    <w:rsid w:val="00EC3A40"/>
    <w:rsid w:val="00EC3F55"/>
    <w:rsid w:val="00EC47D3"/>
    <w:rsid w:val="00EC48F6"/>
    <w:rsid w:val="00EC4AFE"/>
    <w:rsid w:val="00EC6BCD"/>
    <w:rsid w:val="00EC76B3"/>
    <w:rsid w:val="00EC7B5F"/>
    <w:rsid w:val="00ED00F4"/>
    <w:rsid w:val="00ED01E9"/>
    <w:rsid w:val="00ED0A23"/>
    <w:rsid w:val="00ED1742"/>
    <w:rsid w:val="00ED1908"/>
    <w:rsid w:val="00ED23EA"/>
    <w:rsid w:val="00ED424D"/>
    <w:rsid w:val="00ED4487"/>
    <w:rsid w:val="00ED5B72"/>
    <w:rsid w:val="00ED6C4E"/>
    <w:rsid w:val="00ED72B4"/>
    <w:rsid w:val="00ED7917"/>
    <w:rsid w:val="00ED7F85"/>
    <w:rsid w:val="00EE1288"/>
    <w:rsid w:val="00EE3032"/>
    <w:rsid w:val="00EE451D"/>
    <w:rsid w:val="00EE4EA5"/>
    <w:rsid w:val="00EE7DF3"/>
    <w:rsid w:val="00EF04D8"/>
    <w:rsid w:val="00EF0F44"/>
    <w:rsid w:val="00EF1188"/>
    <w:rsid w:val="00EF1516"/>
    <w:rsid w:val="00EF1B28"/>
    <w:rsid w:val="00EF223A"/>
    <w:rsid w:val="00EF2990"/>
    <w:rsid w:val="00EF32BC"/>
    <w:rsid w:val="00EF46BD"/>
    <w:rsid w:val="00EF484B"/>
    <w:rsid w:val="00EF708F"/>
    <w:rsid w:val="00EF7B33"/>
    <w:rsid w:val="00F0020A"/>
    <w:rsid w:val="00F00720"/>
    <w:rsid w:val="00F007ED"/>
    <w:rsid w:val="00F00DDE"/>
    <w:rsid w:val="00F00F83"/>
    <w:rsid w:val="00F0139F"/>
    <w:rsid w:val="00F01745"/>
    <w:rsid w:val="00F023AE"/>
    <w:rsid w:val="00F02BE0"/>
    <w:rsid w:val="00F041BA"/>
    <w:rsid w:val="00F0430B"/>
    <w:rsid w:val="00F043C5"/>
    <w:rsid w:val="00F04E9F"/>
    <w:rsid w:val="00F054AE"/>
    <w:rsid w:val="00F05705"/>
    <w:rsid w:val="00F05E7F"/>
    <w:rsid w:val="00F0629F"/>
    <w:rsid w:val="00F06807"/>
    <w:rsid w:val="00F0749E"/>
    <w:rsid w:val="00F079C5"/>
    <w:rsid w:val="00F07FD4"/>
    <w:rsid w:val="00F114F5"/>
    <w:rsid w:val="00F11688"/>
    <w:rsid w:val="00F11D25"/>
    <w:rsid w:val="00F12CBA"/>
    <w:rsid w:val="00F12D38"/>
    <w:rsid w:val="00F13160"/>
    <w:rsid w:val="00F146F3"/>
    <w:rsid w:val="00F14F5B"/>
    <w:rsid w:val="00F15436"/>
    <w:rsid w:val="00F16540"/>
    <w:rsid w:val="00F16C2D"/>
    <w:rsid w:val="00F16CBB"/>
    <w:rsid w:val="00F17185"/>
    <w:rsid w:val="00F2323F"/>
    <w:rsid w:val="00F23672"/>
    <w:rsid w:val="00F23B0C"/>
    <w:rsid w:val="00F245E2"/>
    <w:rsid w:val="00F25155"/>
    <w:rsid w:val="00F25980"/>
    <w:rsid w:val="00F262B0"/>
    <w:rsid w:val="00F26B49"/>
    <w:rsid w:val="00F26B60"/>
    <w:rsid w:val="00F27597"/>
    <w:rsid w:val="00F30A29"/>
    <w:rsid w:val="00F323BA"/>
    <w:rsid w:val="00F325B2"/>
    <w:rsid w:val="00F32961"/>
    <w:rsid w:val="00F32AE9"/>
    <w:rsid w:val="00F34582"/>
    <w:rsid w:val="00F349AF"/>
    <w:rsid w:val="00F35420"/>
    <w:rsid w:val="00F36494"/>
    <w:rsid w:val="00F378C6"/>
    <w:rsid w:val="00F37B22"/>
    <w:rsid w:val="00F40410"/>
    <w:rsid w:val="00F41E51"/>
    <w:rsid w:val="00F42CD1"/>
    <w:rsid w:val="00F433B9"/>
    <w:rsid w:val="00F4385C"/>
    <w:rsid w:val="00F43EE4"/>
    <w:rsid w:val="00F44E27"/>
    <w:rsid w:val="00F45968"/>
    <w:rsid w:val="00F464F8"/>
    <w:rsid w:val="00F469DC"/>
    <w:rsid w:val="00F473B1"/>
    <w:rsid w:val="00F47D63"/>
    <w:rsid w:val="00F509B2"/>
    <w:rsid w:val="00F50D14"/>
    <w:rsid w:val="00F51BC4"/>
    <w:rsid w:val="00F527EA"/>
    <w:rsid w:val="00F53D28"/>
    <w:rsid w:val="00F547F9"/>
    <w:rsid w:val="00F54D2B"/>
    <w:rsid w:val="00F55400"/>
    <w:rsid w:val="00F55763"/>
    <w:rsid w:val="00F558B1"/>
    <w:rsid w:val="00F6086F"/>
    <w:rsid w:val="00F612E0"/>
    <w:rsid w:val="00F62C83"/>
    <w:rsid w:val="00F62FCF"/>
    <w:rsid w:val="00F63362"/>
    <w:rsid w:val="00F635EE"/>
    <w:rsid w:val="00F63A8E"/>
    <w:rsid w:val="00F64EC1"/>
    <w:rsid w:val="00F65145"/>
    <w:rsid w:val="00F656E0"/>
    <w:rsid w:val="00F6591A"/>
    <w:rsid w:val="00F66EC2"/>
    <w:rsid w:val="00F673AF"/>
    <w:rsid w:val="00F67633"/>
    <w:rsid w:val="00F67807"/>
    <w:rsid w:val="00F70C66"/>
    <w:rsid w:val="00F721D9"/>
    <w:rsid w:val="00F72931"/>
    <w:rsid w:val="00F74F3E"/>
    <w:rsid w:val="00F7502E"/>
    <w:rsid w:val="00F75B13"/>
    <w:rsid w:val="00F773E9"/>
    <w:rsid w:val="00F77B04"/>
    <w:rsid w:val="00F77DAD"/>
    <w:rsid w:val="00F801E3"/>
    <w:rsid w:val="00F80A32"/>
    <w:rsid w:val="00F81902"/>
    <w:rsid w:val="00F81A0B"/>
    <w:rsid w:val="00F81D89"/>
    <w:rsid w:val="00F81DFD"/>
    <w:rsid w:val="00F83C6F"/>
    <w:rsid w:val="00F83CB8"/>
    <w:rsid w:val="00F83E52"/>
    <w:rsid w:val="00F8430A"/>
    <w:rsid w:val="00F84DEC"/>
    <w:rsid w:val="00F8554E"/>
    <w:rsid w:val="00F85B06"/>
    <w:rsid w:val="00F85BEE"/>
    <w:rsid w:val="00F8621D"/>
    <w:rsid w:val="00F87949"/>
    <w:rsid w:val="00F90106"/>
    <w:rsid w:val="00F901D8"/>
    <w:rsid w:val="00F90B32"/>
    <w:rsid w:val="00F90E31"/>
    <w:rsid w:val="00F911D3"/>
    <w:rsid w:val="00F91CAA"/>
    <w:rsid w:val="00F91FAA"/>
    <w:rsid w:val="00F92359"/>
    <w:rsid w:val="00F93198"/>
    <w:rsid w:val="00F94B94"/>
    <w:rsid w:val="00F95053"/>
    <w:rsid w:val="00F958E2"/>
    <w:rsid w:val="00F95AF3"/>
    <w:rsid w:val="00F9746A"/>
    <w:rsid w:val="00FA0954"/>
    <w:rsid w:val="00FA0EC4"/>
    <w:rsid w:val="00FA2B5B"/>
    <w:rsid w:val="00FA3C72"/>
    <w:rsid w:val="00FA49DE"/>
    <w:rsid w:val="00FA513C"/>
    <w:rsid w:val="00FA5A7D"/>
    <w:rsid w:val="00FA685A"/>
    <w:rsid w:val="00FA692A"/>
    <w:rsid w:val="00FA7FCF"/>
    <w:rsid w:val="00FB2170"/>
    <w:rsid w:val="00FB2F4C"/>
    <w:rsid w:val="00FB3E9A"/>
    <w:rsid w:val="00FB4A02"/>
    <w:rsid w:val="00FB61F2"/>
    <w:rsid w:val="00FB6777"/>
    <w:rsid w:val="00FB6BC1"/>
    <w:rsid w:val="00FB6D43"/>
    <w:rsid w:val="00FC18D0"/>
    <w:rsid w:val="00FC1D91"/>
    <w:rsid w:val="00FC2ACA"/>
    <w:rsid w:val="00FC3CFE"/>
    <w:rsid w:val="00FC4811"/>
    <w:rsid w:val="00FC492E"/>
    <w:rsid w:val="00FC5414"/>
    <w:rsid w:val="00FC5817"/>
    <w:rsid w:val="00FC6A52"/>
    <w:rsid w:val="00FC7616"/>
    <w:rsid w:val="00FD1866"/>
    <w:rsid w:val="00FD3662"/>
    <w:rsid w:val="00FD4C20"/>
    <w:rsid w:val="00FD5D1F"/>
    <w:rsid w:val="00FD6518"/>
    <w:rsid w:val="00FD66E2"/>
    <w:rsid w:val="00FD71F5"/>
    <w:rsid w:val="00FD7F9E"/>
    <w:rsid w:val="00FE004E"/>
    <w:rsid w:val="00FE049A"/>
    <w:rsid w:val="00FE0870"/>
    <w:rsid w:val="00FE10E1"/>
    <w:rsid w:val="00FE1238"/>
    <w:rsid w:val="00FE3BE5"/>
    <w:rsid w:val="00FE569E"/>
    <w:rsid w:val="00FE5FAF"/>
    <w:rsid w:val="00FE6CA3"/>
    <w:rsid w:val="00FE70B8"/>
    <w:rsid w:val="00FE730A"/>
    <w:rsid w:val="00FF0C75"/>
    <w:rsid w:val="00FF1B16"/>
    <w:rsid w:val="00FF42A3"/>
    <w:rsid w:val="00FF4440"/>
    <w:rsid w:val="00FF754C"/>
    <w:rsid w:val="01E8547E"/>
    <w:rsid w:val="06677406"/>
    <w:rsid w:val="07F92B6D"/>
    <w:rsid w:val="095835C8"/>
    <w:rsid w:val="120D0715"/>
    <w:rsid w:val="1717731A"/>
    <w:rsid w:val="1906176F"/>
    <w:rsid w:val="1ED34892"/>
    <w:rsid w:val="1F66A3B2"/>
    <w:rsid w:val="1F6D63B3"/>
    <w:rsid w:val="1F8A188E"/>
    <w:rsid w:val="238B06C7"/>
    <w:rsid w:val="255938DC"/>
    <w:rsid w:val="261C0469"/>
    <w:rsid w:val="2666570F"/>
    <w:rsid w:val="27FAA5A5"/>
    <w:rsid w:val="2CF80042"/>
    <w:rsid w:val="2DD071F2"/>
    <w:rsid w:val="2E643A09"/>
    <w:rsid w:val="2EFE89BE"/>
    <w:rsid w:val="32F6443A"/>
    <w:rsid w:val="353C420B"/>
    <w:rsid w:val="3577D876"/>
    <w:rsid w:val="3A729C8E"/>
    <w:rsid w:val="3A910D48"/>
    <w:rsid w:val="3BBF16C2"/>
    <w:rsid w:val="3BF7B067"/>
    <w:rsid w:val="3DFA5F56"/>
    <w:rsid w:val="40DC75E6"/>
    <w:rsid w:val="42204740"/>
    <w:rsid w:val="423517CA"/>
    <w:rsid w:val="43442CAA"/>
    <w:rsid w:val="438374A9"/>
    <w:rsid w:val="44134C8D"/>
    <w:rsid w:val="44134CD1"/>
    <w:rsid w:val="459D7B07"/>
    <w:rsid w:val="46023645"/>
    <w:rsid w:val="46FD7572"/>
    <w:rsid w:val="488E2E71"/>
    <w:rsid w:val="4D2E0F61"/>
    <w:rsid w:val="50177C35"/>
    <w:rsid w:val="529A5F41"/>
    <w:rsid w:val="59EF2460"/>
    <w:rsid w:val="59F9006D"/>
    <w:rsid w:val="5BDE34FB"/>
    <w:rsid w:val="5F7F3991"/>
    <w:rsid w:val="5F7F4960"/>
    <w:rsid w:val="5FEEC27C"/>
    <w:rsid w:val="637757F8"/>
    <w:rsid w:val="67FDCEAE"/>
    <w:rsid w:val="696874C0"/>
    <w:rsid w:val="69F5A313"/>
    <w:rsid w:val="6B3233DF"/>
    <w:rsid w:val="6BBC630F"/>
    <w:rsid w:val="6BD3776F"/>
    <w:rsid w:val="6DEEED44"/>
    <w:rsid w:val="6E47047F"/>
    <w:rsid w:val="6EF2584A"/>
    <w:rsid w:val="6FB61206"/>
    <w:rsid w:val="6FDCE4D9"/>
    <w:rsid w:val="6FDFA73C"/>
    <w:rsid w:val="6FE7815E"/>
    <w:rsid w:val="6FFADE8A"/>
    <w:rsid w:val="707FFC6D"/>
    <w:rsid w:val="71FFC362"/>
    <w:rsid w:val="72FF44EF"/>
    <w:rsid w:val="73FD8070"/>
    <w:rsid w:val="74DA69D9"/>
    <w:rsid w:val="74E145EB"/>
    <w:rsid w:val="75524DAA"/>
    <w:rsid w:val="755328D0"/>
    <w:rsid w:val="75BE0F89"/>
    <w:rsid w:val="773F34A4"/>
    <w:rsid w:val="77AB03FE"/>
    <w:rsid w:val="77EB548E"/>
    <w:rsid w:val="77FE2D94"/>
    <w:rsid w:val="786A9024"/>
    <w:rsid w:val="7A475529"/>
    <w:rsid w:val="7B3F6DDA"/>
    <w:rsid w:val="7BC14784"/>
    <w:rsid w:val="7CBE2D25"/>
    <w:rsid w:val="7D4D72E6"/>
    <w:rsid w:val="7DF66C1D"/>
    <w:rsid w:val="7EB71970"/>
    <w:rsid w:val="7EDFD2C4"/>
    <w:rsid w:val="7F1F78BE"/>
    <w:rsid w:val="7F471032"/>
    <w:rsid w:val="7FBB8FA8"/>
    <w:rsid w:val="7FFE764E"/>
    <w:rsid w:val="8F7FA99D"/>
    <w:rsid w:val="96DE2534"/>
    <w:rsid w:val="9AEFE8FA"/>
    <w:rsid w:val="9BFCD77A"/>
    <w:rsid w:val="9FF51FF7"/>
    <w:rsid w:val="9FFDBB25"/>
    <w:rsid w:val="A3FF3A07"/>
    <w:rsid w:val="AF1B2DEF"/>
    <w:rsid w:val="AF7B056E"/>
    <w:rsid w:val="AFFA4E6C"/>
    <w:rsid w:val="AFFB1CAD"/>
    <w:rsid w:val="B7EDE08E"/>
    <w:rsid w:val="B7EF4AD7"/>
    <w:rsid w:val="B7FDD5B2"/>
    <w:rsid w:val="B973E6D8"/>
    <w:rsid w:val="B9FDA999"/>
    <w:rsid w:val="BBE7CE20"/>
    <w:rsid w:val="BBEF9D98"/>
    <w:rsid w:val="BCDB54B3"/>
    <w:rsid w:val="BCDF09B2"/>
    <w:rsid w:val="BD66B6DE"/>
    <w:rsid w:val="BFAEE142"/>
    <w:rsid w:val="CC5514AE"/>
    <w:rsid w:val="CFD39E68"/>
    <w:rsid w:val="D1BF0F65"/>
    <w:rsid w:val="D3DF7809"/>
    <w:rsid w:val="D9FE4DB4"/>
    <w:rsid w:val="DB6FD762"/>
    <w:rsid w:val="DC779853"/>
    <w:rsid w:val="DECA2ECA"/>
    <w:rsid w:val="DFDB209E"/>
    <w:rsid w:val="DFFD4374"/>
    <w:rsid w:val="E27D909B"/>
    <w:rsid w:val="E3EB3513"/>
    <w:rsid w:val="E7EE6AC8"/>
    <w:rsid w:val="E97D1C1D"/>
    <w:rsid w:val="EF7D519B"/>
    <w:rsid w:val="EF7D803C"/>
    <w:rsid w:val="EFDB7377"/>
    <w:rsid w:val="F1FD68B3"/>
    <w:rsid w:val="F5BF3C26"/>
    <w:rsid w:val="F5FD2F1B"/>
    <w:rsid w:val="F73FF628"/>
    <w:rsid w:val="F7C729BF"/>
    <w:rsid w:val="F7DBD529"/>
    <w:rsid w:val="F9AB28F8"/>
    <w:rsid w:val="FABDD0A8"/>
    <w:rsid w:val="FE7D919F"/>
    <w:rsid w:val="FEEF9EDC"/>
    <w:rsid w:val="FF15D254"/>
    <w:rsid w:val="FF6F4E0C"/>
    <w:rsid w:val="FF7709A4"/>
    <w:rsid w:val="FF9D65FD"/>
    <w:rsid w:val="FFAB05D1"/>
    <w:rsid w:val="FFCA3BE2"/>
    <w:rsid w:val="FFCF6292"/>
    <w:rsid w:val="FFDFA136"/>
    <w:rsid w:val="FFF5378F"/>
    <w:rsid w:val="FFFAC5CC"/>
    <w:rsid w:val="FFFEC2A5"/>
    <w:rsid w:val="FFFF09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9"/>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0"/>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1"/>
    <w:unhideWhenUsed/>
    <w:qFormat/>
    <w:uiPriority w:val="9"/>
    <w:pPr>
      <w:keepNext/>
      <w:keepLines/>
      <w:spacing w:before="80" w:after="40"/>
      <w:outlineLvl w:val="4"/>
    </w:pPr>
    <w:rPr>
      <w:rFonts w:cstheme="majorBidi"/>
      <w:color w:val="104862" w:themeColor="accent1" w:themeShade="BF"/>
    </w:rPr>
  </w:style>
  <w:style w:type="paragraph" w:styleId="7">
    <w:name w:val="heading 6"/>
    <w:basedOn w:val="1"/>
    <w:next w:val="1"/>
    <w:link w:val="32"/>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87"/>
    <w:semiHidden/>
    <w:unhideWhenUsed/>
    <w:qFormat/>
    <w:uiPriority w:val="99"/>
  </w:style>
  <w:style w:type="paragraph" w:styleId="12">
    <w:name w:val="footer"/>
    <w:basedOn w:val="1"/>
    <w:semiHidden/>
    <w:unhideWhenUsed/>
    <w:qFormat/>
    <w:uiPriority w:val="99"/>
    <w:pPr>
      <w:tabs>
        <w:tab w:val="center" w:pos="4153"/>
        <w:tab w:val="right" w:pos="8306"/>
      </w:tabs>
      <w:snapToGrid w:val="0"/>
    </w:pPr>
    <w:rPr>
      <w:sz w:val="18"/>
    </w:rPr>
  </w:style>
  <w:style w:type="paragraph" w:styleId="1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4">
    <w:name w:val="Subtitle"/>
    <w:basedOn w:val="1"/>
    <w:next w:val="1"/>
    <w:link w:val="3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Normal (Web)"/>
    <w:basedOn w:val="1"/>
    <w:semiHidden/>
    <w:unhideWhenUsed/>
    <w:qFormat/>
    <w:uiPriority w:val="99"/>
    <w:pPr>
      <w:spacing w:before="100" w:beforeAutospacing="1" w:after="100" w:afterAutospacing="1"/>
    </w:pPr>
  </w:style>
  <w:style w:type="paragraph" w:styleId="16">
    <w:name w:val="Title"/>
    <w:basedOn w:val="1"/>
    <w:next w:val="1"/>
    <w:link w:val="3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88"/>
    <w:semiHidden/>
    <w:unhideWhenUsed/>
    <w:qFormat/>
    <w:uiPriority w:val="99"/>
    <w:rPr>
      <w:b/>
      <w:bCs/>
    </w:rPr>
  </w:style>
  <w:style w:type="table" w:styleId="19">
    <w:name w:val="Table Grid"/>
    <w:basedOn w:val="18"/>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bCs/>
    </w:rPr>
  </w:style>
  <w:style w:type="character" w:styleId="22">
    <w:name w:val="FollowedHyperlink"/>
    <w:basedOn w:val="20"/>
    <w:semiHidden/>
    <w:unhideWhenUsed/>
    <w:qFormat/>
    <w:uiPriority w:val="99"/>
    <w:rPr>
      <w:color w:val="800080"/>
      <w:u w:val="single"/>
    </w:rPr>
  </w:style>
  <w:style w:type="character" w:styleId="23">
    <w:name w:val="Emphasis"/>
    <w:basedOn w:val="20"/>
    <w:qFormat/>
    <w:uiPriority w:val="20"/>
    <w:rPr>
      <w:i/>
      <w:iCs/>
    </w:rPr>
  </w:style>
  <w:style w:type="character" w:styleId="24">
    <w:name w:val="line number"/>
    <w:basedOn w:val="20"/>
    <w:semiHidden/>
    <w:unhideWhenUsed/>
    <w:qFormat/>
    <w:uiPriority w:val="99"/>
  </w:style>
  <w:style w:type="character" w:styleId="25">
    <w:name w:val="Hyperlink"/>
    <w:basedOn w:val="20"/>
    <w:semiHidden/>
    <w:unhideWhenUsed/>
    <w:qFormat/>
    <w:uiPriority w:val="99"/>
    <w:rPr>
      <w:color w:val="0000FF"/>
      <w:u w:val="single"/>
    </w:rPr>
  </w:style>
  <w:style w:type="character" w:styleId="26">
    <w:name w:val="annotation reference"/>
    <w:basedOn w:val="20"/>
    <w:semiHidden/>
    <w:unhideWhenUsed/>
    <w:qFormat/>
    <w:uiPriority w:val="99"/>
    <w:rPr>
      <w:sz w:val="21"/>
      <w:szCs w:val="21"/>
    </w:rPr>
  </w:style>
  <w:style w:type="character" w:customStyle="1" w:styleId="27">
    <w:name w:val="标题 1 字符"/>
    <w:basedOn w:val="20"/>
    <w:link w:val="2"/>
    <w:qFormat/>
    <w:uiPriority w:val="9"/>
    <w:rPr>
      <w:rFonts w:asciiTheme="majorHAnsi" w:hAnsiTheme="majorHAnsi" w:eastAsiaTheme="majorEastAsia" w:cstheme="majorBidi"/>
      <w:color w:val="104862" w:themeColor="accent1" w:themeShade="BF"/>
      <w:sz w:val="48"/>
      <w:szCs w:val="48"/>
    </w:rPr>
  </w:style>
  <w:style w:type="character" w:customStyle="1" w:styleId="28">
    <w:name w:val="标题 2 字符"/>
    <w:basedOn w:val="20"/>
    <w:link w:val="3"/>
    <w:qFormat/>
    <w:uiPriority w:val="9"/>
    <w:rPr>
      <w:rFonts w:asciiTheme="majorHAnsi" w:hAnsiTheme="majorHAnsi" w:eastAsiaTheme="majorEastAsia" w:cstheme="majorBidi"/>
      <w:color w:val="104862" w:themeColor="accent1" w:themeShade="BF"/>
      <w:sz w:val="40"/>
      <w:szCs w:val="40"/>
    </w:rPr>
  </w:style>
  <w:style w:type="character" w:customStyle="1" w:styleId="29">
    <w:name w:val="标题 3 字符"/>
    <w:basedOn w:val="20"/>
    <w:link w:val="4"/>
    <w:qFormat/>
    <w:uiPriority w:val="9"/>
    <w:rPr>
      <w:rFonts w:asciiTheme="majorHAnsi" w:hAnsiTheme="majorHAnsi" w:eastAsiaTheme="majorEastAsia" w:cstheme="majorBidi"/>
      <w:color w:val="104862" w:themeColor="accent1" w:themeShade="BF"/>
      <w:sz w:val="32"/>
      <w:szCs w:val="32"/>
    </w:rPr>
  </w:style>
  <w:style w:type="character" w:customStyle="1" w:styleId="30">
    <w:name w:val="标题 4 字符"/>
    <w:basedOn w:val="20"/>
    <w:link w:val="5"/>
    <w:qFormat/>
    <w:uiPriority w:val="9"/>
    <w:rPr>
      <w:rFonts w:cstheme="majorBidi"/>
      <w:color w:val="104862" w:themeColor="accent1" w:themeShade="BF"/>
      <w:sz w:val="28"/>
      <w:szCs w:val="28"/>
    </w:rPr>
  </w:style>
  <w:style w:type="character" w:customStyle="1" w:styleId="31">
    <w:name w:val="标题 5 字符"/>
    <w:basedOn w:val="20"/>
    <w:link w:val="6"/>
    <w:qFormat/>
    <w:uiPriority w:val="9"/>
    <w:rPr>
      <w:rFonts w:cstheme="majorBidi"/>
      <w:color w:val="104862" w:themeColor="accent1" w:themeShade="BF"/>
      <w:sz w:val="24"/>
    </w:rPr>
  </w:style>
  <w:style w:type="character" w:customStyle="1" w:styleId="32">
    <w:name w:val="标题 6 字符"/>
    <w:basedOn w:val="20"/>
    <w:link w:val="7"/>
    <w:semiHidden/>
    <w:qFormat/>
    <w:uiPriority w:val="9"/>
    <w:rPr>
      <w:rFonts w:cstheme="majorBidi"/>
      <w:b/>
      <w:bCs/>
      <w:color w:val="104862" w:themeColor="accent1" w:themeShade="BF"/>
    </w:rPr>
  </w:style>
  <w:style w:type="character" w:customStyle="1" w:styleId="33">
    <w:name w:val="标题 7 字符"/>
    <w:basedOn w:val="2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4">
    <w:name w:val="标题 8 字符"/>
    <w:basedOn w:val="2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5">
    <w:name w:val="标题 9 字符"/>
    <w:basedOn w:val="2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6">
    <w:name w:val="标题 字符"/>
    <w:basedOn w:val="20"/>
    <w:link w:val="16"/>
    <w:qFormat/>
    <w:uiPriority w:val="10"/>
    <w:rPr>
      <w:rFonts w:asciiTheme="majorHAnsi" w:hAnsiTheme="majorHAnsi" w:eastAsiaTheme="majorEastAsia" w:cstheme="majorBidi"/>
      <w:spacing w:val="-10"/>
      <w:kern w:val="28"/>
      <w:sz w:val="56"/>
      <w:szCs w:val="56"/>
    </w:rPr>
  </w:style>
  <w:style w:type="character" w:customStyle="1" w:styleId="37">
    <w:name w:val="副标题 字符"/>
    <w:basedOn w:val="20"/>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8">
    <w:name w:val="Quote"/>
    <w:basedOn w:val="1"/>
    <w:next w:val="1"/>
    <w:link w:val="3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9">
    <w:name w:val="引用 字符"/>
    <w:basedOn w:val="20"/>
    <w:link w:val="38"/>
    <w:qFormat/>
    <w:uiPriority w:val="29"/>
    <w:rPr>
      <w:i/>
      <w:iCs/>
      <w:color w:val="404040" w:themeColor="text1" w:themeTint="BF"/>
      <w14:textFill>
        <w14:solidFill>
          <w14:schemeClr w14:val="tx1">
            <w14:lumMod w14:val="75000"/>
            <w14:lumOff w14:val="25000"/>
          </w14:schemeClr>
        </w14:solidFill>
      </w14:textFill>
    </w:rPr>
  </w:style>
  <w:style w:type="paragraph" w:styleId="40">
    <w:name w:val="List Paragraph"/>
    <w:basedOn w:val="1"/>
    <w:qFormat/>
    <w:uiPriority w:val="34"/>
    <w:pPr>
      <w:ind w:left="720"/>
      <w:contextualSpacing/>
    </w:pPr>
  </w:style>
  <w:style w:type="character" w:customStyle="1" w:styleId="41">
    <w:name w:val="明显强调1"/>
    <w:basedOn w:val="20"/>
    <w:qFormat/>
    <w:uiPriority w:val="21"/>
    <w:rPr>
      <w:i/>
      <w:iCs/>
      <w:color w:val="104862" w:themeColor="accent1" w:themeShade="BF"/>
    </w:rPr>
  </w:style>
  <w:style w:type="paragraph" w:styleId="42">
    <w:name w:val="Intense Quote"/>
    <w:basedOn w:val="1"/>
    <w:next w:val="1"/>
    <w:link w:val="4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3">
    <w:name w:val="明显引用 字符"/>
    <w:basedOn w:val="20"/>
    <w:link w:val="42"/>
    <w:qFormat/>
    <w:uiPriority w:val="30"/>
    <w:rPr>
      <w:i/>
      <w:iCs/>
      <w:color w:val="104862" w:themeColor="accent1" w:themeShade="BF"/>
    </w:rPr>
  </w:style>
  <w:style w:type="character" w:customStyle="1" w:styleId="44">
    <w:name w:val="明显参考1"/>
    <w:basedOn w:val="20"/>
    <w:qFormat/>
    <w:uiPriority w:val="32"/>
    <w:rPr>
      <w:b/>
      <w:bCs/>
      <w:smallCaps/>
      <w:color w:val="104862" w:themeColor="accent1" w:themeShade="BF"/>
      <w:spacing w:val="5"/>
    </w:rPr>
  </w:style>
  <w:style w:type="paragraph" w:customStyle="1" w:styleId="45">
    <w:name w:val="msonormal"/>
    <w:basedOn w:val="1"/>
    <w:qFormat/>
    <w:uiPriority w:val="0"/>
    <w:pPr>
      <w:spacing w:before="100" w:beforeAutospacing="1" w:after="100" w:afterAutospacing="1"/>
    </w:pPr>
  </w:style>
  <w:style w:type="character" w:customStyle="1" w:styleId="46">
    <w:name w:val="icon"/>
    <w:basedOn w:val="20"/>
    <w:qFormat/>
    <w:uiPriority w:val="0"/>
  </w:style>
  <w:style w:type="character" w:customStyle="1" w:styleId="47">
    <w:name w:val="apple-converted-space"/>
    <w:basedOn w:val="20"/>
    <w:qFormat/>
    <w:uiPriority w:val="0"/>
  </w:style>
  <w:style w:type="paragraph" w:customStyle="1" w:styleId="48">
    <w:name w:val="corporate__link-item"/>
    <w:basedOn w:val="1"/>
    <w:qFormat/>
    <w:uiPriority w:val="0"/>
    <w:pPr>
      <w:spacing w:before="100" w:beforeAutospacing="1" w:after="100" w:afterAutospacing="1"/>
    </w:pPr>
  </w:style>
  <w:style w:type="paragraph" w:customStyle="1" w:styleId="49">
    <w:name w:val="journal__link-item"/>
    <w:basedOn w:val="1"/>
    <w:qFormat/>
    <w:uiPriority w:val="0"/>
    <w:pPr>
      <w:spacing w:before="100" w:beforeAutospacing="1" w:after="100" w:afterAutospacing="1"/>
    </w:pPr>
  </w:style>
  <w:style w:type="character" w:customStyle="1" w:styleId="50">
    <w:name w:val="journal__journals-list"/>
    <w:basedOn w:val="20"/>
    <w:qFormat/>
    <w:uiPriority w:val="0"/>
  </w:style>
  <w:style w:type="character" w:customStyle="1" w:styleId="51">
    <w:name w:val="journal__link"/>
    <w:basedOn w:val="20"/>
    <w:qFormat/>
    <w:uiPriority w:val="0"/>
  </w:style>
  <w:style w:type="paragraph" w:customStyle="1" w:styleId="52">
    <w:name w:val="m-0"/>
    <w:basedOn w:val="1"/>
    <w:qFormat/>
    <w:uiPriority w:val="0"/>
    <w:pPr>
      <w:spacing w:before="100" w:beforeAutospacing="1" w:after="100" w:afterAutospacing="1"/>
    </w:pPr>
  </w:style>
  <w:style w:type="character" w:customStyle="1" w:styleId="53">
    <w:name w:val="ml-2"/>
    <w:basedOn w:val="20"/>
    <w:qFormat/>
    <w:uiPriority w:val="0"/>
  </w:style>
  <w:style w:type="paragraph" w:customStyle="1" w:styleId="54">
    <w:name w:val="authors-for-screen-reader"/>
    <w:basedOn w:val="1"/>
    <w:qFormat/>
    <w:uiPriority w:val="0"/>
    <w:pPr>
      <w:spacing w:before="100" w:beforeAutospacing="1" w:after="100" w:afterAutospacing="1"/>
    </w:pPr>
  </w:style>
  <w:style w:type="character" w:customStyle="1" w:styleId="55">
    <w:name w:val="info__authors"/>
    <w:basedOn w:val="20"/>
    <w:qFormat/>
    <w:uiPriority w:val="0"/>
  </w:style>
  <w:style w:type="character" w:customStyle="1" w:styleId="56">
    <w:name w:val="abstract-sub-heading"/>
    <w:basedOn w:val="20"/>
    <w:qFormat/>
    <w:uiPriority w:val="0"/>
  </w:style>
  <w:style w:type="character" w:customStyle="1" w:styleId="57">
    <w:name w:val="article-doi"/>
    <w:basedOn w:val="20"/>
    <w:qFormat/>
    <w:uiPriority w:val="0"/>
  </w:style>
  <w:style w:type="paragraph" w:customStyle="1" w:styleId="58">
    <w:name w:val="czwhtbgfhyc"/>
    <w:basedOn w:val="1"/>
    <w:qFormat/>
    <w:uiPriority w:val="0"/>
    <w:pPr>
      <w:spacing w:before="100" w:beforeAutospacing="1" w:after="100" w:afterAutospacing="1"/>
    </w:pPr>
  </w:style>
  <w:style w:type="character" w:customStyle="1" w:styleId="59">
    <w:name w:val="cvvfvtlshjm"/>
    <w:basedOn w:val="20"/>
    <w:qFormat/>
    <w:uiPriority w:val="0"/>
  </w:style>
  <w:style w:type="character" w:customStyle="1" w:styleId="60">
    <w:name w:val="cee2ejskiyf"/>
    <w:basedOn w:val="20"/>
    <w:qFormat/>
    <w:uiPriority w:val="0"/>
  </w:style>
  <w:style w:type="character" w:customStyle="1" w:styleId="61">
    <w:name w:val="ca5qzsdnace"/>
    <w:basedOn w:val="20"/>
    <w:qFormat/>
    <w:uiPriority w:val="0"/>
  </w:style>
  <w:style w:type="character" w:customStyle="1" w:styleId="62">
    <w:name w:val="coyvx9fnjru"/>
    <w:basedOn w:val="20"/>
    <w:qFormat/>
    <w:uiPriority w:val="0"/>
  </w:style>
  <w:style w:type="character" w:customStyle="1" w:styleId="63">
    <w:name w:val="cooporv6h38"/>
    <w:basedOn w:val="20"/>
    <w:qFormat/>
    <w:uiPriority w:val="0"/>
  </w:style>
  <w:style w:type="paragraph" w:customStyle="1" w:styleId="64">
    <w:name w:val="abstract-paragraph"/>
    <w:basedOn w:val="1"/>
    <w:qFormat/>
    <w:uiPriority w:val="0"/>
    <w:pPr>
      <w:spacing w:before="100" w:beforeAutospacing="1" w:after="100" w:afterAutospacing="1"/>
    </w:pPr>
  </w:style>
  <w:style w:type="character" w:customStyle="1" w:styleId="65">
    <w:name w:val="footers"/>
    <w:basedOn w:val="20"/>
    <w:qFormat/>
    <w:uiPriority w:val="0"/>
  </w:style>
  <w:style w:type="character" w:customStyle="1" w:styleId="66">
    <w:name w:val="tooltip"/>
    <w:basedOn w:val="20"/>
    <w:qFormat/>
    <w:uiPriority w:val="0"/>
  </w:style>
  <w:style w:type="character" w:customStyle="1" w:styleId="67">
    <w:name w:val="tooltiptext"/>
    <w:basedOn w:val="20"/>
    <w:qFormat/>
    <w:uiPriority w:val="0"/>
  </w:style>
  <w:style w:type="character" w:customStyle="1" w:styleId="68">
    <w:name w:val="typcn"/>
    <w:basedOn w:val="20"/>
    <w:qFormat/>
    <w:uiPriority w:val="0"/>
  </w:style>
  <w:style w:type="paragraph" w:customStyle="1" w:styleId="69">
    <w:name w:val="spacey"/>
    <w:basedOn w:val="1"/>
    <w:qFormat/>
    <w:uiPriority w:val="0"/>
    <w:pPr>
      <w:spacing w:before="100" w:beforeAutospacing="1" w:after="100" w:afterAutospacing="1"/>
    </w:pPr>
  </w:style>
  <w:style w:type="character" w:customStyle="1" w:styleId="70">
    <w:name w:val="fas"/>
    <w:basedOn w:val="20"/>
    <w:qFormat/>
    <w:uiPriority w:val="0"/>
  </w:style>
  <w:style w:type="paragraph" w:customStyle="1" w:styleId="71">
    <w:name w:val="article-copyright"/>
    <w:basedOn w:val="1"/>
    <w:qFormat/>
    <w:uiPriority w:val="0"/>
    <w:pPr>
      <w:spacing w:before="100" w:beforeAutospacing="1" w:after="100" w:afterAutospacing="1"/>
    </w:pPr>
  </w:style>
  <w:style w:type="paragraph" w:customStyle="1" w:styleId="72">
    <w:name w:val="fw-bold"/>
    <w:basedOn w:val="1"/>
    <w:qFormat/>
    <w:uiPriority w:val="0"/>
    <w:pPr>
      <w:spacing w:before="100" w:beforeAutospacing="1" w:after="100" w:afterAutospacing="1"/>
    </w:pPr>
  </w:style>
  <w:style w:type="character" w:customStyle="1" w:styleId="73">
    <w:name w:val="collection__span"/>
    <w:basedOn w:val="20"/>
    <w:qFormat/>
    <w:uiPriority w:val="0"/>
  </w:style>
  <w:style w:type="character" w:customStyle="1" w:styleId="74">
    <w:name w:val="sm-icons"/>
    <w:basedOn w:val="20"/>
    <w:qFormat/>
    <w:uiPriority w:val="0"/>
  </w:style>
  <w:style w:type="paragraph" w:customStyle="1" w:styleId="75">
    <w:name w:val="job-title"/>
    <w:basedOn w:val="1"/>
    <w:qFormat/>
    <w:uiPriority w:val="0"/>
    <w:pPr>
      <w:spacing w:before="100" w:beforeAutospacing="1" w:after="100" w:afterAutospacing="1"/>
    </w:pPr>
  </w:style>
  <w:style w:type="paragraph" w:customStyle="1" w:styleId="76">
    <w:name w:val="footer-copyright"/>
    <w:basedOn w:val="1"/>
    <w:qFormat/>
    <w:uiPriority w:val="0"/>
    <w:pPr>
      <w:spacing w:before="100" w:beforeAutospacing="1" w:after="100" w:afterAutospacing="1"/>
    </w:pPr>
  </w:style>
  <w:style w:type="character" w:customStyle="1" w:styleId="77">
    <w:name w:val="s1"/>
    <w:basedOn w:val="20"/>
    <w:qFormat/>
    <w:uiPriority w:val="0"/>
    <w:rPr>
      <w:rFonts w:ascii="Menlo" w:hAnsi="Menlo" w:eastAsia="Menlo" w:cs="Menlo"/>
      <w:sz w:val="18"/>
      <w:szCs w:val="18"/>
    </w:rPr>
  </w:style>
  <w:style w:type="paragraph" w:customStyle="1" w:styleId="78">
    <w:name w:val="书目1"/>
    <w:basedOn w:val="1"/>
    <w:next w:val="1"/>
    <w:unhideWhenUsed/>
    <w:qFormat/>
    <w:uiPriority w:val="37"/>
    <w:pPr>
      <w:tabs>
        <w:tab w:val="left" w:pos="380"/>
      </w:tabs>
      <w:spacing w:after="240"/>
      <w:ind w:left="384" w:hanging="384"/>
    </w:pPr>
  </w:style>
  <w:style w:type="character" w:styleId="79">
    <w:name w:val="Placeholder Text"/>
    <w:basedOn w:val="20"/>
    <w:unhideWhenUsed/>
    <w:qFormat/>
    <w:uiPriority w:val="99"/>
    <w:rPr>
      <w:color w:val="666666"/>
    </w:rPr>
  </w:style>
  <w:style w:type="table" w:customStyle="1" w:styleId="80">
    <w:name w:val="无格式表格 21"/>
    <w:basedOn w:val="18"/>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81">
    <w:name w:val="无格式表格 41"/>
    <w:basedOn w:val="18"/>
    <w:qFormat/>
    <w:uiPriority w:val="44"/>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82">
    <w:name w:val="无格式表格 51"/>
    <w:basedOn w:val="18"/>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83">
    <w:name w:val="无格式表格 31"/>
    <w:basedOn w:val="18"/>
    <w:qFormat/>
    <w:uiPriority w:val="43"/>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84">
    <w:name w:val="网格表 1 浅色1"/>
    <w:basedOn w:val="1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85">
    <w:name w:val="网格表 5 深色 - 着色 61"/>
    <w:basedOn w:val="1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F2D0"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EA72E"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EA72E"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EA72E"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EA72E" w:themeFill="accent6"/>
      </w:tcPr>
    </w:tblStylePr>
    <w:tblStylePr w:type="band1Vert">
      <w:tcPr>
        <w:shd w:val="clear" w:color="auto" w:fill="B3E5A1" w:themeFill="accent6" w:themeFillTint="66"/>
      </w:tcPr>
    </w:tblStylePr>
    <w:tblStylePr w:type="band1Horz">
      <w:tcPr>
        <w:shd w:val="clear" w:color="auto" w:fill="B3E5A1" w:themeFill="accent6" w:themeFillTint="66"/>
      </w:tcPr>
    </w:tblStylePr>
  </w:style>
  <w:style w:type="table" w:customStyle="1" w:styleId="86">
    <w:name w:val="网格表 5 深色 - 着色 31"/>
    <w:basedOn w:val="1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F0C8"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96B24"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96B24"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196B24"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96B24" w:themeFill="accent3"/>
      </w:tcPr>
    </w:tblStylePr>
    <w:tblStylePr w:type="band1Vert">
      <w:tcPr>
        <w:shd w:val="clear" w:color="auto" w:fill="84E291" w:themeFill="accent3" w:themeFillTint="66"/>
      </w:tcPr>
    </w:tblStylePr>
    <w:tblStylePr w:type="band1Horz">
      <w:tcPr>
        <w:shd w:val="clear" w:color="auto" w:fill="84E291" w:themeFill="accent3" w:themeFillTint="66"/>
      </w:tcPr>
    </w:tblStylePr>
  </w:style>
  <w:style w:type="character" w:customStyle="1" w:styleId="87">
    <w:name w:val="批注文字 字符"/>
    <w:basedOn w:val="20"/>
    <w:link w:val="11"/>
    <w:semiHidden/>
    <w:qFormat/>
    <w:uiPriority w:val="99"/>
    <w:rPr>
      <w:rFonts w:ascii="宋体" w:hAnsi="宋体" w:cs="宋体"/>
      <w:sz w:val="24"/>
      <w:szCs w:val="24"/>
    </w:rPr>
  </w:style>
  <w:style w:type="character" w:customStyle="1" w:styleId="88">
    <w:name w:val="批注主题 字符"/>
    <w:basedOn w:val="87"/>
    <w:link w:val="17"/>
    <w:semiHidden/>
    <w:qFormat/>
    <w:uiPriority w:val="99"/>
    <w:rPr>
      <w:rFonts w:ascii="宋体" w:hAnsi="宋体" w:cs="宋体"/>
      <w:b/>
      <w:bCs/>
      <w:sz w:val="24"/>
      <w:szCs w:val="24"/>
    </w:rPr>
  </w:style>
  <w:style w:type="table" w:customStyle="1" w:styleId="89">
    <w:name w:val="网格型浅色1"/>
    <w:basedOn w:val="1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90">
    <w:name w:val="修订1"/>
    <w:hidden/>
    <w:unhideWhenUsed/>
    <w:qFormat/>
    <w:uiPriority w:val="99"/>
    <w:rPr>
      <w:rFonts w:ascii="宋体" w:hAnsi="宋体" w:eastAsia="宋体" w:cs="宋体"/>
      <w:sz w:val="24"/>
      <w:szCs w:val="24"/>
      <w:lang w:val="en-US" w:eastAsia="zh-CN" w:bidi="ar-SA"/>
    </w:rPr>
  </w:style>
  <w:style w:type="paragraph" w:customStyle="1" w:styleId="91">
    <w:name w:val="书目2"/>
    <w:basedOn w:val="1"/>
    <w:next w:val="1"/>
    <w:unhideWhenUsed/>
    <w:qFormat/>
    <w:uiPriority w:val="37"/>
    <w:pPr>
      <w:tabs>
        <w:tab w:val="left" w:pos="380"/>
        <w:tab w:val="left" w:pos="500"/>
      </w:tabs>
      <w:spacing w:line="480" w:lineRule="auto"/>
      <w:ind w:left="384" w:hanging="384"/>
    </w:pPr>
  </w:style>
  <w:style w:type="paragraph" w:customStyle="1" w:styleId="92">
    <w:name w:val="书目3"/>
    <w:basedOn w:val="1"/>
    <w:next w:val="1"/>
    <w:unhideWhenUsed/>
    <w:qFormat/>
    <w:uiPriority w:val="37"/>
  </w:style>
  <w:style w:type="paragraph" w:customStyle="1" w:styleId="93">
    <w:name w:val="Revision"/>
    <w:hidden/>
    <w:unhideWhenUsed/>
    <w:uiPriority w:val="99"/>
    <w:rPr>
      <w:rFonts w:ascii="宋体" w:hAnsi="宋体" w:eastAsia="宋体"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16947</Words>
  <Characters>96603</Characters>
  <Lines>805</Lines>
  <Paragraphs>226</Paragraphs>
  <TotalTime>22</TotalTime>
  <ScaleCrop>false</ScaleCrop>
  <LinksUpToDate>false</LinksUpToDate>
  <CharactersWithSpaces>113324</CharactersWithSpaces>
  <Application>WPS Office_7.3.1.8967_F1E327BC-269C-435d-A152-05C5408002CA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2025-06-13T14:44:00Z</dcterms:created>
  <dc:creator>h3692</dc:creator>
  <cp:lastModifiedBy>z</cp:lastModifiedBy>
  <dcterms:modified xsi:type="dcterms:W3CDTF">2025-06-18T11:23:25Z</dcterms:modified>
  <cp:revision>107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id="NRpgNPwh"/&gt;&lt;style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 name="delayCitationUpdates" value="true"/&gt;&lt;pref name="dontAskDelayCitationUpdates" value="true"/&gt;&lt;/prefs&gt;&lt;/data&gt;</vt:lpwstr>
  </property>
  <property fmtid="{D5CDD505-2E9C-101B-9397-08002B2CF9AE}" pid="4" name="KSOProductBuildVer">
    <vt:lpwstr>2052-7.3.1.8967</vt:lpwstr>
  </property>
  <property fmtid="{D5CDD505-2E9C-101B-9397-08002B2CF9AE}" pid="5" name="ICV">
    <vt:lpwstr>77DBE68838E5E076B3410F68903C1104_42</vt:lpwstr>
  </property>
  <property fmtid="{D5CDD505-2E9C-101B-9397-08002B2CF9AE}" pid="6" name="KSOTemplateDocerSaveRecord">
    <vt:lpwstr>eyJoZGlkIjoiMTI2NjA0MTQyYmUzMTVjNjFjMzQzOTg4ZDQ0NTNjNjkiLCJ1c2VySWQiOiIzNjk1Mjk2NDIifQ==</vt:lpwstr>
  </property>
</Properties>
</file>