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A5C60" w:rsidRDefault="005A5C60" w:rsidP="005A5C60">
      <w:pPr>
        <w:spacing w:line="48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SUPPLEMENTARY MATERIAL</w:t>
      </w:r>
    </w:p>
    <w:p w:rsidR="005A5C60" w:rsidRDefault="005A5C60" w:rsidP="005A5C60">
      <w:pPr>
        <w:spacing w:line="480" w:lineRule="auto"/>
        <w:jc w:val="both"/>
        <w:rPr>
          <w:b/>
          <w:bCs/>
          <w:lang w:val="en-US"/>
        </w:rPr>
      </w:pPr>
    </w:p>
    <w:p w:rsidR="00CC0FCE" w:rsidRDefault="00CC0FCE" w:rsidP="002E54B1">
      <w:pPr>
        <w:spacing w:line="480" w:lineRule="auto"/>
        <w:jc w:val="both"/>
        <w:rPr>
          <w:lang w:val="en-US"/>
        </w:rPr>
      </w:pPr>
      <w:r w:rsidRPr="00AA7E8F">
        <w:rPr>
          <w:b/>
          <w:bCs/>
          <w:lang w:val="en-US"/>
        </w:rPr>
        <w:t xml:space="preserve">Table </w:t>
      </w:r>
      <w:r>
        <w:rPr>
          <w:b/>
          <w:bCs/>
          <w:lang w:val="en-US"/>
        </w:rPr>
        <w:t>S1</w:t>
      </w:r>
      <w:r w:rsidRPr="00AA7E8F">
        <w:rPr>
          <w:b/>
          <w:bCs/>
          <w:lang w:val="en-US"/>
        </w:rPr>
        <w:t>.</w:t>
      </w:r>
      <w:r w:rsidRPr="00075E10">
        <w:rPr>
          <w:lang w:val="en-US"/>
        </w:rPr>
        <w:t xml:space="preserve"> Interpretation of </w:t>
      </w:r>
      <w:r>
        <w:rPr>
          <w:lang w:val="en-US"/>
        </w:rPr>
        <w:t xml:space="preserve">the </w:t>
      </w:r>
      <w:r w:rsidRPr="00075E10">
        <w:rPr>
          <w:lang w:val="en-US"/>
        </w:rPr>
        <w:t>effects of variables in each model.</w:t>
      </w:r>
    </w:p>
    <w:tbl>
      <w:tblPr>
        <w:tblW w:w="9204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2410"/>
        <w:gridCol w:w="5670"/>
      </w:tblGrid>
      <w:tr w:rsidR="00CC0FCE" w:rsidRPr="00075E10" w:rsidTr="003736EF">
        <w:trPr>
          <w:trHeight w:val="450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b/>
                <w:bCs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b/>
                <w:bCs/>
                <w:color w:val="000000"/>
                <w:sz w:val="22"/>
                <w:szCs w:val="22"/>
              </w:rPr>
              <w:t>Explanatory variables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b/>
                <w:bCs/>
                <w:color w:val="000000"/>
                <w:sz w:val="22"/>
                <w:szCs w:val="22"/>
              </w:rPr>
              <w:t>Interpretation</w:t>
            </w:r>
          </w:p>
        </w:tc>
      </w:tr>
      <w:tr w:rsidR="00CC0FCE" w:rsidRPr="00401DFE" w:rsidTr="003736EF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color w:val="000000"/>
                <w:sz w:val="22"/>
                <w:szCs w:val="22"/>
              </w:rPr>
              <w:t>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color w:val="000000"/>
                <w:sz w:val="22"/>
                <w:szCs w:val="22"/>
              </w:rPr>
              <w:t>Distal factors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- Overall effects of distal factors (e. g. density per room) without adjusting for possible mediators (i. e. intermediate and proximal factors)</w:t>
            </w:r>
          </w:p>
        </w:tc>
      </w:tr>
      <w:tr w:rsidR="00CC0FCE" w:rsidRPr="00401DFE" w:rsidTr="003736EF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color w:val="000000"/>
                <w:sz w:val="22"/>
                <w:szCs w:val="22"/>
              </w:rPr>
              <w:t>I + II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color w:val="000000"/>
                <w:sz w:val="22"/>
                <w:szCs w:val="22"/>
              </w:rPr>
              <w:t>Distal and intermediate factors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- Effects of intermediate factors (e. g. hypertension during pregnancy) adjusted for possible confounders (i. e. distal factors), and not adjusted for possible mediators (i. e. proximal factors).</w:t>
            </w:r>
          </w:p>
          <w:p w:rsidR="00CC0FCE" w:rsidRPr="00075E10" w:rsidRDefault="00CC0FCE" w:rsidP="00103490">
            <w:pPr>
              <w:jc w:val="both"/>
              <w:rPr>
                <w:lang w:val="en-US"/>
              </w:rPr>
            </w:pPr>
          </w:p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- Effects of distal factors not mediated by intermediate factors.</w:t>
            </w:r>
          </w:p>
        </w:tc>
      </w:tr>
      <w:tr w:rsidR="00CC0FCE" w:rsidRPr="00A30B63" w:rsidTr="003736EF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</w:pPr>
            <w:r w:rsidRPr="00075E10">
              <w:rPr>
                <w:color w:val="000000"/>
                <w:sz w:val="22"/>
                <w:szCs w:val="22"/>
              </w:rPr>
              <w:t>I + II + III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center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Distal, intermediate, and proximal factors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- Effects of proximal factors (e. g. fetal growth restriction) adjusted for possible confounders (i. e. distal and intermediate factors).</w:t>
            </w:r>
          </w:p>
          <w:p w:rsidR="00CC0FCE" w:rsidRPr="00075E10" w:rsidRDefault="00CC0FCE" w:rsidP="00103490">
            <w:pPr>
              <w:jc w:val="both"/>
              <w:rPr>
                <w:lang w:val="en-US"/>
              </w:rPr>
            </w:pPr>
          </w:p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- Effects of intermediate factors not mediated by proximal factors.</w:t>
            </w:r>
          </w:p>
          <w:p w:rsidR="00CC0FCE" w:rsidRPr="00075E10" w:rsidRDefault="00CC0FCE" w:rsidP="00103490">
            <w:pPr>
              <w:jc w:val="both"/>
              <w:rPr>
                <w:lang w:val="en-US"/>
              </w:rPr>
            </w:pPr>
          </w:p>
          <w:p w:rsidR="00CC0FCE" w:rsidRPr="00075E10" w:rsidRDefault="00CC0FCE" w:rsidP="00103490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  <w:r w:rsidRPr="00075E10">
              <w:rPr>
                <w:color w:val="000000"/>
                <w:sz w:val="22"/>
                <w:szCs w:val="22"/>
                <w:lang w:val="en-US"/>
              </w:rPr>
              <w:t>- Effects of distal factors not mediated by intermediate factors nor by proximal factors.</w:t>
            </w:r>
          </w:p>
        </w:tc>
      </w:tr>
    </w:tbl>
    <w:p w:rsidR="00CC0FCE" w:rsidRPr="00075E10" w:rsidRDefault="00CC0FCE" w:rsidP="00CC0FCE">
      <w:pPr>
        <w:spacing w:line="480" w:lineRule="auto"/>
        <w:ind w:firstLine="708"/>
        <w:jc w:val="both"/>
        <w:rPr>
          <w:sz w:val="18"/>
          <w:szCs w:val="18"/>
          <w:lang w:val="en-US"/>
        </w:rPr>
      </w:pPr>
      <w:r w:rsidRPr="00075E10">
        <w:rPr>
          <w:sz w:val="18"/>
          <w:szCs w:val="18"/>
          <w:lang w:val="en-US"/>
        </w:rPr>
        <w:t xml:space="preserve">Source: Created </w:t>
      </w:r>
      <w:r w:rsidRPr="00AA7E8F">
        <w:rPr>
          <w:sz w:val="18"/>
          <w:szCs w:val="18"/>
          <w:lang w:val="en-US"/>
        </w:rPr>
        <w:t>by the authors.</w:t>
      </w:r>
    </w:p>
    <w:p w:rsidR="009C5DBB" w:rsidRDefault="009C5DBB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Default="005A5C60">
      <w:pPr>
        <w:rPr>
          <w:lang w:val="en-US"/>
        </w:rPr>
      </w:pPr>
    </w:p>
    <w:p w:rsidR="005A5C60" w:rsidRPr="005A5C60" w:rsidRDefault="005A5C60" w:rsidP="005A5C60">
      <w:pPr>
        <w:jc w:val="both"/>
        <w:rPr>
          <w:lang w:val="en-US"/>
        </w:rPr>
      </w:pPr>
      <w:r>
        <w:rPr>
          <w:b/>
          <w:bCs/>
          <w:lang w:val="en-US"/>
        </w:rPr>
        <w:lastRenderedPageBreak/>
        <w:t xml:space="preserve">Table S2. </w:t>
      </w:r>
      <w:r w:rsidRPr="005A5C60">
        <w:rPr>
          <w:lang w:val="en-US"/>
        </w:rPr>
        <w:t>Results of the Variance Inflation Factor (VIF)</w:t>
      </w:r>
      <w:r>
        <w:rPr>
          <w:lang w:val="en-US"/>
        </w:rPr>
        <w:t>.</w:t>
      </w:r>
    </w:p>
    <w:p w:rsidR="005A5C60" w:rsidRDefault="005A5C60" w:rsidP="005A5C60">
      <w:pPr>
        <w:jc w:val="both"/>
        <w:rPr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8"/>
        <w:gridCol w:w="1081"/>
        <w:gridCol w:w="1417"/>
        <w:gridCol w:w="1276"/>
      </w:tblGrid>
      <w:tr w:rsidR="005A5C60" w:rsidTr="00103490">
        <w:trPr>
          <w:trHeight w:val="530"/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A5C60" w:rsidRDefault="005A5C60" w:rsidP="001034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Variable</w:t>
            </w:r>
            <w:r w:rsidR="00A30B63">
              <w:rPr>
                <w:b/>
                <w:bCs/>
              </w:rPr>
              <w:t>s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A5C60" w:rsidRDefault="005A5C60" w:rsidP="001034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Model </w:t>
            </w:r>
            <w:r w:rsidR="00F758C7">
              <w:rPr>
                <w:b/>
                <w:bCs/>
              </w:rPr>
              <w:t>I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A5C60" w:rsidRDefault="005A5C60" w:rsidP="001034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Model </w:t>
            </w:r>
            <w:r w:rsidR="00F758C7">
              <w:rPr>
                <w:b/>
                <w:bCs/>
              </w:rPr>
              <w:t>II</w:t>
            </w:r>
          </w:p>
        </w:tc>
        <w:tc>
          <w:tcPr>
            <w:tcW w:w="123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A5C60" w:rsidRDefault="005A5C60" w:rsidP="001034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Model </w:t>
            </w:r>
            <w:r w:rsidR="00F758C7">
              <w:rPr>
                <w:b/>
                <w:bCs/>
              </w:rPr>
              <w:t>III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103490">
            <w:pPr>
              <w:rPr>
                <w:lang w:val="en-US"/>
              </w:rPr>
            </w:pPr>
            <w:r w:rsidRPr="00401DFE">
              <w:rPr>
                <w:color w:val="000000"/>
                <w:lang w:val="en-US"/>
              </w:rPr>
              <w:t>Air pollution (PM 2.5 μg/m³)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1.0057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1.0193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1.0328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103490">
            <w:r w:rsidRPr="00401DFE">
              <w:rPr>
                <w:color w:val="000000"/>
              </w:rPr>
              <w:t xml:space="preserve">Mother's years of </w:t>
            </w:r>
            <w:r w:rsidRPr="00401DFE">
              <w:rPr>
                <w:color w:val="000000"/>
                <w:lang w:val="en-US"/>
              </w:rPr>
              <w:t>schooling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1.0268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1.0477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1.0566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103490">
            <w:r w:rsidRPr="00401DFE">
              <w:rPr>
                <w:color w:val="000000"/>
              </w:rPr>
              <w:t>Marital status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1.0166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1.0819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1.0965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103490">
            <w:r w:rsidRPr="00401DFE">
              <w:rPr>
                <w:color w:val="000000"/>
              </w:rPr>
              <w:t>Race/ethnicity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1.0051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1.0190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1.0263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103490">
            <w:r w:rsidRPr="00401DFE">
              <w:t>Worked during gestation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1.0492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1.0603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1.0688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103490">
            <w:r w:rsidRPr="00401DFE">
              <w:rPr>
                <w:color w:val="000000"/>
              </w:rPr>
              <w:t>Household income per capita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1.0720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1.1045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103490">
            <w:pPr>
              <w:jc w:val="center"/>
            </w:pPr>
            <w:r>
              <w:t>1.1135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pPr>
              <w:rPr>
                <w:color w:val="000000"/>
              </w:rPr>
            </w:pPr>
            <w:r w:rsidRPr="00401DFE">
              <w:rPr>
                <w:color w:val="000000"/>
              </w:rPr>
              <w:t>Density per room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1.0098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1.0193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1.0219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rPr>
                <w:color w:val="000000"/>
              </w:rPr>
              <w:t>Mother's age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1.0649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1.0752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rPr>
                <w:color w:val="000000"/>
              </w:rPr>
              <w:t>Previous adverse perinatal outcome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1.0574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1.0654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rPr>
                <w:color w:val="000000"/>
              </w:rPr>
              <w:t>Pregestational obesity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1.0377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1.0439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rPr>
                <w:color w:val="000000"/>
              </w:rPr>
              <w:t>Smoking during pregnancy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1.0552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1.0643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pPr>
              <w:rPr>
                <w:lang w:val="en-US"/>
              </w:rPr>
            </w:pPr>
            <w:r w:rsidRPr="00401DFE">
              <w:rPr>
                <w:color w:val="000000"/>
                <w:lang w:val="en-US"/>
              </w:rPr>
              <w:t>Alcohol and/or drugs during pregnancy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1.0282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1.0353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pPr>
              <w:rPr>
                <w:color w:val="000000"/>
                <w:lang w:val="en-US"/>
              </w:rPr>
            </w:pPr>
            <w:r w:rsidRPr="00401DFE">
              <w:rPr>
                <w:color w:val="000000"/>
                <w:lang w:val="en-US"/>
              </w:rPr>
              <w:t>Negative maternal and/or family</w:t>
            </w:r>
          </w:p>
          <w:p w:rsidR="005A5C60" w:rsidRPr="00401DFE" w:rsidRDefault="005A5C60" w:rsidP="005A5C60">
            <w:pPr>
              <w:rPr>
                <w:lang w:val="en-US"/>
              </w:rPr>
            </w:pPr>
            <w:r w:rsidRPr="00401DFE">
              <w:rPr>
                <w:color w:val="000000"/>
                <w:lang w:val="en-US"/>
              </w:rPr>
              <w:t>reaction to pregnancy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1.0499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1.0503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rPr>
                <w:lang w:val="en-US"/>
              </w:rPr>
              <w:t>Antenatal</w:t>
            </w:r>
            <w:r w:rsidRPr="00401DFE">
              <w:t xml:space="preserve"> care access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1.1894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1.2109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Infecction during pregnancy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1.0254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1.0326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Hyperglycemia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1.0448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1.0600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Hypertension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1.0736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1.0880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pPr>
              <w:rPr>
                <w:lang w:val="en-US"/>
              </w:rPr>
            </w:pPr>
            <w:r w:rsidRPr="00401DFE">
              <w:rPr>
                <w:lang w:val="en-US"/>
              </w:rPr>
              <w:t>Mother informed of high-risk pregnancy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1.3141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1.3803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Hospitalization during pregnancy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1.0507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1.0566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Placental lesion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1.0316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Fetal growth restriction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1.0405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C60" w:rsidRPr="00401DFE" w:rsidRDefault="005A5C60" w:rsidP="005A5C60">
            <w:r w:rsidRPr="00401DFE">
              <w:t>Congenital malformation</w:t>
            </w:r>
          </w:p>
        </w:tc>
        <w:tc>
          <w:tcPr>
            <w:tcW w:w="105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231" w:type="dxa"/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1.1004</w:t>
            </w:r>
          </w:p>
        </w:tc>
      </w:tr>
      <w:tr w:rsidR="005A5C60" w:rsidTr="00103490">
        <w:trPr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5A5C60" w:rsidRPr="00401DFE" w:rsidRDefault="005A5C60" w:rsidP="005A5C60">
            <w:r w:rsidRPr="00401DFE">
              <w:rPr>
                <w:color w:val="000000"/>
              </w:rPr>
              <w:t>Fetal sex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–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vAlign w:val="center"/>
            <w:hideMark/>
          </w:tcPr>
          <w:p w:rsidR="005A5C60" w:rsidRDefault="005A5C60" w:rsidP="005A5C60">
            <w:pPr>
              <w:jc w:val="center"/>
            </w:pPr>
            <w:r>
              <w:t>1.0301</w:t>
            </w:r>
          </w:p>
        </w:tc>
      </w:tr>
    </w:tbl>
    <w:p w:rsidR="005A5C60" w:rsidRPr="009A0A0B" w:rsidRDefault="005A5C60" w:rsidP="005A5C60">
      <w:pPr>
        <w:jc w:val="both"/>
        <w:rPr>
          <w:lang w:val="en-US"/>
        </w:rPr>
      </w:pPr>
    </w:p>
    <w:p w:rsidR="005A5C60" w:rsidRPr="00CC0FCE" w:rsidRDefault="005A5C60">
      <w:pPr>
        <w:rPr>
          <w:lang w:val="en-US"/>
        </w:rPr>
      </w:pPr>
    </w:p>
    <w:sectPr w:rsidR="005A5C60" w:rsidRPr="00CC0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FCE"/>
    <w:rsid w:val="002E54B1"/>
    <w:rsid w:val="003736EF"/>
    <w:rsid w:val="00401DFE"/>
    <w:rsid w:val="005A5C60"/>
    <w:rsid w:val="007732B5"/>
    <w:rsid w:val="009C5DBB"/>
    <w:rsid w:val="00A30B63"/>
    <w:rsid w:val="00CC0FCE"/>
    <w:rsid w:val="00F7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F71CCF"/>
  <w15:chartTrackingRefBased/>
  <w15:docId w15:val="{B6F53428-EFB2-9D47-8B9C-6BE2CC779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FC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9C5DBB"/>
    <w:pPr>
      <w:keepNext/>
      <w:keepLines/>
      <w:spacing w:line="360" w:lineRule="auto"/>
      <w:outlineLvl w:val="0"/>
    </w:pPr>
    <w:rPr>
      <w:rFonts w:eastAsiaTheme="majorEastAsia" w:cstheme="majorBidi"/>
      <w:b/>
      <w:color w:val="000000" w:themeColor="text1"/>
      <w:kern w:val="2"/>
      <w:szCs w:val="32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7732B5"/>
    <w:pPr>
      <w:keepNext/>
      <w:keepLines/>
      <w:spacing w:line="360" w:lineRule="auto"/>
      <w:jc w:val="both"/>
      <w:outlineLvl w:val="1"/>
    </w:pPr>
    <w:rPr>
      <w:rFonts w:eastAsiaTheme="majorEastAsia" w:cstheme="majorBidi"/>
      <w:b/>
      <w:color w:val="000000" w:themeColor="text1"/>
      <w:kern w:val="2"/>
      <w:szCs w:val="26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autoRedefine/>
    <w:uiPriority w:val="9"/>
    <w:semiHidden/>
    <w:unhideWhenUsed/>
    <w:qFormat/>
    <w:rsid w:val="009C5DBB"/>
    <w:pPr>
      <w:keepNext/>
      <w:keepLines/>
      <w:spacing w:line="360" w:lineRule="auto"/>
      <w:outlineLvl w:val="2"/>
    </w:pPr>
    <w:rPr>
      <w:rFonts w:eastAsiaTheme="majorEastAsia" w:cstheme="majorBidi"/>
      <w:i/>
      <w:color w:val="000000" w:themeColor="text1"/>
      <w:kern w:val="2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9C5DBB"/>
    <w:pPr>
      <w:keepNext/>
      <w:keepLines/>
      <w:spacing w:line="360" w:lineRule="auto"/>
      <w:jc w:val="both"/>
      <w:outlineLvl w:val="3"/>
    </w:pPr>
    <w:rPr>
      <w:rFonts w:eastAsiaTheme="majorEastAsia" w:cstheme="majorBidi"/>
      <w:iCs/>
      <w:color w:val="000000" w:themeColor="text1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5DBB"/>
    <w:rPr>
      <w:rFonts w:ascii="Times New Roman" w:eastAsiaTheme="majorEastAsia" w:hAnsi="Times New Roman" w:cstheme="majorBidi"/>
      <w:b/>
      <w:color w:val="000000" w:themeColor="text1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7732B5"/>
    <w:rPr>
      <w:rFonts w:ascii="Times New Roman" w:eastAsiaTheme="majorEastAsia" w:hAnsi="Times New Roman" w:cstheme="majorBidi"/>
      <w:b/>
      <w:color w:val="000000" w:themeColor="text1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5DBB"/>
    <w:rPr>
      <w:rFonts w:ascii="Times New Roman" w:eastAsiaTheme="majorEastAsia" w:hAnsi="Times New Roman" w:cstheme="majorBidi"/>
      <w:i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rsid w:val="009C5DBB"/>
    <w:rPr>
      <w:rFonts w:ascii="Times New Roman" w:eastAsiaTheme="majorEastAsia" w:hAnsi="Times New Roman" w:cstheme="majorBidi"/>
      <w:iCs/>
      <w:color w:val="000000" w:themeColor="text1"/>
    </w:rPr>
  </w:style>
  <w:style w:type="paragraph" w:styleId="NormalWeb">
    <w:name w:val="Normal (Web)"/>
    <w:basedOn w:val="Normal"/>
    <w:uiPriority w:val="99"/>
    <w:unhideWhenUsed/>
    <w:rsid w:val="00CC0F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Lays Marques</dc:creator>
  <cp:keywords/>
  <dc:description/>
  <cp:lastModifiedBy>Lays Marques</cp:lastModifiedBy>
  <cp:revision>6</cp:revision>
  <dcterms:created xsi:type="dcterms:W3CDTF">2025-10-03T18:37:00Z</dcterms:created>
  <dcterms:modified xsi:type="dcterms:W3CDTF">2025-10-06T12:38:00Z</dcterms:modified>
</cp:coreProperties>
</file>