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2331" w14:textId="3778FFCA" w:rsidR="00D757D7" w:rsidRPr="005210AB" w:rsidRDefault="00BF7D57" w:rsidP="006A7D17">
      <w:pPr>
        <w:spacing w:beforeLines="50" w:before="180" w:afterLines="50" w:after="180" w:line="0" w:lineRule="atLeast"/>
        <w:rPr>
          <w:rFonts w:ascii="Times New Roman" w:eastAsia="HeiT" w:hAnsi="Times New Roman" w:cs="Times New Roman"/>
          <w:sz w:val="22"/>
        </w:rPr>
      </w:pPr>
      <w:r>
        <w:rPr>
          <w:rFonts w:ascii="Times New Roman" w:eastAsia="HeiT" w:hAnsi="Times New Roman" w:cs="Times New Roman"/>
          <w:b/>
          <w:sz w:val="22"/>
        </w:rPr>
        <w:t>Supplementary table 2</w:t>
      </w:r>
      <w:r w:rsidR="00020071" w:rsidRPr="005210AB">
        <w:rPr>
          <w:rFonts w:ascii="Times New Roman" w:eastAsia="HeiT" w:hAnsi="Times New Roman" w:cs="Times New Roman"/>
          <w:b/>
          <w:sz w:val="22"/>
        </w:rPr>
        <w:t>. Maternal and offspring characteristics of BZRA users and nonusers</w:t>
      </w:r>
      <w:r w:rsidR="00FB1207">
        <w:rPr>
          <w:rFonts w:ascii="Times New Roman" w:eastAsia="HeiT" w:hAnsi="Times New Roman" w:cs="Times New Roman"/>
          <w:b/>
          <w:sz w:val="22"/>
        </w:rPr>
        <w:t xml:space="preserve"> in Full cohort.</w:t>
      </w:r>
    </w:p>
    <w:tbl>
      <w:tblPr>
        <w:tblStyle w:val="a3"/>
        <w:tblW w:w="48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3068"/>
        <w:gridCol w:w="3156"/>
        <w:gridCol w:w="1396"/>
      </w:tblGrid>
      <w:tr w:rsidR="00E32C53" w:rsidRPr="005210AB" w14:paraId="5C381175" w14:textId="77777777" w:rsidTr="006A35D5">
        <w:trPr>
          <w:trHeight w:val="291"/>
        </w:trPr>
        <w:tc>
          <w:tcPr>
            <w:tcW w:w="1540" w:type="pct"/>
            <w:vMerge w:val="restart"/>
            <w:tcBorders>
              <w:top w:val="single" w:sz="4" w:space="0" w:color="auto"/>
            </w:tcBorders>
            <w:vAlign w:val="center"/>
          </w:tcPr>
          <w:p w14:paraId="7CD1E0D8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both"/>
              <w:rPr>
                <w:rFonts w:ascii="Times New Roman" w:eastAsia="HeiT" w:hAnsi="Times New Roman" w:cs="Times New Roman"/>
                <w:b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b/>
                <w:sz w:val="22"/>
              </w:rPr>
              <w:t>Characteristics</w:t>
            </w:r>
          </w:p>
        </w:tc>
        <w:tc>
          <w:tcPr>
            <w:tcW w:w="34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BAB4" w14:textId="77777777" w:rsidR="00E32C53" w:rsidRPr="005210AB" w:rsidRDefault="00E32C53" w:rsidP="006A35D5">
            <w:pPr>
              <w:widowControl/>
              <w:snapToGrid w:val="0"/>
              <w:spacing w:before="50" w:after="50" w:line="0" w:lineRule="atLeast"/>
              <w:ind w:firstLineChars="100" w:firstLine="220"/>
              <w:jc w:val="center"/>
              <w:rPr>
                <w:rFonts w:ascii="Times New Roman" w:eastAsia="HeiT" w:hAnsi="Times New Roman" w:cs="Times New Roman"/>
                <w:b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b/>
                <w:sz w:val="22"/>
              </w:rPr>
              <w:t>Full cohort analysis</w:t>
            </w:r>
          </w:p>
        </w:tc>
      </w:tr>
      <w:tr w:rsidR="00E32C53" w:rsidRPr="005210AB" w14:paraId="2DE8C661" w14:textId="77777777" w:rsidTr="006A35D5">
        <w:trPr>
          <w:trHeight w:val="294"/>
        </w:trPr>
        <w:tc>
          <w:tcPr>
            <w:tcW w:w="1540" w:type="pct"/>
            <w:vMerge/>
            <w:tcBorders>
              <w:bottom w:val="single" w:sz="4" w:space="0" w:color="auto"/>
            </w:tcBorders>
            <w:vAlign w:val="center"/>
          </w:tcPr>
          <w:p w14:paraId="6E028DFE" w14:textId="77777777" w:rsidR="00E32C53" w:rsidRPr="005210AB" w:rsidRDefault="00E32C53" w:rsidP="006A35D5">
            <w:pPr>
              <w:snapToGrid w:val="0"/>
              <w:spacing w:before="50" w:after="50" w:line="0" w:lineRule="atLeast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1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36F7" w14:textId="77777777" w:rsidR="00E32C53" w:rsidRPr="005210AB" w:rsidRDefault="00E32C53" w:rsidP="006A35D5">
            <w:pPr>
              <w:widowControl/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b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b/>
                <w:sz w:val="22"/>
              </w:rPr>
              <w:t>BZRA users (</w:t>
            </w:r>
            <w:r w:rsidRPr="005210AB">
              <w:rPr>
                <w:rFonts w:ascii="Times New Roman" w:eastAsia="HeiT" w:hAnsi="Times New Roman" w:cs="Times New Roman"/>
                <w:i/>
                <w:sz w:val="22"/>
              </w:rPr>
              <w:t>n</w:t>
            </w:r>
            <w:r w:rsidRPr="005210AB">
              <w:rPr>
                <w:rFonts w:ascii="Times New Roman" w:eastAsia="HeiT" w:hAnsi="Times New Roman" w:cs="Times New Roman"/>
                <w:sz w:val="22"/>
              </w:rPr>
              <w:t>=170 144</w:t>
            </w:r>
            <w:r w:rsidRPr="005210AB">
              <w:rPr>
                <w:rFonts w:ascii="Times New Roman" w:eastAsia="HeiT" w:hAnsi="Times New Roman" w:cs="Times New Roman"/>
                <w:b/>
                <w:sz w:val="22"/>
              </w:rPr>
              <w:t>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F9EF1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b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b/>
                <w:sz w:val="22"/>
              </w:rPr>
              <w:t>Nonusers</w:t>
            </w:r>
            <w:r w:rsidRPr="005210AB">
              <w:rPr>
                <w:rFonts w:ascii="Times New Roman" w:eastAsia="HeiT" w:hAnsi="Times New Roman" w:cs="Times New Roman"/>
                <w:sz w:val="22"/>
              </w:rPr>
              <w:t xml:space="preserve"> (</w:t>
            </w:r>
            <w:r w:rsidRPr="005210AB">
              <w:rPr>
                <w:rFonts w:ascii="Times New Roman" w:eastAsia="HeiT" w:hAnsi="Times New Roman" w:cs="Times New Roman"/>
                <w:i/>
                <w:sz w:val="22"/>
              </w:rPr>
              <w:t>n</w:t>
            </w:r>
            <w:r w:rsidRPr="005210AB">
              <w:rPr>
                <w:rFonts w:ascii="Times New Roman" w:eastAsia="HeiT" w:hAnsi="Times New Roman" w:cs="Times New Roman"/>
                <w:sz w:val="22"/>
              </w:rPr>
              <w:t>=1 098 172)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24BF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b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b/>
                <w:sz w:val="22"/>
              </w:rPr>
              <w:t xml:space="preserve">SDiff </w:t>
            </w:r>
            <w:r w:rsidRPr="005210AB">
              <w:rPr>
                <w:rFonts w:ascii="Times New Roman" w:eastAsia="HeiT" w:hAnsi="Times New Roman" w:cs="Times New Roman"/>
                <w:sz w:val="22"/>
                <w:vertAlign w:val="superscript"/>
              </w:rPr>
              <w:t>a</w:t>
            </w:r>
          </w:p>
        </w:tc>
      </w:tr>
      <w:tr w:rsidR="00E32C53" w:rsidRPr="005210AB" w14:paraId="23A9A00B" w14:textId="77777777" w:rsidTr="006A35D5">
        <w:trPr>
          <w:trHeight w:val="456"/>
        </w:trPr>
        <w:tc>
          <w:tcPr>
            <w:tcW w:w="1540" w:type="pct"/>
            <w:tcBorders>
              <w:top w:val="single" w:sz="4" w:space="0" w:color="auto"/>
            </w:tcBorders>
            <w:vAlign w:val="center"/>
          </w:tcPr>
          <w:p w14:paraId="560F4563" w14:textId="77777777" w:rsidR="00E32C53" w:rsidRPr="005210AB" w:rsidRDefault="00E32C53" w:rsidP="006A35D5">
            <w:pPr>
              <w:widowControl/>
              <w:snapToGrid w:val="0"/>
              <w:spacing w:before="50" w:after="50"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Maternal characteristics</w:t>
            </w:r>
          </w:p>
        </w:tc>
        <w:tc>
          <w:tcPr>
            <w:tcW w:w="1393" w:type="pct"/>
            <w:tcBorders>
              <w:top w:val="single" w:sz="4" w:space="0" w:color="auto"/>
            </w:tcBorders>
            <w:vAlign w:val="center"/>
          </w:tcPr>
          <w:p w14:paraId="22E5D21D" w14:textId="77777777" w:rsidR="00E32C53" w:rsidRPr="005210AB" w:rsidRDefault="00E32C53" w:rsidP="006A35D5">
            <w:pPr>
              <w:widowControl/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vAlign w:val="center"/>
          </w:tcPr>
          <w:p w14:paraId="65BA72A2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3CCC915C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E32C53" w:rsidRPr="005210AB" w14:paraId="481C967F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3D6D998B" w14:textId="77777777" w:rsidR="00E32C53" w:rsidRPr="005210AB" w:rsidRDefault="00E32C53" w:rsidP="006A35D5">
            <w:pPr>
              <w:widowControl/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 xml:space="preserve">Age </w:t>
            </w:r>
          </w:p>
        </w:tc>
        <w:tc>
          <w:tcPr>
            <w:tcW w:w="1393" w:type="pct"/>
            <w:vAlign w:val="center"/>
          </w:tcPr>
          <w:p w14:paraId="30A83147" w14:textId="77777777" w:rsidR="00E32C53" w:rsidRPr="005210AB" w:rsidRDefault="00E32C53" w:rsidP="006A35D5">
            <w:pPr>
              <w:widowControl/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29.6 ± 4.8</w:t>
            </w:r>
          </w:p>
        </w:tc>
        <w:tc>
          <w:tcPr>
            <w:tcW w:w="1433" w:type="pct"/>
            <w:vAlign w:val="center"/>
          </w:tcPr>
          <w:p w14:paraId="3F774B1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29.7 ± 4.7</w:t>
            </w:r>
          </w:p>
        </w:tc>
        <w:tc>
          <w:tcPr>
            <w:tcW w:w="634" w:type="pct"/>
            <w:vAlign w:val="center"/>
          </w:tcPr>
          <w:p w14:paraId="5E8839BF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-0.04</w:t>
            </w:r>
          </w:p>
        </w:tc>
      </w:tr>
      <w:tr w:rsidR="00E32C53" w:rsidRPr="005210AB" w14:paraId="0B2CAA5F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BC652F1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Anxiety &amp; phobic</w:t>
            </w:r>
          </w:p>
        </w:tc>
        <w:tc>
          <w:tcPr>
            <w:tcW w:w="1393" w:type="pct"/>
            <w:vAlign w:val="center"/>
          </w:tcPr>
          <w:p w14:paraId="5268A1FE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19 019 (11.18%)</w:t>
            </w:r>
          </w:p>
        </w:tc>
        <w:tc>
          <w:tcPr>
            <w:tcW w:w="1433" w:type="pct"/>
            <w:vAlign w:val="center"/>
          </w:tcPr>
          <w:p w14:paraId="131B8131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18 318 (1.67%)</w:t>
            </w:r>
          </w:p>
        </w:tc>
        <w:tc>
          <w:tcPr>
            <w:tcW w:w="634" w:type="pct"/>
            <w:vAlign w:val="center"/>
          </w:tcPr>
          <w:p w14:paraId="2137E834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0.40</w:t>
            </w:r>
          </w:p>
        </w:tc>
      </w:tr>
      <w:tr w:rsidR="00E32C53" w:rsidRPr="005210AB" w14:paraId="2A802403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4B90BFC6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Depression</w:t>
            </w:r>
          </w:p>
        </w:tc>
        <w:tc>
          <w:tcPr>
            <w:tcW w:w="1393" w:type="pct"/>
            <w:vAlign w:val="center"/>
          </w:tcPr>
          <w:p w14:paraId="0B19F0CA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10 054 (5.91%)</w:t>
            </w:r>
          </w:p>
        </w:tc>
        <w:tc>
          <w:tcPr>
            <w:tcW w:w="1433" w:type="pct"/>
            <w:vAlign w:val="center"/>
          </w:tcPr>
          <w:p w14:paraId="7D373166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6942 (0.63%)</w:t>
            </w:r>
          </w:p>
        </w:tc>
        <w:tc>
          <w:tcPr>
            <w:tcW w:w="634" w:type="pct"/>
            <w:vAlign w:val="center"/>
          </w:tcPr>
          <w:p w14:paraId="496F02DA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0.30</w:t>
            </w:r>
          </w:p>
        </w:tc>
      </w:tr>
      <w:tr w:rsidR="00E32C53" w:rsidRPr="005210AB" w14:paraId="052B86AB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10F25757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Insomnia &amp; sleep disorder</w:t>
            </w:r>
          </w:p>
        </w:tc>
        <w:tc>
          <w:tcPr>
            <w:tcW w:w="1393" w:type="pct"/>
            <w:vAlign w:val="center"/>
          </w:tcPr>
          <w:p w14:paraId="3C0D6CB0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32 042 (18.83%)</w:t>
            </w:r>
          </w:p>
        </w:tc>
        <w:tc>
          <w:tcPr>
            <w:tcW w:w="1433" w:type="pct"/>
            <w:vAlign w:val="center"/>
          </w:tcPr>
          <w:p w14:paraId="6A0F6BBC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42 306 (3.85%)</w:t>
            </w:r>
          </w:p>
        </w:tc>
        <w:tc>
          <w:tcPr>
            <w:tcW w:w="634" w:type="pct"/>
            <w:vAlign w:val="center"/>
          </w:tcPr>
          <w:p w14:paraId="6CA4F64B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0.49</w:t>
            </w:r>
          </w:p>
        </w:tc>
      </w:tr>
      <w:tr w:rsidR="00E32C53" w:rsidRPr="005210AB" w14:paraId="1134B739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F44382E" w14:textId="0F3C897B" w:rsidR="00E32C53" w:rsidRPr="005210AB" w:rsidRDefault="00E32C53" w:rsidP="006A35D5">
            <w:pPr>
              <w:snapToGrid w:val="0"/>
              <w:spacing w:before="50" w:after="50"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Maternal comorbidities</w:t>
            </w:r>
          </w:p>
        </w:tc>
        <w:tc>
          <w:tcPr>
            <w:tcW w:w="1393" w:type="pct"/>
            <w:vAlign w:val="center"/>
          </w:tcPr>
          <w:p w14:paraId="472BED6A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1433" w:type="pct"/>
            <w:vAlign w:val="center"/>
          </w:tcPr>
          <w:p w14:paraId="7B3FD7E4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634" w:type="pct"/>
            <w:vAlign w:val="center"/>
          </w:tcPr>
          <w:p w14:paraId="5B4A449B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E32C53" w:rsidRPr="005210AB" w14:paraId="1140DFA1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71D9F42F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Hypertension</w:t>
            </w:r>
          </w:p>
        </w:tc>
        <w:tc>
          <w:tcPr>
            <w:tcW w:w="1393" w:type="pct"/>
            <w:vAlign w:val="center"/>
          </w:tcPr>
          <w:p w14:paraId="51799367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7917 (4.65%)</w:t>
            </w:r>
          </w:p>
        </w:tc>
        <w:tc>
          <w:tcPr>
            <w:tcW w:w="1433" w:type="pct"/>
            <w:vAlign w:val="center"/>
          </w:tcPr>
          <w:p w14:paraId="4018B8A6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36 421 (3.32%)</w:t>
            </w:r>
          </w:p>
        </w:tc>
        <w:tc>
          <w:tcPr>
            <w:tcW w:w="634" w:type="pct"/>
            <w:vAlign w:val="center"/>
          </w:tcPr>
          <w:p w14:paraId="0F70972B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0.07</w:t>
            </w:r>
          </w:p>
        </w:tc>
      </w:tr>
      <w:tr w:rsidR="00E32C53" w:rsidRPr="005210AB" w14:paraId="00B3ACB9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0CFEFFF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Hyperlipidemia</w:t>
            </w:r>
          </w:p>
        </w:tc>
        <w:tc>
          <w:tcPr>
            <w:tcW w:w="1393" w:type="pct"/>
            <w:vAlign w:val="center"/>
          </w:tcPr>
          <w:p w14:paraId="4436A83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3139 (1.84%)</w:t>
            </w:r>
          </w:p>
        </w:tc>
        <w:tc>
          <w:tcPr>
            <w:tcW w:w="1433" w:type="pct"/>
            <w:vAlign w:val="center"/>
          </w:tcPr>
          <w:p w14:paraId="7FDFD749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10 960 (1.00%)</w:t>
            </w:r>
          </w:p>
        </w:tc>
        <w:tc>
          <w:tcPr>
            <w:tcW w:w="634" w:type="pct"/>
            <w:vAlign w:val="center"/>
          </w:tcPr>
          <w:p w14:paraId="4953159D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0.07</w:t>
            </w:r>
          </w:p>
        </w:tc>
      </w:tr>
      <w:tr w:rsidR="00E32C53" w:rsidRPr="005210AB" w14:paraId="2CB80A47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7F5E22B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Diabetes mellitus (DM)</w:t>
            </w:r>
          </w:p>
        </w:tc>
        <w:tc>
          <w:tcPr>
            <w:tcW w:w="1393" w:type="pct"/>
            <w:vAlign w:val="center"/>
          </w:tcPr>
          <w:p w14:paraId="7EF23E7F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12 716 (7.47%)</w:t>
            </w:r>
          </w:p>
        </w:tc>
        <w:tc>
          <w:tcPr>
            <w:tcW w:w="1433" w:type="pct"/>
            <w:vAlign w:val="center"/>
          </w:tcPr>
          <w:p w14:paraId="2E54804B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79 352 (7.23%)</w:t>
            </w:r>
          </w:p>
        </w:tc>
        <w:tc>
          <w:tcPr>
            <w:tcW w:w="634" w:type="pct"/>
            <w:vAlign w:val="center"/>
          </w:tcPr>
          <w:p w14:paraId="7ACA798F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0.01</w:t>
            </w:r>
          </w:p>
        </w:tc>
      </w:tr>
      <w:tr w:rsidR="00E32C53" w:rsidRPr="005210AB" w14:paraId="22AB6EC4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2B6F0350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Gestational DM</w:t>
            </w:r>
          </w:p>
        </w:tc>
        <w:tc>
          <w:tcPr>
            <w:tcW w:w="1393" w:type="pct"/>
            <w:vAlign w:val="center"/>
          </w:tcPr>
          <w:p w14:paraId="5CDECC68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9091 (5.34%)</w:t>
            </w:r>
          </w:p>
        </w:tc>
        <w:tc>
          <w:tcPr>
            <w:tcW w:w="1433" w:type="pct"/>
            <w:vAlign w:val="center"/>
          </w:tcPr>
          <w:p w14:paraId="6A54A26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62 962 (5.73%)</w:t>
            </w:r>
          </w:p>
        </w:tc>
        <w:tc>
          <w:tcPr>
            <w:tcW w:w="634" w:type="pct"/>
            <w:vAlign w:val="center"/>
          </w:tcPr>
          <w:p w14:paraId="4BE6FD1E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-0.02</w:t>
            </w:r>
          </w:p>
        </w:tc>
      </w:tr>
      <w:tr w:rsidR="00E32C53" w:rsidRPr="005210AB" w14:paraId="26C26473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25C509E1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Schizophrenia</w:t>
            </w:r>
          </w:p>
        </w:tc>
        <w:tc>
          <w:tcPr>
            <w:tcW w:w="1393" w:type="pct"/>
            <w:vAlign w:val="center"/>
          </w:tcPr>
          <w:p w14:paraId="1318CAD1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864 (0.51%)</w:t>
            </w:r>
          </w:p>
        </w:tc>
        <w:tc>
          <w:tcPr>
            <w:tcW w:w="1433" w:type="pct"/>
            <w:vAlign w:val="center"/>
          </w:tcPr>
          <w:p w14:paraId="392971BE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432 (0.04%)</w:t>
            </w:r>
          </w:p>
        </w:tc>
        <w:tc>
          <w:tcPr>
            <w:tcW w:w="634" w:type="pct"/>
            <w:vAlign w:val="center"/>
          </w:tcPr>
          <w:p w14:paraId="05FD5A3F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0.09</w:t>
            </w:r>
          </w:p>
        </w:tc>
      </w:tr>
      <w:tr w:rsidR="00E32C53" w:rsidRPr="005210AB" w14:paraId="6DE26BCF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A94669F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Bipolar disorder</w:t>
            </w:r>
          </w:p>
        </w:tc>
        <w:tc>
          <w:tcPr>
            <w:tcW w:w="1393" w:type="pct"/>
            <w:vAlign w:val="center"/>
          </w:tcPr>
          <w:p w14:paraId="7A31A93D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1361 (0.80%)</w:t>
            </w:r>
          </w:p>
        </w:tc>
        <w:tc>
          <w:tcPr>
            <w:tcW w:w="1433" w:type="pct"/>
            <w:vAlign w:val="center"/>
          </w:tcPr>
          <w:p w14:paraId="5E36944D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621 (0.06%)</w:t>
            </w:r>
          </w:p>
        </w:tc>
        <w:tc>
          <w:tcPr>
            <w:tcW w:w="634" w:type="pct"/>
            <w:vAlign w:val="center"/>
          </w:tcPr>
          <w:p w14:paraId="6EE433A6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0.11</w:t>
            </w:r>
          </w:p>
        </w:tc>
      </w:tr>
      <w:tr w:rsidR="00E32C53" w:rsidRPr="005210AB" w14:paraId="7D5A04D8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224EDBC9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Seizure &amp; epilepsy</w:t>
            </w:r>
          </w:p>
        </w:tc>
        <w:tc>
          <w:tcPr>
            <w:tcW w:w="1393" w:type="pct"/>
            <w:vAlign w:val="center"/>
          </w:tcPr>
          <w:p w14:paraId="465283F6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1130 (0.66%)</w:t>
            </w:r>
          </w:p>
        </w:tc>
        <w:tc>
          <w:tcPr>
            <w:tcW w:w="1433" w:type="pct"/>
            <w:vAlign w:val="center"/>
          </w:tcPr>
          <w:p w14:paraId="669D5B51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2425 (0.22%)</w:t>
            </w:r>
          </w:p>
        </w:tc>
        <w:tc>
          <w:tcPr>
            <w:tcW w:w="634" w:type="pct"/>
            <w:vAlign w:val="center"/>
          </w:tcPr>
          <w:p w14:paraId="3DC5224B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0.07</w:t>
            </w:r>
          </w:p>
        </w:tc>
      </w:tr>
      <w:tr w:rsidR="00E32C53" w:rsidRPr="005210AB" w14:paraId="0E93AE6B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178D632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Nicotine dependence</w:t>
            </w:r>
          </w:p>
        </w:tc>
        <w:tc>
          <w:tcPr>
            <w:tcW w:w="1393" w:type="pct"/>
            <w:vAlign w:val="center"/>
          </w:tcPr>
          <w:p w14:paraId="13BDFC3B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779 (0.46%)</w:t>
            </w:r>
          </w:p>
        </w:tc>
        <w:tc>
          <w:tcPr>
            <w:tcW w:w="1433" w:type="pct"/>
            <w:vAlign w:val="center"/>
          </w:tcPr>
          <w:p w14:paraId="7A82228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1718 (0.16%)</w:t>
            </w:r>
          </w:p>
        </w:tc>
        <w:tc>
          <w:tcPr>
            <w:tcW w:w="634" w:type="pct"/>
            <w:vAlign w:val="center"/>
          </w:tcPr>
          <w:p w14:paraId="6D7351C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0.05</w:t>
            </w:r>
          </w:p>
        </w:tc>
      </w:tr>
      <w:tr w:rsidR="00E32C53" w:rsidRPr="005210AB" w14:paraId="407CC341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5297083A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Alcohol dependence</w:t>
            </w:r>
          </w:p>
        </w:tc>
        <w:tc>
          <w:tcPr>
            <w:tcW w:w="1393" w:type="pct"/>
            <w:vAlign w:val="center"/>
          </w:tcPr>
          <w:p w14:paraId="07236C3F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584 (0.13%)</w:t>
            </w:r>
          </w:p>
        </w:tc>
        <w:tc>
          <w:tcPr>
            <w:tcW w:w="1433" w:type="pct"/>
            <w:vAlign w:val="center"/>
          </w:tcPr>
          <w:p w14:paraId="74FC51D3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518 (0.05%)</w:t>
            </w:r>
          </w:p>
        </w:tc>
        <w:tc>
          <w:tcPr>
            <w:tcW w:w="634" w:type="pct"/>
            <w:vAlign w:val="center"/>
          </w:tcPr>
          <w:p w14:paraId="0EDBFA8D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0.07</w:t>
            </w:r>
          </w:p>
        </w:tc>
      </w:tr>
      <w:tr w:rsidR="00E32C53" w:rsidRPr="005210AB" w14:paraId="1276104E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D5B635E" w14:textId="77777777" w:rsidR="00E32C53" w:rsidRPr="005210AB" w:rsidRDefault="00E32C53" w:rsidP="006A35D5">
            <w:pPr>
              <w:snapToGrid w:val="0"/>
              <w:spacing w:before="50" w:after="50" w:line="0" w:lineRule="atLeast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Offspring characteristics</w:t>
            </w:r>
          </w:p>
        </w:tc>
        <w:tc>
          <w:tcPr>
            <w:tcW w:w="1393" w:type="pct"/>
            <w:vAlign w:val="center"/>
          </w:tcPr>
          <w:p w14:paraId="05FFBCF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1433" w:type="pct"/>
            <w:vAlign w:val="center"/>
          </w:tcPr>
          <w:p w14:paraId="3F00B222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634" w:type="pct"/>
            <w:vAlign w:val="center"/>
          </w:tcPr>
          <w:p w14:paraId="18BEA5DC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E32C53" w:rsidRPr="005210AB" w14:paraId="628333B3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565C414C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Sex (male)</w:t>
            </w:r>
          </w:p>
        </w:tc>
        <w:tc>
          <w:tcPr>
            <w:tcW w:w="1393" w:type="pct"/>
            <w:vAlign w:val="center"/>
          </w:tcPr>
          <w:p w14:paraId="2C41ECF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88 890 (52.24%)</w:t>
            </w:r>
          </w:p>
        </w:tc>
        <w:tc>
          <w:tcPr>
            <w:tcW w:w="1433" w:type="pct"/>
            <w:vAlign w:val="center"/>
          </w:tcPr>
          <w:p w14:paraId="782C3F81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571 806 (52.07%)</w:t>
            </w:r>
          </w:p>
        </w:tc>
        <w:tc>
          <w:tcPr>
            <w:tcW w:w="634" w:type="pct"/>
            <w:vAlign w:val="center"/>
          </w:tcPr>
          <w:p w14:paraId="548D2329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&lt;0.01</w:t>
            </w:r>
          </w:p>
        </w:tc>
      </w:tr>
      <w:tr w:rsidR="00E32C53" w:rsidRPr="005210AB" w14:paraId="5A34FB16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5E634DB7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Birth week</w:t>
            </w:r>
          </w:p>
        </w:tc>
        <w:tc>
          <w:tcPr>
            <w:tcW w:w="1393" w:type="pct"/>
            <w:vAlign w:val="center"/>
          </w:tcPr>
          <w:p w14:paraId="22A950B4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38.2 ± 2.3</w:t>
            </w:r>
          </w:p>
        </w:tc>
        <w:tc>
          <w:tcPr>
            <w:tcW w:w="1433" w:type="pct"/>
            <w:vAlign w:val="center"/>
          </w:tcPr>
          <w:p w14:paraId="5489E075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38.26 ± 2.11</w:t>
            </w:r>
          </w:p>
        </w:tc>
        <w:tc>
          <w:tcPr>
            <w:tcW w:w="634" w:type="pct"/>
            <w:vAlign w:val="center"/>
          </w:tcPr>
          <w:p w14:paraId="4874C4E4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-0.07</w:t>
            </w:r>
          </w:p>
        </w:tc>
      </w:tr>
      <w:tr w:rsidR="00E32C53" w:rsidRPr="005210AB" w14:paraId="5E5B3C09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3D91634B" w14:textId="77777777" w:rsidR="00E32C53" w:rsidRPr="005210AB" w:rsidRDefault="00E32C53" w:rsidP="006A35D5">
            <w:pPr>
              <w:snapToGrid w:val="0"/>
              <w:spacing w:before="50" w:after="50" w:line="0" w:lineRule="atLeast"/>
              <w:ind w:leftChars="100" w:left="240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Birth weight (gram)</w:t>
            </w:r>
          </w:p>
        </w:tc>
        <w:tc>
          <w:tcPr>
            <w:tcW w:w="1393" w:type="pct"/>
            <w:vAlign w:val="center"/>
          </w:tcPr>
          <w:p w14:paraId="0D9B0818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3061.7 ± 511.3</w:t>
            </w:r>
          </w:p>
        </w:tc>
        <w:tc>
          <w:tcPr>
            <w:tcW w:w="1433" w:type="pct"/>
            <w:vAlign w:val="center"/>
          </w:tcPr>
          <w:p w14:paraId="0F923E03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3084.2 ± 488.8</w:t>
            </w:r>
          </w:p>
        </w:tc>
        <w:tc>
          <w:tcPr>
            <w:tcW w:w="634" w:type="pct"/>
            <w:vAlign w:val="center"/>
          </w:tcPr>
          <w:p w14:paraId="7861C2E4" w14:textId="77777777" w:rsidR="00E32C53" w:rsidRPr="005210AB" w:rsidRDefault="00E32C53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-0.04</w:t>
            </w:r>
          </w:p>
        </w:tc>
      </w:tr>
      <w:tr w:rsidR="00745C34" w:rsidRPr="005210AB" w14:paraId="23485B2C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6B7B9CBE" w14:textId="1B1DAF55" w:rsidR="00745C34" w:rsidRPr="005210AB" w:rsidRDefault="006A35D5" w:rsidP="006A35D5">
            <w:pPr>
              <w:snapToGrid w:val="0"/>
              <w:spacing w:before="50" w:after="50" w:line="0" w:lineRule="atLeast"/>
              <w:ind w:leftChars="17" w:left="41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Childbirth</w:t>
            </w:r>
            <w:r w:rsidR="00745C34" w:rsidRPr="005210AB">
              <w:rPr>
                <w:rFonts w:ascii="Times New Roman" w:eastAsia="HeiT" w:hAnsi="Times New Roman" w:cs="Times New Roman"/>
                <w:sz w:val="22"/>
              </w:rPr>
              <w:t xml:space="preserve"> year</w:t>
            </w:r>
          </w:p>
        </w:tc>
        <w:tc>
          <w:tcPr>
            <w:tcW w:w="1393" w:type="pct"/>
            <w:vAlign w:val="center"/>
          </w:tcPr>
          <w:p w14:paraId="0039242E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1433" w:type="pct"/>
            <w:vAlign w:val="center"/>
          </w:tcPr>
          <w:p w14:paraId="2B2DB5A1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  <w:tc>
          <w:tcPr>
            <w:tcW w:w="634" w:type="pct"/>
            <w:vAlign w:val="center"/>
          </w:tcPr>
          <w:p w14:paraId="139DAED2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7FEC1328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68D9EBD1" w14:textId="225B8E9F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2004</w:t>
            </w:r>
          </w:p>
        </w:tc>
        <w:tc>
          <w:tcPr>
            <w:tcW w:w="1393" w:type="pct"/>
            <w:vAlign w:val="center"/>
          </w:tcPr>
          <w:p w14:paraId="0B38AEE2" w14:textId="4962A58D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30100 (17.69)</w:t>
            </w:r>
          </w:p>
        </w:tc>
        <w:tc>
          <w:tcPr>
            <w:tcW w:w="1433" w:type="pct"/>
            <w:vAlign w:val="center"/>
          </w:tcPr>
          <w:p w14:paraId="1899D48B" w14:textId="31776353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172919 (15.75)</w:t>
            </w:r>
          </w:p>
        </w:tc>
        <w:tc>
          <w:tcPr>
            <w:tcW w:w="634" w:type="pct"/>
            <w:vAlign w:val="center"/>
          </w:tcPr>
          <w:p w14:paraId="607B9410" w14:textId="39F1D2B2" w:rsidR="00745C34" w:rsidRPr="005210AB" w:rsidRDefault="006A35D5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sz w:val="22"/>
              </w:rPr>
              <w:t>0.130</w:t>
            </w:r>
          </w:p>
        </w:tc>
      </w:tr>
      <w:tr w:rsidR="00745C34" w:rsidRPr="005210AB" w14:paraId="24BE488E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E086473" w14:textId="2D7B34EB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2005</w:t>
            </w:r>
          </w:p>
        </w:tc>
        <w:tc>
          <w:tcPr>
            <w:tcW w:w="1393" w:type="pct"/>
            <w:vAlign w:val="center"/>
          </w:tcPr>
          <w:p w14:paraId="73024AE5" w14:textId="6875F86C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28144 (16.54)</w:t>
            </w:r>
          </w:p>
        </w:tc>
        <w:tc>
          <w:tcPr>
            <w:tcW w:w="1433" w:type="pct"/>
            <w:vAlign w:val="center"/>
          </w:tcPr>
          <w:p w14:paraId="3A001918" w14:textId="4C2A4650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154095 (14.03)</w:t>
            </w:r>
          </w:p>
        </w:tc>
        <w:tc>
          <w:tcPr>
            <w:tcW w:w="634" w:type="pct"/>
            <w:vAlign w:val="center"/>
          </w:tcPr>
          <w:p w14:paraId="30CF88C2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0BD881CB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20D277AF" w14:textId="6AA9D5F6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2006</w:t>
            </w:r>
          </w:p>
        </w:tc>
        <w:tc>
          <w:tcPr>
            <w:tcW w:w="1393" w:type="pct"/>
            <w:vAlign w:val="center"/>
          </w:tcPr>
          <w:p w14:paraId="45463BFB" w14:textId="10C83E26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21717 (12.76)</w:t>
            </w:r>
          </w:p>
        </w:tc>
        <w:tc>
          <w:tcPr>
            <w:tcW w:w="1433" w:type="pct"/>
            <w:vAlign w:val="center"/>
          </w:tcPr>
          <w:p w14:paraId="3277E9FF" w14:textId="0CD838C4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136852 (12.46)</w:t>
            </w:r>
          </w:p>
        </w:tc>
        <w:tc>
          <w:tcPr>
            <w:tcW w:w="634" w:type="pct"/>
            <w:vAlign w:val="center"/>
          </w:tcPr>
          <w:p w14:paraId="3D589EFF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4F8724EB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0100B2FA" w14:textId="10824039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2007</w:t>
            </w:r>
          </w:p>
        </w:tc>
        <w:tc>
          <w:tcPr>
            <w:tcW w:w="1393" w:type="pct"/>
            <w:vAlign w:val="center"/>
          </w:tcPr>
          <w:p w14:paraId="12DED13A" w14:textId="6D04F565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17442 (10.25)</w:t>
            </w:r>
          </w:p>
        </w:tc>
        <w:tc>
          <w:tcPr>
            <w:tcW w:w="1433" w:type="pct"/>
            <w:vAlign w:val="center"/>
          </w:tcPr>
          <w:p w14:paraId="090D5E97" w14:textId="5E06788A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122786 (11.18)</w:t>
            </w:r>
          </w:p>
        </w:tc>
        <w:tc>
          <w:tcPr>
            <w:tcW w:w="634" w:type="pct"/>
            <w:vAlign w:val="center"/>
          </w:tcPr>
          <w:p w14:paraId="60F26E87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1DC55722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3B1B3DE8" w14:textId="6FE675DD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2008</w:t>
            </w:r>
          </w:p>
        </w:tc>
        <w:tc>
          <w:tcPr>
            <w:tcW w:w="1393" w:type="pct"/>
            <w:vAlign w:val="center"/>
          </w:tcPr>
          <w:p w14:paraId="1F22AF72" w14:textId="7247095E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15751 (9.26)</w:t>
            </w:r>
          </w:p>
        </w:tc>
        <w:tc>
          <w:tcPr>
            <w:tcW w:w="1433" w:type="pct"/>
            <w:vAlign w:val="center"/>
          </w:tcPr>
          <w:p w14:paraId="10B16ACE" w14:textId="394B2EF5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110258 (10.04)</w:t>
            </w:r>
          </w:p>
        </w:tc>
        <w:tc>
          <w:tcPr>
            <w:tcW w:w="634" w:type="pct"/>
            <w:vAlign w:val="center"/>
          </w:tcPr>
          <w:p w14:paraId="015B11C5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6E508D0F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462660FC" w14:textId="77449119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2009</w:t>
            </w:r>
          </w:p>
        </w:tc>
        <w:tc>
          <w:tcPr>
            <w:tcW w:w="1393" w:type="pct"/>
            <w:vAlign w:val="center"/>
          </w:tcPr>
          <w:p w14:paraId="49638B9F" w14:textId="2A3F47B9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13757 (8.09)</w:t>
            </w:r>
          </w:p>
        </w:tc>
        <w:tc>
          <w:tcPr>
            <w:tcW w:w="1433" w:type="pct"/>
            <w:vAlign w:val="center"/>
          </w:tcPr>
          <w:p w14:paraId="0AF03811" w14:textId="14554B44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103321 (9.41)</w:t>
            </w:r>
          </w:p>
        </w:tc>
        <w:tc>
          <w:tcPr>
            <w:tcW w:w="634" w:type="pct"/>
            <w:vAlign w:val="center"/>
          </w:tcPr>
          <w:p w14:paraId="3CA3ADD5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0F469A27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3412057A" w14:textId="1C7F68FD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2010</w:t>
            </w:r>
          </w:p>
        </w:tc>
        <w:tc>
          <w:tcPr>
            <w:tcW w:w="1393" w:type="pct"/>
            <w:vAlign w:val="center"/>
          </w:tcPr>
          <w:p w14:paraId="3268EFB7" w14:textId="58AF3F53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12085 (7.1)</w:t>
            </w:r>
          </w:p>
        </w:tc>
        <w:tc>
          <w:tcPr>
            <w:tcW w:w="1433" w:type="pct"/>
            <w:vAlign w:val="center"/>
          </w:tcPr>
          <w:p w14:paraId="7EC10383" w14:textId="27353683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85905 (7.82)</w:t>
            </w:r>
          </w:p>
        </w:tc>
        <w:tc>
          <w:tcPr>
            <w:tcW w:w="634" w:type="pct"/>
            <w:vAlign w:val="center"/>
          </w:tcPr>
          <w:p w14:paraId="4DB0B618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6FB30F5A" w14:textId="77777777" w:rsidTr="006A35D5">
        <w:trPr>
          <w:trHeight w:val="456"/>
        </w:trPr>
        <w:tc>
          <w:tcPr>
            <w:tcW w:w="1540" w:type="pct"/>
            <w:vAlign w:val="center"/>
          </w:tcPr>
          <w:p w14:paraId="172C416B" w14:textId="5EEB83F4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2011</w:t>
            </w:r>
          </w:p>
        </w:tc>
        <w:tc>
          <w:tcPr>
            <w:tcW w:w="1393" w:type="pct"/>
            <w:vAlign w:val="center"/>
          </w:tcPr>
          <w:p w14:paraId="17D669FC" w14:textId="561D390E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14572 (8.56)</w:t>
            </w:r>
          </w:p>
        </w:tc>
        <w:tc>
          <w:tcPr>
            <w:tcW w:w="1433" w:type="pct"/>
            <w:vAlign w:val="center"/>
          </w:tcPr>
          <w:p w14:paraId="17ACA04C" w14:textId="3F790C04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97385 (8.87)</w:t>
            </w:r>
          </w:p>
        </w:tc>
        <w:tc>
          <w:tcPr>
            <w:tcW w:w="634" w:type="pct"/>
            <w:vAlign w:val="center"/>
          </w:tcPr>
          <w:p w14:paraId="548E3C7B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  <w:tr w:rsidR="00745C34" w:rsidRPr="005210AB" w14:paraId="49D27A3A" w14:textId="77777777" w:rsidTr="006A35D5">
        <w:trPr>
          <w:trHeight w:val="456"/>
        </w:trPr>
        <w:tc>
          <w:tcPr>
            <w:tcW w:w="1540" w:type="pct"/>
            <w:tcBorders>
              <w:bottom w:val="single" w:sz="4" w:space="0" w:color="auto"/>
            </w:tcBorders>
            <w:vAlign w:val="center"/>
          </w:tcPr>
          <w:p w14:paraId="4208A4B8" w14:textId="0C3223E0" w:rsidR="00745C34" w:rsidRPr="005210AB" w:rsidRDefault="00745C34" w:rsidP="006A35D5">
            <w:pPr>
              <w:snapToGrid w:val="0"/>
              <w:spacing w:before="50" w:after="50" w:line="0" w:lineRule="atLeast"/>
              <w:ind w:leftChars="77" w:left="185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2012</w:t>
            </w:r>
          </w:p>
        </w:tc>
        <w:tc>
          <w:tcPr>
            <w:tcW w:w="1393" w:type="pct"/>
            <w:tcBorders>
              <w:bottom w:val="single" w:sz="4" w:space="0" w:color="auto"/>
            </w:tcBorders>
            <w:vAlign w:val="center"/>
          </w:tcPr>
          <w:p w14:paraId="60A3F60B" w14:textId="3A22A920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16576 (9.74)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vAlign w:val="center"/>
          </w:tcPr>
          <w:p w14:paraId="0D22DD9D" w14:textId="21CED9C9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  <w:r w:rsidRPr="005210AB">
              <w:rPr>
                <w:rFonts w:ascii="Times New Roman" w:eastAsia="HeiT" w:hAnsi="Times New Roman" w:cs="Times New Roman"/>
                <w:color w:val="000000"/>
              </w:rPr>
              <w:t>114651 (10.44)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0D9C8CCE" w14:textId="77777777" w:rsidR="00745C34" w:rsidRPr="005210AB" w:rsidRDefault="00745C34" w:rsidP="006A35D5">
            <w:pPr>
              <w:snapToGrid w:val="0"/>
              <w:spacing w:before="50" w:after="50" w:line="0" w:lineRule="atLeast"/>
              <w:jc w:val="center"/>
              <w:rPr>
                <w:rFonts w:ascii="Times New Roman" w:eastAsia="HeiT" w:hAnsi="Times New Roman" w:cs="Times New Roman"/>
                <w:sz w:val="22"/>
              </w:rPr>
            </w:pPr>
          </w:p>
        </w:tc>
      </w:tr>
    </w:tbl>
    <w:p w14:paraId="6D1B155C" w14:textId="1B64DED8" w:rsidR="00D23BA4" w:rsidRPr="006A35D5" w:rsidRDefault="006A7D17" w:rsidP="00E02DE7">
      <w:pPr>
        <w:spacing w:before="50" w:after="50" w:line="0" w:lineRule="atLeast"/>
        <w:jc w:val="both"/>
        <w:rPr>
          <w:rFonts w:ascii="Times New Roman" w:eastAsia="HeiT" w:hAnsi="Times New Roman" w:cs="Times New Roman" w:hint="eastAsia"/>
        </w:rPr>
      </w:pPr>
      <w:r w:rsidRPr="005210AB">
        <w:rPr>
          <w:rFonts w:ascii="Times New Roman" w:eastAsia="HeiT" w:hAnsi="Times New Roman" w:cs="Times New Roman"/>
          <w:b/>
          <w:sz w:val="22"/>
        </w:rPr>
        <w:t xml:space="preserve">Note: </w:t>
      </w:r>
      <w:r w:rsidRPr="005210AB">
        <w:rPr>
          <w:rFonts w:ascii="Times New Roman" w:eastAsia="HeiT" w:hAnsi="Times New Roman" w:cs="Times New Roman"/>
          <w:color w:val="2A2A2A"/>
          <w:sz w:val="22"/>
          <w:shd w:val="clear" w:color="auto" w:fill="FFFFFF"/>
          <w:vertAlign w:val="superscript"/>
        </w:rPr>
        <w:t>a</w:t>
      </w:r>
      <w:r w:rsidRPr="005210AB">
        <w:rPr>
          <w:rFonts w:ascii="Times New Roman" w:eastAsia="HeiT" w:hAnsi="Times New Roman" w:cs="Times New Roman"/>
          <w:color w:val="2A2A2A"/>
          <w:sz w:val="22"/>
          <w:shd w:val="clear" w:color="auto" w:fill="FFFFFF"/>
        </w:rPr>
        <w:t xml:space="preserve"> </w:t>
      </w:r>
      <w:r w:rsidR="009000AE" w:rsidRPr="005210AB">
        <w:rPr>
          <w:rFonts w:ascii="Times New Roman" w:eastAsia="HeiT" w:hAnsi="Times New Roman" w:cs="Times New Roman"/>
          <w:color w:val="2A2A2A"/>
          <w:sz w:val="22"/>
          <w:shd w:val="clear" w:color="auto" w:fill="FFFFFF"/>
        </w:rPr>
        <w:t xml:space="preserve">SDiff of </w:t>
      </w:r>
      <w:r w:rsidR="006A35D5" w:rsidRPr="005210AB">
        <w:rPr>
          <w:rFonts w:ascii="Times New Roman" w:eastAsia="HeiT" w:hAnsi="Times New Roman" w:cs="Times New Roman"/>
          <w:color w:val="2A2A2A"/>
          <w:sz w:val="22"/>
          <w:shd w:val="clear" w:color="auto" w:fill="FFFFFF"/>
        </w:rPr>
        <w:t xml:space="preserve">greater than </w:t>
      </w:r>
      <w:r w:rsidR="009000AE" w:rsidRPr="005210AB">
        <w:rPr>
          <w:rFonts w:ascii="Times New Roman" w:eastAsia="HeiT" w:hAnsi="Times New Roman" w:cs="Times New Roman"/>
          <w:color w:val="2A2A2A"/>
          <w:sz w:val="22"/>
          <w:shd w:val="clear" w:color="auto" w:fill="FFFFFF"/>
        </w:rPr>
        <w:t>0.1 denotes meaningful imbalance in the baseline covariate</w:t>
      </w:r>
      <w:r w:rsidRPr="005210AB">
        <w:rPr>
          <w:rFonts w:ascii="Times New Roman" w:eastAsia="HeiT" w:hAnsi="Times New Roman" w:cs="Times New Roman"/>
          <w:color w:val="2A2A2A"/>
          <w:sz w:val="22"/>
          <w:shd w:val="clear" w:color="auto" w:fill="FFFFFF"/>
        </w:rPr>
        <w:t>; SDiff, standardized difference</w:t>
      </w:r>
      <w:r w:rsidR="00AA4C36">
        <w:rPr>
          <w:rFonts w:ascii="Times New Roman" w:eastAsia="HeiT" w:hAnsi="Times New Roman" w:cs="Times New Roman" w:hint="eastAsia"/>
          <w:color w:val="2A2A2A"/>
          <w:sz w:val="22"/>
          <w:shd w:val="clear" w:color="auto" w:fill="FFFFFF"/>
        </w:rPr>
        <w:t>.</w:t>
      </w:r>
    </w:p>
    <w:sectPr w:rsidR="00D23BA4" w:rsidRPr="006A35D5" w:rsidSect="006A35D5">
      <w:pgSz w:w="11906" w:h="16838"/>
      <w:pgMar w:top="720" w:right="284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3D9B" w14:textId="77777777" w:rsidR="00470AC7" w:rsidRDefault="00470AC7" w:rsidP="00043860">
      <w:r>
        <w:separator/>
      </w:r>
    </w:p>
  </w:endnote>
  <w:endnote w:type="continuationSeparator" w:id="0">
    <w:p w14:paraId="398D08DC" w14:textId="77777777" w:rsidR="00470AC7" w:rsidRDefault="00470AC7" w:rsidP="0004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">
    <w:panose1 w:val="020B0502000000000001"/>
    <w:charset w:val="88"/>
    <w:family w:val="swiss"/>
    <w:pitch w:val="variable"/>
    <w:sig w:usb0="A00002BF" w:usb1="2ACFFC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E1D5A" w14:textId="77777777" w:rsidR="00470AC7" w:rsidRDefault="00470AC7" w:rsidP="00043860">
      <w:r>
        <w:separator/>
      </w:r>
    </w:p>
  </w:footnote>
  <w:footnote w:type="continuationSeparator" w:id="0">
    <w:p w14:paraId="19CD88FD" w14:textId="77777777" w:rsidR="00470AC7" w:rsidRDefault="00470AC7" w:rsidP="00043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0AE"/>
    <w:rsid w:val="00020071"/>
    <w:rsid w:val="00043860"/>
    <w:rsid w:val="00082442"/>
    <w:rsid w:val="000A63BC"/>
    <w:rsid w:val="00106EB5"/>
    <w:rsid w:val="00201CEB"/>
    <w:rsid w:val="00233BFE"/>
    <w:rsid w:val="00260AC7"/>
    <w:rsid w:val="002841C8"/>
    <w:rsid w:val="002C1FCF"/>
    <w:rsid w:val="00317045"/>
    <w:rsid w:val="00346D63"/>
    <w:rsid w:val="003A7775"/>
    <w:rsid w:val="00470AC7"/>
    <w:rsid w:val="005210AB"/>
    <w:rsid w:val="00643E7F"/>
    <w:rsid w:val="00662814"/>
    <w:rsid w:val="006A35D5"/>
    <w:rsid w:val="006A7D17"/>
    <w:rsid w:val="006E2C46"/>
    <w:rsid w:val="00745C34"/>
    <w:rsid w:val="007A42C7"/>
    <w:rsid w:val="007B2E54"/>
    <w:rsid w:val="007D5B80"/>
    <w:rsid w:val="0085717F"/>
    <w:rsid w:val="008A00DF"/>
    <w:rsid w:val="008A7B4A"/>
    <w:rsid w:val="008D64C6"/>
    <w:rsid w:val="008F3890"/>
    <w:rsid w:val="009000AE"/>
    <w:rsid w:val="00910891"/>
    <w:rsid w:val="00964582"/>
    <w:rsid w:val="009C6019"/>
    <w:rsid w:val="009E52C0"/>
    <w:rsid w:val="009F33B3"/>
    <w:rsid w:val="00A271DD"/>
    <w:rsid w:val="00A47187"/>
    <w:rsid w:val="00A91512"/>
    <w:rsid w:val="00AA22ED"/>
    <w:rsid w:val="00AA4C36"/>
    <w:rsid w:val="00B42CBE"/>
    <w:rsid w:val="00B62E75"/>
    <w:rsid w:val="00B77BB8"/>
    <w:rsid w:val="00BF7D57"/>
    <w:rsid w:val="00C540ED"/>
    <w:rsid w:val="00CA1EFB"/>
    <w:rsid w:val="00D042F7"/>
    <w:rsid w:val="00D23BA4"/>
    <w:rsid w:val="00D757D7"/>
    <w:rsid w:val="00DB7EC5"/>
    <w:rsid w:val="00E02DE7"/>
    <w:rsid w:val="00E32C53"/>
    <w:rsid w:val="00E46BA8"/>
    <w:rsid w:val="00E50B0F"/>
    <w:rsid w:val="00EC25AA"/>
    <w:rsid w:val="00F20961"/>
    <w:rsid w:val="00F87253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5D692"/>
  <w15:chartTrackingRefBased/>
  <w15:docId w15:val="{2757097C-60E7-4103-96B7-72F92536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0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3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386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3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38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1321</Characters>
  <Application>Microsoft Office Word</Application>
  <DocSecurity>0</DocSecurity>
  <Lines>88</Lines>
  <Paragraphs>69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kaoliting@gmail.com</dc:creator>
  <cp:keywords/>
  <dc:description/>
  <cp:lastModifiedBy>庹聖茵</cp:lastModifiedBy>
  <cp:revision>6</cp:revision>
  <dcterms:created xsi:type="dcterms:W3CDTF">2025-09-26T16:01:00Z</dcterms:created>
  <dcterms:modified xsi:type="dcterms:W3CDTF">2025-10-28T06:55:00Z</dcterms:modified>
</cp:coreProperties>
</file>