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A2" w:rsidRDefault="00FD59A2" w:rsidP="00FD59A2">
      <w:pPr>
        <w:widowControl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Supplementary Table 1: Cochrane Risk of Bias Assessment for Included RCTs</w:t>
      </w: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tbl>
      <w:tblPr>
        <w:tblW w:w="10065" w:type="dxa"/>
        <w:tblInd w:w="-15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9"/>
        <w:gridCol w:w="1197"/>
        <w:gridCol w:w="1138"/>
        <w:gridCol w:w="1251"/>
        <w:gridCol w:w="1206"/>
        <w:gridCol w:w="1191"/>
        <w:gridCol w:w="1130"/>
        <w:gridCol w:w="992"/>
        <w:gridCol w:w="1062"/>
      </w:tblGrid>
      <w:tr w:rsidR="00FD59A2" w:rsidTr="00E4030B">
        <w:trPr>
          <w:tblHeader/>
        </w:trPr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Study (First Author, Year)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Random Sequence Generation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Allocation Hiding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Blinding of Participants and Researchers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Blinding of Outcome Assessment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Incomplete Outcome Data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Selective Reporting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Other Sources of Bias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Overall Risk of Bias</w:t>
            </w:r>
          </w:p>
        </w:tc>
      </w:tr>
      <w:tr w:rsidR="00FD59A2" w:rsidTr="00E4030B">
        <w:tc>
          <w:tcPr>
            <w:tcW w:w="1171" w:type="dxa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Fidelma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Dunne, 2023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Shirin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Niromanesh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, 2012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Moderate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María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J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Picón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-César, 2021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Moderate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Kim A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Boggess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, 2023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Kristiina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Tertti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, 2015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Moderate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David Simmons, 2024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Moderate risk</w:t>
            </w:r>
          </w:p>
        </w:tc>
      </w:tr>
      <w:tr w:rsidR="00FD59A2" w:rsidTr="00E4030B">
        <w:tc>
          <w:tcPr>
            <w:tcW w:w="117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Nayereh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Ghomian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, 2018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Unclear risk</w:t>
            </w:r>
          </w:p>
        </w:tc>
        <w:tc>
          <w:tcPr>
            <w:tcW w:w="1210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Moderate risk</w:t>
            </w:r>
          </w:p>
        </w:tc>
      </w:tr>
      <w:tr w:rsidR="00FD59A2" w:rsidTr="00E4030B">
        <w:tc>
          <w:tcPr>
            <w:tcW w:w="1171" w:type="dxa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Maya Patel, 2025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Low risk</w:t>
            </w:r>
          </w:p>
        </w:tc>
      </w:tr>
    </w:tbl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br w:type="page"/>
      </w: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lastRenderedPageBreak/>
        <w:t>Table S1: Definitions of Outcome Indicators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4"/>
        <w:gridCol w:w="6562"/>
      </w:tblGrid>
      <w:tr w:rsidR="00FD59A2" w:rsidTr="00E4030B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Outcome Indicator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Definition</w:t>
            </w:r>
          </w:p>
        </w:tc>
      </w:tr>
      <w:tr w:rsidR="00FD59A2" w:rsidTr="00E4030B"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Cesarean section rate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Delivery via surgical uterine incision, as defined by each included RCT</w:t>
            </w:r>
          </w:p>
        </w:tc>
      </w:tr>
      <w:tr w:rsidR="00FD59A2" w:rsidTr="00E4030B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Gestational hypertension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Systolic blood pressure ≥140 mmHg and/or diastolic blood pressure ≥90 mmHg after 20 weeks of gestation, without proteinuria, per RCT definitions</w:t>
            </w:r>
          </w:p>
        </w:tc>
      </w:tr>
      <w:tr w:rsidR="00FD59A2" w:rsidTr="00E4030B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Neonatal hypoglycemia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Neonatal blood glucose &lt;2.2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mmol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/L within 72 hours of birth, per RCT definitions</w:t>
            </w:r>
          </w:p>
        </w:tc>
      </w:tr>
      <w:tr w:rsidR="00FD59A2" w:rsidTr="00E4030B">
        <w:tc>
          <w:tcPr>
            <w:tcW w:w="0" w:type="auto"/>
            <w:tcBorders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Macrosomia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Neonatal birth weight ≥4000 g, per RCT definitions</w:t>
            </w:r>
          </w:p>
        </w:tc>
      </w:tr>
    </w:tbl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br w:type="page"/>
      </w: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lastRenderedPageBreak/>
        <w:t>Table S2</w:t>
      </w:r>
      <w:r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RoB</w:t>
      </w:r>
      <w:proofErr w:type="spellEnd"/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2.0 Risk of Bias Assessment for Included RCTs</w:t>
      </w:r>
    </w:p>
    <w:tbl>
      <w:tblPr>
        <w:tblW w:w="10632" w:type="dxa"/>
        <w:tblInd w:w="-1276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2114"/>
        <w:gridCol w:w="1914"/>
        <w:gridCol w:w="1607"/>
        <w:gridCol w:w="2500"/>
        <w:gridCol w:w="1580"/>
        <w:gridCol w:w="1393"/>
      </w:tblGrid>
      <w:tr w:rsidR="00FD59A2" w:rsidTr="00E4030B">
        <w:trPr>
          <w:tblHeader/>
        </w:trPr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Study (First Author, Year)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Bias Arising from Randomization Process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Bias Due to Deviations from Intended Interventions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Bias Due to Missing Outcome Data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Bias in Measurement of the 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Bias in Selection of the Reported Result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Overall Risk of Bias</w:t>
            </w:r>
          </w:p>
        </w:tc>
      </w:tr>
      <w:tr w:rsidR="00FD59A2" w:rsidTr="00E4030B">
        <w:tc>
          <w:tcPr>
            <w:tcW w:w="1327" w:type="dxa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Fidelma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Dunne, 2023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(computer-generated random sequence)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(no major protocol deviations reported)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(≤5% missing data, no imbalance)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(objective outcome measurement, blinding of assessors)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(pre-specified outcomes fully reported)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Shirin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Niromanesh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, 2012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(random number table)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 (unclear if protocol deviations occurred; no post-hoc adjustments reported)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(≤8% missing data, balanced across groups)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(objective outcome measurement)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(all pre-specified outcomes reported)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María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J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Picón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-César, 2021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(central randomization)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(protocol deviations documented, no impact on outcomes)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(≤3% missing data)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(blinded outcome assessment for objective outcomes)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(pre-specified outcomes reported without selective omission)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Kim A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Boggess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, 2023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(stratified randomization by center)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(no deviations from intended interventions)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(≤2% missing data, complete follow-up)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(blinded assessors for clinical outcomes)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(registered protocol matched reported outcomes)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Kristiina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Tertti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, 2015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 (randomization method not clearly described)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 (unclear if non-compliance was addressed)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(≤6% missing data, balanced)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(standardized neurodevelopmental assessment tools)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(all pre-specified outcomes reported)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lastRenderedPageBreak/>
              <w:t>David Simmons, 2024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(computerized randomization)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 (unclear if treatment cross-over occurred)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(≤4% missing data)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(objective outcome measurement for perinatal outcomes)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(consistent with registered protocol)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Nayereh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Ghomian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, 2018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(random number generation)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 (protocol deviations not fully described)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(≤7% missing data, no imbalance)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(laboratory-confirmed glucose measurements)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(all key outcomes reported)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Some concerns</w:t>
            </w:r>
          </w:p>
        </w:tc>
      </w:tr>
      <w:tr w:rsidR="00FD59A2" w:rsidTr="00E4030B">
        <w:tc>
          <w:tcPr>
            <w:tcW w:w="132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Maya Patel, 2025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(block randomization)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(no major deviations; compliance monitored)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(≤1% missing data, complete follow-up)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(blinded outcome assessment for preeclampsia diagnosis)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 (pre-specified outcomes fully reported)</w:t>
            </w:r>
          </w:p>
        </w:tc>
        <w:tc>
          <w:tcPr>
            <w:tcW w:w="213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 risk</w:t>
            </w:r>
          </w:p>
        </w:tc>
      </w:tr>
    </w:tbl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br w:type="page"/>
      </w:r>
    </w:p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: GRADE Evidence Quality Assessment</w:t>
      </w:r>
    </w:p>
    <w:tbl>
      <w:tblPr>
        <w:tblW w:w="0" w:type="auto"/>
        <w:tblInd w:w="-1276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1249"/>
        <w:gridCol w:w="1608"/>
        <w:gridCol w:w="1502"/>
        <w:gridCol w:w="1482"/>
        <w:gridCol w:w="1444"/>
        <w:gridCol w:w="1249"/>
      </w:tblGrid>
      <w:tr w:rsidR="00FD59A2" w:rsidTr="00E4030B">
        <w:trPr>
          <w:tblHeader/>
        </w:trPr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Risk of Bias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Inconsistency (I²)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Indirectness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Imprecision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Publication Bias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Overall Quality</w:t>
            </w:r>
          </w:p>
        </w:tc>
      </w:tr>
      <w:tr w:rsidR="00FD59A2" w:rsidTr="00E4030B"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Cesarean section rate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High (60.2%)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Detected (Egger P=0.03)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</w:tr>
      <w:tr w:rsidR="00FD59A2" w:rsidTr="00E4030B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Gestational hypertension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Very high (85.9%)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Detected (Egger P=0.04)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</w:tr>
      <w:tr w:rsidR="00FD59A2" w:rsidTr="00E4030B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Neonatal hypoglycemia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 (50.7%)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Detected (Egger P=0.02)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</w:tr>
      <w:tr w:rsidR="00FD59A2" w:rsidTr="00E4030B"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Macrosomia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Moderate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Very high (90.0%)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Detected (Egger P=0.01)</w:t>
            </w:r>
          </w:p>
        </w:tc>
        <w:tc>
          <w:tcPr>
            <w:tcW w:w="0" w:type="auto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FD59A2" w:rsidRDefault="00FD59A2" w:rsidP="00E4030B">
            <w:pPr>
              <w:widowControl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Low</w:t>
            </w:r>
          </w:p>
        </w:tc>
      </w:tr>
    </w:tbl>
    <w:p w:rsidR="00FD59A2" w:rsidRDefault="00FD59A2" w:rsidP="00FD59A2">
      <w:pPr>
        <w:widowControl/>
        <w:jc w:val="left"/>
        <w:rPr>
          <w:rFonts w:ascii="Times New Roman" w:hAnsi="Times New Roman" w:cs="Times New Roman"/>
          <w:color w:val="EE0000"/>
          <w:sz w:val="24"/>
          <w:szCs w:val="24"/>
        </w:rPr>
      </w:pPr>
    </w:p>
    <w:p w:rsidR="00091723" w:rsidRDefault="00FD59A2">
      <w:bookmarkStart w:id="0" w:name="_GoBack"/>
      <w:bookmarkEnd w:id="0"/>
    </w:p>
    <w:sectPr w:rsidR="00091723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AF4" w:rsidRDefault="00FD59A2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10128" wp14:editId="158613A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35AF4" w:rsidRDefault="00FD59A2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35AF4" w:rsidRDefault="00FD59A2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A2"/>
    <w:rsid w:val="00AA0270"/>
    <w:rsid w:val="00ED1A1E"/>
    <w:rsid w:val="00FD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9A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D5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D59A2"/>
    <w:rPr>
      <w:rFonts w:eastAsiaTheme="minorEastAsia"/>
      <w:kern w:val="2"/>
      <w:sz w:val="18"/>
      <w:szCs w:val="18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9A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D5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D59A2"/>
    <w:rPr>
      <w:rFonts w:eastAsiaTheme="minorEastAsia"/>
      <w:kern w:val="2"/>
      <w:sz w:val="18"/>
      <w:szCs w:val="18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Nica Aguilar</dc:creator>
  <cp:lastModifiedBy>Jean Nica Aguilar</cp:lastModifiedBy>
  <cp:revision>1</cp:revision>
  <dcterms:created xsi:type="dcterms:W3CDTF">2026-01-19T11:02:00Z</dcterms:created>
  <dcterms:modified xsi:type="dcterms:W3CDTF">2026-01-19T11:03:00Z</dcterms:modified>
</cp:coreProperties>
</file>