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C5C5" w14:textId="77777777" w:rsidR="00B46983" w:rsidRPr="00783676" w:rsidRDefault="00B46983">
      <w:pPr>
        <w:rPr>
          <w:rFonts w:ascii="Times New Roman" w:hAnsi="Times New Roman" w:cs="Times New Roman"/>
        </w:rPr>
      </w:pPr>
    </w:p>
    <w:p w14:paraId="7EEBC831" w14:textId="7931227A" w:rsidR="009C3A89" w:rsidRPr="00783676" w:rsidRDefault="009C3A89" w:rsidP="009C3A89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  <w:r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Table 5. JBI Critical Appraisal Checklist for </w:t>
      </w:r>
      <w:r w:rsidR="00D172FB"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t>Analytical Cross-Sectional</w:t>
      </w:r>
      <w:r w:rsidR="00F159EA"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 &amp; observational</w:t>
      </w:r>
      <w:r w:rsidR="00D172FB"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 Studies</w:t>
      </w:r>
    </w:p>
    <w:tbl>
      <w:tblPr>
        <w:tblStyle w:val="TableGrid"/>
        <w:tblW w:w="11621" w:type="dxa"/>
        <w:tblInd w:w="-185" w:type="dxa"/>
        <w:tblLook w:val="0000" w:firstRow="0" w:lastRow="0" w:firstColumn="0" w:lastColumn="0" w:noHBand="0" w:noVBand="0"/>
      </w:tblPr>
      <w:tblGrid>
        <w:gridCol w:w="2588"/>
        <w:gridCol w:w="562"/>
        <w:gridCol w:w="1170"/>
        <w:gridCol w:w="900"/>
        <w:gridCol w:w="720"/>
        <w:gridCol w:w="720"/>
        <w:gridCol w:w="810"/>
        <w:gridCol w:w="900"/>
        <w:gridCol w:w="771"/>
        <w:gridCol w:w="854"/>
        <w:gridCol w:w="1619"/>
        <w:gridCol w:w="7"/>
      </w:tblGrid>
      <w:tr w:rsidR="00F6638E" w:rsidRPr="00783676" w14:paraId="032CCDFE" w14:textId="7F2AB64C" w:rsidTr="000D4A1D">
        <w:trPr>
          <w:gridBefore w:val="1"/>
          <w:gridAfter w:val="2"/>
          <w:wBefore w:w="2588" w:type="dxa"/>
          <w:wAfter w:w="1626" w:type="dxa"/>
          <w:trHeight w:val="692"/>
        </w:trPr>
        <w:tc>
          <w:tcPr>
            <w:tcW w:w="6553" w:type="dxa"/>
            <w:gridSpan w:val="8"/>
            <w:vAlign w:val="center"/>
          </w:tcPr>
          <w:p w14:paraId="01AA73E5" w14:textId="2323303D" w:rsidR="00F6638E" w:rsidRPr="00783676" w:rsidRDefault="00F6638E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Cross-sectional</w:t>
            </w:r>
            <w:r w:rsidR="00F159EA"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&amp; observational</w:t>
            </w:r>
            <w:r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34359"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Checklist</w:t>
            </w:r>
          </w:p>
        </w:tc>
        <w:tc>
          <w:tcPr>
            <w:tcW w:w="854" w:type="dxa"/>
            <w:tcBorders>
              <w:top w:val="nil"/>
              <w:right w:val="nil"/>
            </w:tcBorders>
            <w:vAlign w:val="center"/>
          </w:tcPr>
          <w:p w14:paraId="24A07587" w14:textId="77777777" w:rsidR="00F6638E" w:rsidRPr="00783676" w:rsidRDefault="00F6638E" w:rsidP="00F66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6A713E" w:rsidRPr="00783676" w14:paraId="5DE22EFB" w14:textId="77777777" w:rsidTr="006A713E">
        <w:tblPrEx>
          <w:tblLook w:val="04A0" w:firstRow="1" w:lastRow="0" w:firstColumn="1" w:lastColumn="0" w:noHBand="0" w:noVBand="1"/>
        </w:tblPrEx>
        <w:trPr>
          <w:cantSplit/>
          <w:trHeight w:val="3887"/>
        </w:trPr>
        <w:tc>
          <w:tcPr>
            <w:tcW w:w="2588" w:type="dxa"/>
            <w:vAlign w:val="center"/>
            <w:hideMark/>
          </w:tcPr>
          <w:p w14:paraId="68E74CC9" w14:textId="77777777" w:rsidR="009C3A89" w:rsidRPr="00783676" w:rsidRDefault="009C3A89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Author (Year and Reference)</w:t>
            </w:r>
          </w:p>
        </w:tc>
        <w:tc>
          <w:tcPr>
            <w:tcW w:w="562" w:type="dxa"/>
            <w:textDirection w:val="btLr"/>
            <w:hideMark/>
          </w:tcPr>
          <w:p w14:paraId="0C799EBF" w14:textId="2CDE2E95" w:rsidR="009C3A89" w:rsidRPr="00783676" w:rsidRDefault="009C3A89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sz w:val="18"/>
                <w:szCs w:val="18"/>
                <w:lang w:eastAsia="en-AU"/>
              </w:rPr>
              <w:t>Were the criteria for inclusion in the sample clearly defined?</w:t>
            </w:r>
            <w:r w:rsidRPr="00783676">
              <w:rPr>
                <w:rFonts w:ascii="Times New Roman" w:hAnsi="Times New Roman" w:cs="Times New Roman"/>
                <w:sz w:val="18"/>
                <w:szCs w:val="18"/>
                <w:lang w:eastAsia="en-AU"/>
              </w:rPr>
              <w:tab/>
            </w:r>
          </w:p>
        </w:tc>
        <w:tc>
          <w:tcPr>
            <w:tcW w:w="1170" w:type="dxa"/>
            <w:textDirection w:val="btLr"/>
          </w:tcPr>
          <w:p w14:paraId="30CBCE85" w14:textId="271EA793" w:rsidR="009C3A89" w:rsidRPr="00783676" w:rsidRDefault="009C3A89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Were the study subjects and the setting described in detail?</w:t>
            </w: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900" w:type="dxa"/>
            <w:textDirection w:val="btLr"/>
          </w:tcPr>
          <w:p w14:paraId="15BE8296" w14:textId="632AD739" w:rsidR="009C3A89" w:rsidRPr="00783676" w:rsidRDefault="009C3A89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Was the exposure measured in a valid and reliable way?</w:t>
            </w: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720" w:type="dxa"/>
            <w:textDirection w:val="btLr"/>
          </w:tcPr>
          <w:p w14:paraId="48A465CB" w14:textId="0BC8E84B" w:rsidR="009C3A89" w:rsidRPr="00783676" w:rsidRDefault="00F16965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Was</w:t>
            </w:r>
            <w:proofErr w:type="gramEnd"/>
            <w:r w:rsidR="009C3A89"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objective, standard criteria used for measurement of the condition?</w:t>
            </w:r>
            <w:r w:rsidR="009C3A89"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720" w:type="dxa"/>
            <w:textDirection w:val="btLr"/>
          </w:tcPr>
          <w:p w14:paraId="65E20A84" w14:textId="5AFD692F" w:rsidR="009C3A89" w:rsidRPr="00783676" w:rsidRDefault="00F16965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Were</w:t>
            </w:r>
            <w:proofErr w:type="spellEnd"/>
            <w:r w:rsidR="009C3A89"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confounding factors identified?</w:t>
            </w:r>
            <w:r w:rsidR="009C3A89"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810" w:type="dxa"/>
            <w:textDirection w:val="btLr"/>
          </w:tcPr>
          <w:p w14:paraId="2BBA47C4" w14:textId="2DB6AD77" w:rsidR="009C3A89" w:rsidRPr="00783676" w:rsidRDefault="00F16965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Were strategies to deal with confounding factors stated?</w:t>
            </w: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900" w:type="dxa"/>
            <w:textDirection w:val="btLr"/>
          </w:tcPr>
          <w:p w14:paraId="245FED91" w14:textId="40C58179" w:rsidR="009C3A89" w:rsidRPr="00783676" w:rsidRDefault="00F16965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Were the outcomes measured in a valid and reliable way?</w:t>
            </w: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771" w:type="dxa"/>
            <w:textDirection w:val="btLr"/>
          </w:tcPr>
          <w:p w14:paraId="0AD8EAFD" w14:textId="25F6E7CF" w:rsidR="009C3A89" w:rsidRPr="00783676" w:rsidRDefault="00F16965" w:rsidP="002266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Was appropriate statistical analysis used?</w:t>
            </w: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854" w:type="dxa"/>
            <w:vAlign w:val="center"/>
          </w:tcPr>
          <w:p w14:paraId="3EBBA5FB" w14:textId="77777777" w:rsidR="009C3A89" w:rsidRPr="00783676" w:rsidRDefault="009C3A89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b/>
                <w:bCs/>
              </w:rPr>
              <w:t>Total Points</w:t>
            </w:r>
          </w:p>
        </w:tc>
        <w:tc>
          <w:tcPr>
            <w:tcW w:w="1626" w:type="dxa"/>
            <w:gridSpan w:val="2"/>
            <w:vAlign w:val="center"/>
          </w:tcPr>
          <w:p w14:paraId="3FDB5F42" w14:textId="77777777" w:rsidR="009C3A89" w:rsidRPr="00783676" w:rsidRDefault="009C3A89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3362BB" w:rsidRPr="00783676" w14:paraId="2A5C7D3F" w14:textId="77777777" w:rsidTr="006A713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16"/>
        </w:trPr>
        <w:tc>
          <w:tcPr>
            <w:tcW w:w="2588" w:type="dxa"/>
          </w:tcPr>
          <w:p w14:paraId="49314260" w14:textId="75B400AC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196743983"/>
            <w:r w:rsidRPr="00783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Ashrafi et al. / 2014</w:t>
            </w:r>
            <w:r w:rsidRPr="00783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Pr="00783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&lt;EndNote&gt;&lt;Cite&gt;&lt;Author&gt;Ashrafi&lt;/Author&gt;&lt;Year&gt;2014&lt;/Year&gt;&lt;RecNum&gt;12&lt;/RecNum&gt;&lt;DisplayText&gt;[1]&lt;/DisplayText&gt;&lt;record&gt;&lt;rec-number&gt;12&lt;/rec-number&gt;&lt;foreign-keys&gt;&lt;key app="EN" db-id="x5wdexre4ep5d0efvtyvawzpe9zv9wfz0arv" timestamp="1744389171"&gt;12&lt;/key&gt;&lt;/foreign-keys&gt;&lt;ref-type name="Journal Article"&gt;17&lt;/ref-type&gt;&lt;contributors&gt;&lt;authors&gt;&lt;author&gt;Ashrafi, Mahnaz&lt;/author&gt;&lt;author&gt;Sheikhan, Fatemeh&lt;/author&gt;&lt;author&gt;Arabipoor, Arezoo&lt;/author&gt;&lt;author&gt;Hosseini, Roya&lt;/author&gt;&lt;author&gt;Nourbakhsh, Fereshteh&lt;/author&gt;&lt;author&gt;Zolfaghari, Zahra&lt;/author&gt;&lt;/authors&gt;&lt;/contributors&gt;&lt;titles&gt;&lt;title&gt;Gestational diabetes mellitus risk factors in women with polycystic ovary syndrome (PCOS)&lt;/title&gt;&lt;secondary-title&gt;European Journal of Obstetrics &amp;amp; Gynecology and Reproductive Biology&lt;/secondary-title&gt;&lt;/titles&gt;&lt;periodical&gt;&lt;full-title&gt;European Journal of Obstetrics &amp;amp; Gynecology and Reproductive Biology&lt;/full-title&gt;&lt;/periodical&gt;&lt;pages&gt;195-199&lt;/pages&gt;&lt;volume&gt;181&lt;/volume&gt;&lt;dates&gt;&lt;year&gt;2014&lt;/year&gt;&lt;/dates&gt;&lt;isbn&gt;0301-2115&lt;/isbn&gt;&lt;urls&gt;&lt;/urls&gt;&lt;/record&gt;&lt;/Cite&gt;&lt;/EndNote&gt;</w:instrText>
            </w:r>
            <w:r w:rsidRPr="00783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783676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[1]</w:t>
            </w:r>
            <w:r w:rsidRPr="00783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62" w:type="dxa"/>
          </w:tcPr>
          <w:p w14:paraId="01CC4BFF" w14:textId="3C7BCA89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170" w:type="dxa"/>
          </w:tcPr>
          <w:p w14:paraId="158C376D" w14:textId="38126728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3F371682" w14:textId="5A79490E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3F6755C3" w14:textId="51F3BF15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7A520030" w14:textId="1E02A97C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36DE3649" w14:textId="32DE3D33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900" w:type="dxa"/>
          </w:tcPr>
          <w:p w14:paraId="05D56A50" w14:textId="37EE2BB8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771" w:type="dxa"/>
          </w:tcPr>
          <w:p w14:paraId="56744AAB" w14:textId="35145458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854" w:type="dxa"/>
          </w:tcPr>
          <w:p w14:paraId="46616567" w14:textId="133EE3B9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2BB">
              <w:rPr>
                <w:rFonts w:ascii="Times New Roman" w:eastAsia="Times New Roman" w:hAnsi="Times New Roman" w:cs="Times New Roman"/>
              </w:rPr>
              <w:t>7/8</w:t>
            </w:r>
          </w:p>
        </w:tc>
        <w:tc>
          <w:tcPr>
            <w:tcW w:w="1619" w:type="dxa"/>
          </w:tcPr>
          <w:p w14:paraId="217BEDBF" w14:textId="0FF4F88B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62BB">
              <w:rPr>
                <w:rFonts w:ascii="Times New Roman" w:hAnsi="Times New Roman" w:cs="Times New Roman"/>
              </w:rPr>
              <w:t>High</w:t>
            </w:r>
          </w:p>
        </w:tc>
      </w:tr>
      <w:tr w:rsidR="003362BB" w:rsidRPr="00783676" w14:paraId="22E119E9" w14:textId="77777777" w:rsidTr="006A713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233"/>
        </w:trPr>
        <w:tc>
          <w:tcPr>
            <w:tcW w:w="2588" w:type="dxa"/>
          </w:tcPr>
          <w:p w14:paraId="28AA0FCF" w14:textId="6BCE4958" w:rsidR="003362BB" w:rsidRPr="00783676" w:rsidRDefault="003362BB" w:rsidP="003362BB">
            <w:pPr>
              <w:spacing w:after="16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Wang 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et al. /2016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instrText xml:space="preserve"> ADDIN EN.CITE &lt;EndNote&gt;&lt;Cite&gt;&lt;Author&gt;Wang&lt;/Author&gt;&lt;Year&gt;2016&lt;/Year&gt;&lt;RecNum&gt;13&lt;/RecNum&gt;&lt;DisplayText&gt;[2]&lt;/DisplayText&gt;&lt;record&gt;&lt;rec-number&gt;13&lt;/rec-number&gt;&lt;foreign-keys&gt;&lt;key app="EN" db-id="x5wdexre4ep5d0efvtyvawzpe9zv9wfz0arv" timestamp="1744389229"&gt;13&lt;/key&gt;&lt;/foreign-keys&gt;&lt;ref-type name="Journal Article"&gt;17&lt;/ref-type&gt;&lt;contributors&gt;&lt;authors&gt;&lt;author&gt;Wang, Hai-Yan&lt;/author&gt;&lt;author&gt;Qiao, Jie&lt;/author&gt;&lt;author&gt;Sun, Xiao-Xi&lt;/author&gt;&lt;author&gt;Wang, Shu-Yu&lt;/author&gt;&lt;author&gt;Liang, Xiao-Yan&lt;/author&gt;&lt;author&gt;Sun, Yun&lt;/author&gt;&lt;author&gt;Liu, Feng-Hua&lt;/author&gt;&lt;/authors&gt;&lt;/contributors&gt;&lt;titles&gt;&lt;title&gt;Epidemiological survey and risk factor analysis of recurrent spontaneous miscarriages in infertile women at large infertility centers&lt;/title&gt;&lt;secondary-title&gt;Chinese Medical Journal&lt;/secondary-title&gt;&lt;/titles&gt;&lt;periodical&gt;&lt;full-title&gt;Chinese Medical Journal&lt;/full-title&gt;&lt;/periodical&gt;&lt;pages&gt;2056-2062&lt;/pages&gt;&lt;volume&gt;130&lt;/volume&gt;&lt;number&gt;17&lt;/number&gt;&lt;dates&gt;&lt;year&gt;2016&lt;/year&gt;&lt;/dates&gt;&lt;isbn&gt;0366-6999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20"/>
                <w:szCs w:val="20"/>
                <w14:ligatures w14:val="standardContextual"/>
              </w:rPr>
              <w:t>[2]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end"/>
            </w:r>
          </w:p>
        </w:tc>
        <w:tc>
          <w:tcPr>
            <w:tcW w:w="562" w:type="dxa"/>
          </w:tcPr>
          <w:p w14:paraId="1F2D4D3F" w14:textId="39BE6E13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0" w:type="dxa"/>
          </w:tcPr>
          <w:p w14:paraId="27F92395" w14:textId="59919423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1BD6DFBA" w14:textId="40ECD643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1D5198D2" w14:textId="58E4901F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5E60773F" w14:textId="5379CF8D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35CB8640" w14:textId="031C2958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5BEA2156" w14:textId="6A6AD5A1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71" w:type="dxa"/>
          </w:tcPr>
          <w:p w14:paraId="20F03522" w14:textId="1F927854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4" w:type="dxa"/>
          </w:tcPr>
          <w:p w14:paraId="3A332EB2" w14:textId="31FD6E29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2BB">
              <w:rPr>
                <w:rFonts w:ascii="Times New Roman" w:eastAsia="Times New Roman" w:hAnsi="Times New Roman" w:cs="Times New Roman"/>
              </w:rPr>
              <w:t>8/8</w:t>
            </w:r>
          </w:p>
        </w:tc>
        <w:tc>
          <w:tcPr>
            <w:tcW w:w="1619" w:type="dxa"/>
          </w:tcPr>
          <w:p w14:paraId="5893383B" w14:textId="5D9EE52F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62BB">
              <w:rPr>
                <w:rFonts w:ascii="Times New Roman" w:hAnsi="Times New Roman" w:cs="Times New Roman"/>
              </w:rPr>
              <w:t>High</w:t>
            </w:r>
          </w:p>
        </w:tc>
      </w:tr>
      <w:tr w:rsidR="003362BB" w:rsidRPr="00783676" w14:paraId="6C6DFF18" w14:textId="77777777" w:rsidTr="006A713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16"/>
        </w:trPr>
        <w:tc>
          <w:tcPr>
            <w:tcW w:w="2588" w:type="dxa"/>
          </w:tcPr>
          <w:p w14:paraId="30ABB764" w14:textId="333340C9" w:rsidR="003362BB" w:rsidRPr="00783676" w:rsidRDefault="003362BB" w:rsidP="003362BB">
            <w:pPr>
              <w:spacing w:after="160" w:line="278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196743992"/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Wang et al. / 2022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instrText xml:space="preserve"> ADDIN EN.CITE &lt;EndNote&gt;&lt;Cite&gt;&lt;Author&gt;Wang&lt;/Author&gt;&lt;Year&gt;2022&lt;/Year&gt;&lt;RecNum&gt;2&lt;/RecNum&gt;&lt;DisplayText&gt;[3]&lt;/DisplayText&gt;&lt;record&gt;&lt;rec-number&gt;2&lt;/rec-number&gt;&lt;foreign-keys&gt;&lt;key app="EN" db-id="x5wdexre4ep5d0efvtyvawzpe9zv9wfz0arv" timestamp="1744388649"&gt;2&lt;/key&gt;&lt;/foreign-keys&gt;&lt;ref-type name="Journal Article"&gt;17&lt;/ref-type&gt;&lt;contributors&gt;&lt;authors&gt;&lt;author&gt;Wang, Mohan&lt;/author&gt;&lt;author&gt;Yang, Xiao&lt;/author&gt;&lt;author&gt;Li, Linlin&lt;/author&gt;&lt;author&gt;Zhu, Haibo&lt;/author&gt;&lt;author&gt;Zhang, Hongguo&lt;/author&gt;&lt;author&gt;Jiang, Yuting&lt;/author&gt;&lt;author&gt;Liu, Ruizhi&lt;/author&gt;&lt;/authors&gt;&lt;/contributors&gt;&lt;titles&gt;&lt;title&gt;Incidence and risk factors for early pregnancy loss in women with first pregnancy undergoing in vitro fertilization-embryo transfer&lt;/title&gt;&lt;secondary-title&gt;BMC Pregnancy and Childbirth&lt;/secondary-title&gt;&lt;/titles&gt;&lt;periodical&gt;&lt;full-title&gt;BMC Pregnancy and Childbirth&lt;/full-title&gt;&lt;/periodical&gt;&lt;pages&gt;575&lt;/pages&gt;&lt;volume&gt;22&lt;/volume&gt;&lt;number&gt;1&lt;/number&gt;&lt;dates&gt;&lt;year&gt;2022&lt;/year&gt;&lt;/dates&gt;&lt;isbn&gt;1471-2393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20"/>
                <w:szCs w:val="20"/>
                <w14:ligatures w14:val="standardContextual"/>
              </w:rPr>
              <w:t>[3]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end"/>
            </w:r>
          </w:p>
        </w:tc>
        <w:tc>
          <w:tcPr>
            <w:tcW w:w="562" w:type="dxa"/>
          </w:tcPr>
          <w:p w14:paraId="46A75690" w14:textId="60513E9E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0" w:type="dxa"/>
          </w:tcPr>
          <w:p w14:paraId="1CB0A6FC" w14:textId="27DC0A51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4002CEC3" w14:textId="3F8493E0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46C2F80A" w14:textId="63801FC6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720" w:type="dxa"/>
          </w:tcPr>
          <w:p w14:paraId="40B2725F" w14:textId="4C77EDE2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18DA7F14" w14:textId="2FEDD91C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1149F092" w14:textId="52AED120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71" w:type="dxa"/>
          </w:tcPr>
          <w:p w14:paraId="0BED00E8" w14:textId="17999D2E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4" w:type="dxa"/>
          </w:tcPr>
          <w:p w14:paraId="1E486EEB" w14:textId="07A41441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2BB">
              <w:rPr>
                <w:rFonts w:ascii="Times New Roman" w:eastAsia="Times New Roman" w:hAnsi="Times New Roman" w:cs="Times New Roman"/>
              </w:rPr>
              <w:t>7/8</w:t>
            </w:r>
          </w:p>
        </w:tc>
        <w:tc>
          <w:tcPr>
            <w:tcW w:w="1619" w:type="dxa"/>
          </w:tcPr>
          <w:p w14:paraId="5BD3EE68" w14:textId="13B2458D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62BB">
              <w:rPr>
                <w:rFonts w:ascii="Times New Roman" w:hAnsi="Times New Roman" w:cs="Times New Roman"/>
              </w:rPr>
              <w:t>High</w:t>
            </w:r>
          </w:p>
        </w:tc>
      </w:tr>
      <w:bookmarkEnd w:id="0"/>
      <w:bookmarkEnd w:id="1"/>
      <w:tr w:rsidR="003362BB" w:rsidRPr="00783676" w14:paraId="14934CE6" w14:textId="77777777" w:rsidTr="006A713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16"/>
        </w:trPr>
        <w:tc>
          <w:tcPr>
            <w:tcW w:w="2588" w:type="dxa"/>
          </w:tcPr>
          <w:p w14:paraId="52E02A76" w14:textId="54513093" w:rsidR="003362BB" w:rsidRPr="00783676" w:rsidRDefault="003362BB" w:rsidP="003362BB">
            <w:pPr>
              <w:spacing w:after="160" w:line="278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t>Zhan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:rtl/>
                <w14:ligatures w14:val="standardContextual"/>
              </w:rPr>
              <w:t xml:space="preserve"> 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t>et al. /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:rtl/>
                <w14:ligatures w14:val="standardContextual"/>
              </w:rPr>
              <w:t xml:space="preserve"> 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t>2022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instrText xml:space="preserve"> ADDIN EN.CITE &lt;EndNote&gt;&lt;Cite&gt;&lt;Author&gt;Zhan&lt;/Author&gt;&lt;Year&gt;2022&lt;/Year&gt;&lt;RecNum&gt;5&lt;/RecNum&gt;&lt;DisplayText&gt;[4]&lt;/DisplayText&gt;&lt;record&gt;&lt;rec-number&gt;5&lt;/rec-number&gt;&lt;foreign-keys&gt;&lt;key app="EN" db-id="x5wdexre4ep5d0efvtyvawzpe9zv9wfz0arv" timestamp="1744388764"&gt;5&lt;/key&gt;&lt;/foreign-keys&gt;&lt;ref-type name="Journal Article"&gt;17&lt;/ref-type&gt;&lt;contributors&gt;&lt;authors&gt;&lt;author&gt;Zhan, Qiong&lt;/author&gt;&lt;author&gt;Zhao, Jing&lt;/author&gt;&lt;author&gt;Paziliya, Yasheng&lt;/author&gt;&lt;author&gt;Zhao, Junda&lt;/author&gt;&lt;author&gt;La, Xiaolin&lt;/author&gt;&lt;author&gt;Yao, Hua&lt;/author&gt;&lt;/authors&gt;&lt;/contributors&gt;&lt;titles&gt;&lt;title&gt;Establishing a predictive model for the evaluation of fecundity&lt;/title&gt;&lt;secondary-title&gt;Journal of Obstetrics and Gynaecology Research&lt;/secondary-title&gt;&lt;/titles&gt;&lt;periodical&gt;&lt;full-title&gt;Journal of Obstetrics and Gynaecology Research&lt;/full-title&gt;&lt;/periodical&gt;&lt;pages&gt;987-1000&lt;/pages&gt;&lt;volume&gt;48&lt;/volume&gt;&lt;number&gt;4&lt;/number&gt;&lt;dates&gt;&lt;year&gt;2022&lt;/year&gt;&lt;/dates&gt;&lt;isbn&gt;1341-8076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t>[4]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highlight w:val="yellow"/>
                <w14:ligatures w14:val="standardContextual"/>
              </w:rPr>
              <w:fldChar w:fldCharType="end"/>
            </w:r>
          </w:p>
        </w:tc>
        <w:tc>
          <w:tcPr>
            <w:tcW w:w="562" w:type="dxa"/>
          </w:tcPr>
          <w:p w14:paraId="7CC9DCB0" w14:textId="49C18153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0" w:type="dxa"/>
          </w:tcPr>
          <w:p w14:paraId="67243463" w14:textId="1F8B34C8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72FA9BE5" w14:textId="3A749826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133B898B" w14:textId="25FDCC30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720" w:type="dxa"/>
          </w:tcPr>
          <w:p w14:paraId="6E185BF4" w14:textId="148F13E0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378CA444" w14:textId="4FFA21F6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29868BA9" w14:textId="49F5ACF0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71" w:type="dxa"/>
          </w:tcPr>
          <w:p w14:paraId="431CF938" w14:textId="70F85378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4" w:type="dxa"/>
          </w:tcPr>
          <w:p w14:paraId="4991AA31" w14:textId="7DA30FFE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2BB">
              <w:rPr>
                <w:rFonts w:ascii="Times New Roman" w:eastAsia="Times New Roman" w:hAnsi="Times New Roman" w:cs="Times New Roman"/>
              </w:rPr>
              <w:t>7/8</w:t>
            </w:r>
          </w:p>
        </w:tc>
        <w:tc>
          <w:tcPr>
            <w:tcW w:w="1619" w:type="dxa"/>
          </w:tcPr>
          <w:p w14:paraId="743AF343" w14:textId="0A96786B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62BB">
              <w:rPr>
                <w:rFonts w:ascii="Times New Roman" w:hAnsi="Times New Roman" w:cs="Times New Roman"/>
              </w:rPr>
              <w:t>High</w:t>
            </w:r>
          </w:p>
        </w:tc>
      </w:tr>
      <w:tr w:rsidR="003362BB" w:rsidRPr="00783676" w14:paraId="21B408D4" w14:textId="77777777" w:rsidTr="006A713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16"/>
        </w:trPr>
        <w:tc>
          <w:tcPr>
            <w:tcW w:w="2588" w:type="dxa"/>
          </w:tcPr>
          <w:p w14:paraId="40B01C1D" w14:textId="1B323915" w:rsidR="003362BB" w:rsidRPr="00783676" w:rsidRDefault="003362BB" w:rsidP="003362BB">
            <w:pPr>
              <w:spacing w:after="160" w:line="278" w:lineRule="auto"/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:rtl/>
                <w14:ligatures w14:val="standardContextual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Yuan et al. / 2023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instrText xml:space="preserve"> ADDIN EN.CITE &lt;EndNote&gt;&lt;Cite&gt;&lt;Author&gt;Yuan&lt;/Author&gt;&lt;Year&gt;2023&lt;/Year&gt;&lt;RecNum&gt;9&lt;/RecNum&gt;&lt;DisplayText&gt;[5]&lt;/DisplayText&gt;&lt;record&gt;&lt;rec-number&gt;9&lt;/rec-number&gt;&lt;foreign-keys&gt;&lt;key app="EN" db-id="x5wdexre4ep5d0efvtyvawzpe9zv9wfz0arv" timestamp="1744388944"&gt;9&lt;/key&gt;&lt;/foreign-keys&gt;&lt;ref-type name="Journal Article"&gt;17&lt;/ref-type&gt;&lt;contributors&gt;&lt;authors&gt;&lt;author&gt;Yuan, Guanghui&lt;/author&gt;&lt;author&gt;Lv, Bohan&lt;/author&gt;&lt;author&gt;Du, Xin&lt;/author&gt;&lt;author&gt;Zhang, Huimin&lt;/author&gt;&lt;author&gt;Zhao, Mingzi&lt;/author&gt;&lt;author&gt;Liu, Yingxue&lt;/author&gt;&lt;author&gt;Hao, Cuifang&lt;/author&gt;&lt;/authors&gt;&lt;/contributors&gt;&lt;titles&gt;&lt;title&gt;Prediction model for missed abortion of patients treated with IVF-ET based on XGBoost: a retrospective study&lt;/title&gt;&lt;secondary-title&gt;PeerJ&lt;/secondary-title&gt;&lt;/titles&gt;&lt;periodical&gt;&lt;full-title&gt;PeerJ&lt;/full-title&gt;&lt;/periodical&gt;&lt;pages&gt;e14762&lt;/pages&gt;&lt;volume&gt;11&lt;/volume&gt;&lt;dates&gt;&lt;year&gt;2023&lt;/year&gt;&lt;/dates&gt;&lt;isbn&gt;2167-8359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20"/>
                <w:szCs w:val="20"/>
                <w14:ligatures w14:val="standardContextual"/>
              </w:rPr>
              <w:t>[5]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end"/>
            </w:r>
          </w:p>
          <w:p w14:paraId="28E18FDF" w14:textId="3F1A3A98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</w:tcPr>
          <w:p w14:paraId="70592DA8" w14:textId="7AE43E97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0" w:type="dxa"/>
          </w:tcPr>
          <w:p w14:paraId="28398975" w14:textId="21422290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425B180F" w14:textId="0134C3F6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3BB6C706" w14:textId="604E5915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6DFE0745" w14:textId="38BC549F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4569D6F4" w14:textId="2C071C79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08683645" w14:textId="31B50927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771" w:type="dxa"/>
          </w:tcPr>
          <w:p w14:paraId="6010C34F" w14:textId="416E8B9F" w:rsidR="003362BB" w:rsidRPr="00783676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4" w:type="dxa"/>
          </w:tcPr>
          <w:p w14:paraId="7E21A402" w14:textId="4E40BB45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62BB">
              <w:rPr>
                <w:rFonts w:ascii="Times New Roman" w:eastAsia="Times New Roman" w:hAnsi="Times New Roman" w:cs="Times New Roman"/>
              </w:rPr>
              <w:t>7/8</w:t>
            </w:r>
          </w:p>
        </w:tc>
        <w:tc>
          <w:tcPr>
            <w:tcW w:w="1619" w:type="dxa"/>
          </w:tcPr>
          <w:p w14:paraId="6B9DD9A9" w14:textId="2895FBD7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62BB">
              <w:rPr>
                <w:rFonts w:ascii="Times New Roman" w:hAnsi="Times New Roman" w:cs="Times New Roman"/>
              </w:rPr>
              <w:t>High</w:t>
            </w:r>
          </w:p>
        </w:tc>
      </w:tr>
      <w:tr w:rsidR="003362BB" w:rsidRPr="00783676" w14:paraId="190DD802" w14:textId="77777777" w:rsidTr="006A713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16"/>
        </w:trPr>
        <w:tc>
          <w:tcPr>
            <w:tcW w:w="2588" w:type="dxa"/>
          </w:tcPr>
          <w:p w14:paraId="2FE2865E" w14:textId="478C7F97" w:rsidR="003362BB" w:rsidRPr="00783676" w:rsidRDefault="003362BB" w:rsidP="003362BB">
            <w:pPr>
              <w:spacing w:after="160" w:line="278" w:lineRule="auto"/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Ouyang et al. / 2023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instrText xml:space="preserve"> ADDIN EN.CITE &lt;EndNote&gt;&lt;Cite&gt;&lt;Author&gt;Ouyang&lt;/Author&gt;&lt;Year&gt;2023&lt;/Year&gt;&lt;RecNum&gt;10&lt;/RecNum&gt;&lt;DisplayText&gt;[6]&lt;/DisplayText&gt;&lt;record&gt;&lt;rec-number&gt;10&lt;/rec-number&gt;&lt;foreign-keys&gt;&lt;key app="EN" db-id="x5wdexre4ep5d0efvtyvawzpe9zv9wfz0arv" timestamp="1744389007"&gt;10&lt;/key&gt;&lt;/foreign-keys&gt;&lt;ref-type name="Journal Article"&gt;17&lt;/ref-type&gt;&lt;contributors&gt;&lt;authors&gt;&lt;author&gt;Ouyang, Yan&lt;/author&gt;&lt;author&gt;Peng, Yangqin&lt;/author&gt;&lt;author&gt;Zhang, Senmao&lt;/author&gt;&lt;author&gt;Gong, Fei&lt;/author&gt;&lt;author&gt;Li, Xihong&lt;/author&gt;&lt;/authors&gt;&lt;/contributors&gt;&lt;titles&gt;&lt;title&gt;A simple scoring system for the prediction of early pregnancy loss developed by following 13,977 infertile patients after in vitro fertilization&lt;/title&gt;&lt;secondary-title&gt;European Journal of Medical Research&lt;/secondary-title&gt;&lt;/titles&gt;&lt;periodical&gt;&lt;full-title&gt;European Journal of Medical Research&lt;/full-title&gt;&lt;/periodical&gt;&lt;pages&gt;237&lt;/pages&gt;&lt;volume&gt;28&lt;/volume&gt;&lt;number&gt;1&lt;/number&gt;&lt;dates&gt;&lt;year&gt;2023&lt;/year&gt;&lt;/dates&gt;&lt;isbn&gt;2047-783X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20"/>
                <w:szCs w:val="20"/>
                <w14:ligatures w14:val="standardContextual"/>
              </w:rPr>
              <w:t>[6]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end"/>
            </w:r>
          </w:p>
        </w:tc>
        <w:tc>
          <w:tcPr>
            <w:tcW w:w="562" w:type="dxa"/>
          </w:tcPr>
          <w:p w14:paraId="2049A2DC" w14:textId="680AC6D2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0" w:type="dxa"/>
          </w:tcPr>
          <w:p w14:paraId="43F99C2D" w14:textId="007A4A8C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59E94469" w14:textId="6E8A91AE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64F256B8" w14:textId="5503C296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3FF5C43C" w14:textId="0C4CDBF9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52760125" w14:textId="0D95A2DE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62BB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900" w:type="dxa"/>
          </w:tcPr>
          <w:p w14:paraId="1416CFFF" w14:textId="37AA74B2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71" w:type="dxa"/>
          </w:tcPr>
          <w:p w14:paraId="4A361E29" w14:textId="528D9B3B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4" w:type="dxa"/>
          </w:tcPr>
          <w:p w14:paraId="192FF166" w14:textId="2504F5D4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2BB">
              <w:rPr>
                <w:rFonts w:ascii="Times New Roman" w:hAnsi="Times New Roman" w:cs="Times New Roman"/>
              </w:rPr>
              <w:t>7/8</w:t>
            </w:r>
          </w:p>
        </w:tc>
        <w:tc>
          <w:tcPr>
            <w:tcW w:w="1619" w:type="dxa"/>
          </w:tcPr>
          <w:p w14:paraId="5F4C9C1C" w14:textId="1CEB3017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2BB">
              <w:rPr>
                <w:rFonts w:ascii="Times New Roman" w:hAnsi="Times New Roman" w:cs="Times New Roman"/>
              </w:rPr>
              <w:t>High</w:t>
            </w:r>
          </w:p>
        </w:tc>
      </w:tr>
      <w:tr w:rsidR="003362BB" w:rsidRPr="00783676" w14:paraId="1B27EE30" w14:textId="77777777" w:rsidTr="006A713E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16"/>
        </w:trPr>
        <w:tc>
          <w:tcPr>
            <w:tcW w:w="2588" w:type="dxa"/>
          </w:tcPr>
          <w:p w14:paraId="4324858A" w14:textId="75C9D586" w:rsidR="003362BB" w:rsidRPr="00783676" w:rsidRDefault="003362BB" w:rsidP="003362BB">
            <w:pPr>
              <w:spacing w:after="160" w:line="278" w:lineRule="auto"/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Zhang et al. / 2024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instrText xml:space="preserve"> ADDIN EN.CITE &lt;EndNote&gt;&lt;Cite&gt;&lt;Author&gt;Zhang&lt;/Author&gt;&lt;Year&gt;2024&lt;/Year&gt;&lt;RecNum&gt;17&lt;/RecNum&gt;&lt;DisplayText&gt;[7]&lt;/DisplayText&gt;&lt;record&gt;&lt;rec-number&gt;17&lt;/rec-number&gt;&lt;foreign-keys&gt;&lt;key app="EN" db-id="x5wdexre4ep5d0efvtyvawzpe9zv9wfz0arv" timestamp="1744389413"&gt;17&lt;/key&gt;&lt;/foreign-keys&gt;&lt;ref-type name="Journal Article"&gt;17&lt;/ref-type&gt;&lt;contributors&gt;&lt;authors&gt;&lt;author&gt;Zhang, Meng&lt;/author&gt;&lt;author&gt;Ji, Xiaohui&lt;/author&gt;&lt;author&gt;Hu, Xinye&lt;/author&gt;&lt;author&gt;Zhu, Yingying&lt;/author&gt;&lt;author&gt;Ma, Haozhe&lt;/author&gt;&lt;author&gt;Xu, Hua&lt;/author&gt;&lt;author&gt;La, Xiaolin&lt;/author&gt;&lt;author&gt;Zhang, Qingxue&lt;/author&gt;&lt;/authors&gt;&lt;/contributors&gt;&lt;titles&gt;&lt;title&gt;Development and validation of a visualized prediction model for early miscarriage risk in patients undergoing IVF/ICSI procedures: a real-world multi-center study&lt;/title&gt;&lt;secondary-title&gt;Frontiers in Endocrinology&lt;/secondary-title&gt;&lt;/titles&gt;&lt;periodical&gt;&lt;full-title&gt;Frontiers in endocrinology&lt;/full-title&gt;&lt;/periodical&gt;&lt;pages&gt;1280145&lt;/pages&gt;&lt;volume&gt;14&lt;/volume&gt;&lt;dates&gt;&lt;year&gt;2024&lt;/year&gt;&lt;/dates&gt;&lt;isbn&gt;1664-2392&lt;/isbn&gt;&lt;urls&gt;&lt;/urls&gt;&lt;/record&gt;&lt;/Cite&gt;&lt;/EndNote&gt;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20"/>
                <w:szCs w:val="20"/>
                <w14:ligatures w14:val="standardContextual"/>
              </w:rPr>
              <w:t>[7]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fldChar w:fldCharType="end"/>
            </w:r>
          </w:p>
        </w:tc>
        <w:tc>
          <w:tcPr>
            <w:tcW w:w="562" w:type="dxa"/>
          </w:tcPr>
          <w:p w14:paraId="6B23DD8A" w14:textId="08B2ADE6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70" w:type="dxa"/>
          </w:tcPr>
          <w:p w14:paraId="59F6F23D" w14:textId="49C5F5A5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71B7F8C8" w14:textId="4A6D9169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39CFFCB4" w14:textId="68703425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7B1E5C87" w14:textId="338D68D4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56D0B0C3" w14:textId="52FB4A62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1F19FD49" w14:textId="0D616261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71" w:type="dxa"/>
          </w:tcPr>
          <w:p w14:paraId="4316A832" w14:textId="6C07CF5E" w:rsidR="003362BB" w:rsidRPr="00783676" w:rsidRDefault="003362BB" w:rsidP="00336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54" w:type="dxa"/>
          </w:tcPr>
          <w:p w14:paraId="573F555D" w14:textId="03F74397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2BB">
              <w:rPr>
                <w:rFonts w:ascii="Times New Roman" w:hAnsi="Times New Roman" w:cs="Times New Roman"/>
              </w:rPr>
              <w:t>8/8</w:t>
            </w:r>
          </w:p>
        </w:tc>
        <w:tc>
          <w:tcPr>
            <w:tcW w:w="1619" w:type="dxa"/>
          </w:tcPr>
          <w:p w14:paraId="33BAAA67" w14:textId="05A092B0" w:rsidR="003362BB" w:rsidRPr="003362BB" w:rsidRDefault="003362BB" w:rsidP="003362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2BB">
              <w:rPr>
                <w:rFonts w:ascii="Times New Roman" w:hAnsi="Times New Roman" w:cs="Times New Roman"/>
              </w:rPr>
              <w:t>High</w:t>
            </w:r>
          </w:p>
        </w:tc>
      </w:tr>
    </w:tbl>
    <w:p w14:paraId="33E8DF44" w14:textId="77777777" w:rsidR="000D4A1D" w:rsidRDefault="00EC21FC" w:rsidP="000D4A1D">
      <w:pPr>
        <w:rPr>
          <w:rFonts w:ascii="Times New Roman" w:hAnsi="Times New Roman" w:cs="Times New Roman"/>
          <w:sz w:val="20"/>
          <w:szCs w:val="20"/>
        </w:rPr>
      </w:pPr>
      <w:bookmarkStart w:id="2" w:name="_Hlk196782504"/>
      <w:bookmarkStart w:id="3" w:name="_Hlk196781190"/>
      <w:r w:rsidRPr="004E26A1">
        <w:rPr>
          <w:rFonts w:ascii="Times New Roman" w:hAnsi="Times New Roman" w:cs="Times New Roman"/>
          <w:sz w:val="20"/>
          <w:szCs w:val="20"/>
        </w:rPr>
        <w:t xml:space="preserve">Abbreviations: </w:t>
      </w:r>
      <w:r w:rsidR="004E26A1" w:rsidRPr="004E26A1">
        <w:rPr>
          <w:rFonts w:ascii="Times New Roman" w:hAnsi="Times New Roman" w:cs="Times New Roman"/>
          <w:sz w:val="20"/>
          <w:szCs w:val="20"/>
        </w:rPr>
        <w:t>Y: “Yes” (</w:t>
      </w:r>
      <w:r w:rsidR="00DB6306" w:rsidRPr="004E26A1">
        <w:rPr>
          <w:rFonts w:ascii="Times New Roman" w:hAnsi="Times New Roman" w:cs="Times New Roman"/>
          <w:sz w:val="20"/>
          <w:szCs w:val="20"/>
        </w:rPr>
        <w:t>1)</w:t>
      </w:r>
      <w:r w:rsidRPr="004E26A1">
        <w:rPr>
          <w:rFonts w:ascii="Times New Roman" w:hAnsi="Times New Roman" w:cs="Times New Roman"/>
          <w:sz w:val="20"/>
          <w:szCs w:val="20"/>
        </w:rPr>
        <w:t>; N</w:t>
      </w:r>
      <w:r w:rsidR="00C07F21" w:rsidRPr="004E26A1">
        <w:rPr>
          <w:rFonts w:ascii="Times New Roman" w:hAnsi="Times New Roman" w:cs="Times New Roman"/>
          <w:sz w:val="20"/>
          <w:szCs w:val="20"/>
        </w:rPr>
        <w:t>:</w:t>
      </w:r>
      <w:r w:rsidRPr="004E26A1">
        <w:rPr>
          <w:rFonts w:ascii="Times New Roman" w:hAnsi="Times New Roman" w:cs="Times New Roman"/>
          <w:sz w:val="20"/>
          <w:szCs w:val="20"/>
        </w:rPr>
        <w:t xml:space="preserve"> </w:t>
      </w:r>
      <w:r w:rsidR="004E26A1" w:rsidRPr="004E26A1">
        <w:rPr>
          <w:rFonts w:ascii="Times New Roman" w:hAnsi="Times New Roman" w:cs="Times New Roman"/>
          <w:sz w:val="20"/>
          <w:szCs w:val="20"/>
        </w:rPr>
        <w:t>“</w:t>
      </w:r>
      <w:r w:rsidRPr="004E26A1">
        <w:rPr>
          <w:rFonts w:ascii="Times New Roman" w:hAnsi="Times New Roman" w:cs="Times New Roman"/>
          <w:sz w:val="20"/>
          <w:szCs w:val="20"/>
        </w:rPr>
        <w:t>No</w:t>
      </w:r>
      <w:r w:rsidR="004E26A1" w:rsidRPr="004E26A1">
        <w:rPr>
          <w:rFonts w:ascii="Times New Roman" w:hAnsi="Times New Roman" w:cs="Times New Roman"/>
          <w:sz w:val="20"/>
          <w:szCs w:val="20"/>
        </w:rPr>
        <w:t>”</w:t>
      </w:r>
      <w:r w:rsidR="00DB6306" w:rsidRPr="004E26A1">
        <w:rPr>
          <w:rFonts w:ascii="Times New Roman" w:hAnsi="Times New Roman" w:cs="Times New Roman"/>
          <w:sz w:val="20"/>
          <w:szCs w:val="20"/>
        </w:rPr>
        <w:t xml:space="preserve"> (0)</w:t>
      </w:r>
      <w:r w:rsidRPr="004E26A1">
        <w:rPr>
          <w:rFonts w:ascii="Times New Roman" w:hAnsi="Times New Roman" w:cs="Times New Roman"/>
          <w:sz w:val="20"/>
          <w:szCs w:val="20"/>
        </w:rPr>
        <w:t xml:space="preserve">; </w:t>
      </w:r>
      <w:r w:rsidR="00C07F21" w:rsidRPr="004E26A1">
        <w:rPr>
          <w:rFonts w:ascii="Times New Roman" w:hAnsi="Times New Roman" w:cs="Times New Roman"/>
          <w:sz w:val="20"/>
          <w:szCs w:val="20"/>
        </w:rPr>
        <w:t>U: “unclear” and N/A: “Not applicable”</w:t>
      </w:r>
      <w:bookmarkEnd w:id="2"/>
      <w:r w:rsidR="00C07F21" w:rsidRPr="004E26A1">
        <w:rPr>
          <w:rFonts w:ascii="Times New Roman" w:hAnsi="Times New Roman" w:cs="Times New Roman"/>
          <w:sz w:val="20"/>
          <w:szCs w:val="20"/>
        </w:rPr>
        <w:t xml:space="preserve">. </w:t>
      </w:r>
      <w:r w:rsidR="0064592A" w:rsidRPr="004E26A1">
        <w:rPr>
          <w:rFonts w:ascii="Times New Roman" w:hAnsi="Times New Roman" w:cs="Times New Roman"/>
          <w:sz w:val="20"/>
          <w:szCs w:val="20"/>
        </w:rPr>
        <w:t xml:space="preserve">for </w:t>
      </w:r>
      <w:r w:rsidR="00F53320" w:rsidRPr="004E26A1">
        <w:rPr>
          <w:rFonts w:ascii="Times New Roman" w:hAnsi="Times New Roman" w:cs="Times New Roman"/>
          <w:sz w:val="20"/>
          <w:szCs w:val="20"/>
        </w:rPr>
        <w:t>Quality Ratings: Poor (0 to 5), Moderate (</w:t>
      </w:r>
      <w:r w:rsidR="00FB267E" w:rsidRPr="004E26A1">
        <w:rPr>
          <w:rFonts w:ascii="Times New Roman" w:hAnsi="Times New Roman" w:cs="Times New Roman"/>
          <w:sz w:val="20"/>
          <w:szCs w:val="20"/>
        </w:rPr>
        <w:t>5</w:t>
      </w:r>
      <w:r w:rsidR="00F53320" w:rsidRPr="004E26A1">
        <w:rPr>
          <w:rFonts w:ascii="Times New Roman" w:hAnsi="Times New Roman" w:cs="Times New Roman"/>
          <w:sz w:val="20"/>
          <w:szCs w:val="20"/>
        </w:rPr>
        <w:t xml:space="preserve"> to </w:t>
      </w:r>
      <w:r w:rsidR="00FB267E" w:rsidRPr="004E26A1">
        <w:rPr>
          <w:rFonts w:ascii="Times New Roman" w:hAnsi="Times New Roman" w:cs="Times New Roman"/>
          <w:sz w:val="20"/>
          <w:szCs w:val="20"/>
        </w:rPr>
        <w:t>6</w:t>
      </w:r>
      <w:r w:rsidR="00F53320" w:rsidRPr="004E26A1">
        <w:rPr>
          <w:rFonts w:ascii="Times New Roman" w:hAnsi="Times New Roman" w:cs="Times New Roman"/>
          <w:sz w:val="20"/>
          <w:szCs w:val="20"/>
        </w:rPr>
        <w:t>), High (</w:t>
      </w:r>
      <w:r w:rsidR="00783676" w:rsidRPr="004E26A1">
        <w:rPr>
          <w:rFonts w:ascii="Times New Roman" w:hAnsi="Times New Roman" w:cs="Times New Roman"/>
          <w:sz w:val="20"/>
          <w:szCs w:val="20"/>
        </w:rPr>
        <w:t>7</w:t>
      </w:r>
      <w:r w:rsidR="00F53320" w:rsidRPr="004E26A1">
        <w:rPr>
          <w:rFonts w:ascii="Times New Roman" w:hAnsi="Times New Roman" w:cs="Times New Roman"/>
          <w:sz w:val="20"/>
          <w:szCs w:val="20"/>
        </w:rPr>
        <w:t xml:space="preserve"> to </w:t>
      </w:r>
      <w:r w:rsidR="00FB267E" w:rsidRPr="004E26A1">
        <w:rPr>
          <w:rFonts w:ascii="Times New Roman" w:hAnsi="Times New Roman" w:cs="Times New Roman"/>
          <w:sz w:val="20"/>
          <w:szCs w:val="20"/>
        </w:rPr>
        <w:t>8</w:t>
      </w:r>
      <w:r w:rsidR="00F53320" w:rsidRPr="004E26A1">
        <w:rPr>
          <w:rFonts w:ascii="Times New Roman" w:hAnsi="Times New Roman" w:cs="Times New Roman"/>
          <w:sz w:val="20"/>
          <w:szCs w:val="20"/>
        </w:rPr>
        <w:t>)</w:t>
      </w:r>
      <w:bookmarkEnd w:id="3"/>
    </w:p>
    <w:p w14:paraId="71EAB12C" w14:textId="21898610" w:rsidR="00F16965" w:rsidRPr="00783676" w:rsidRDefault="00F16965" w:rsidP="000D4A1D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  <w:r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lastRenderedPageBreak/>
        <w:t xml:space="preserve">Table 6. JBI Critical Appraisal Checklist </w:t>
      </w:r>
      <w:r w:rsidR="00B34359"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t>COHORT STUDIES</w:t>
      </w:r>
    </w:p>
    <w:tbl>
      <w:tblPr>
        <w:tblStyle w:val="TableGrid"/>
        <w:tblW w:w="11913" w:type="dxa"/>
        <w:tblInd w:w="-185" w:type="dxa"/>
        <w:tblLayout w:type="fixed"/>
        <w:tblLook w:val="0000" w:firstRow="0" w:lastRow="0" w:firstColumn="0" w:lastColumn="0" w:noHBand="0" w:noVBand="0"/>
      </w:tblPr>
      <w:tblGrid>
        <w:gridCol w:w="1164"/>
        <w:gridCol w:w="647"/>
        <w:gridCol w:w="709"/>
        <w:gridCol w:w="630"/>
        <w:gridCol w:w="720"/>
        <w:gridCol w:w="568"/>
        <w:gridCol w:w="865"/>
        <w:gridCol w:w="637"/>
        <w:gridCol w:w="900"/>
        <w:gridCol w:w="900"/>
        <w:gridCol w:w="810"/>
        <w:gridCol w:w="781"/>
        <w:gridCol w:w="1399"/>
        <w:gridCol w:w="1183"/>
      </w:tblGrid>
      <w:tr w:rsidR="00001FE3" w:rsidRPr="00783676" w14:paraId="1E36A8A2" w14:textId="1BDBA6F9" w:rsidTr="000D4A1D">
        <w:trPr>
          <w:gridBefore w:val="1"/>
          <w:gridAfter w:val="2"/>
          <w:wBefore w:w="1164" w:type="dxa"/>
          <w:wAfter w:w="2582" w:type="dxa"/>
          <w:trHeight w:val="467"/>
        </w:trPr>
        <w:tc>
          <w:tcPr>
            <w:tcW w:w="8167" w:type="dxa"/>
            <w:gridSpan w:val="11"/>
            <w:vAlign w:val="center"/>
          </w:tcPr>
          <w:p w14:paraId="4B63D469" w14:textId="5F8020B4" w:rsidR="00001FE3" w:rsidRPr="00783676" w:rsidRDefault="00001FE3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COHORT</w:t>
            </w:r>
            <w:r w:rsidRPr="0078367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prs-AF"/>
              </w:rPr>
              <w:t xml:space="preserve"> Checklist</w:t>
            </w:r>
          </w:p>
        </w:tc>
      </w:tr>
      <w:tr w:rsidR="002D0346" w:rsidRPr="00783676" w14:paraId="044DEB81" w14:textId="77777777" w:rsidTr="00C8516A">
        <w:tblPrEx>
          <w:tblLook w:val="04A0" w:firstRow="1" w:lastRow="0" w:firstColumn="1" w:lastColumn="0" w:noHBand="0" w:noVBand="1"/>
        </w:tblPrEx>
        <w:trPr>
          <w:cantSplit/>
          <w:trHeight w:val="3887"/>
        </w:trPr>
        <w:tc>
          <w:tcPr>
            <w:tcW w:w="1164" w:type="dxa"/>
            <w:vAlign w:val="center"/>
            <w:hideMark/>
          </w:tcPr>
          <w:p w14:paraId="31F01AC1" w14:textId="77777777" w:rsidR="002D0346" w:rsidRPr="00783676" w:rsidRDefault="002D0346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Author (Year and Reference)</w:t>
            </w:r>
          </w:p>
        </w:tc>
        <w:tc>
          <w:tcPr>
            <w:tcW w:w="647" w:type="dxa"/>
            <w:textDirection w:val="btLr"/>
          </w:tcPr>
          <w:p w14:paraId="633F3807" w14:textId="709F3797" w:rsidR="002D0346" w:rsidRPr="00783676" w:rsidRDefault="002D0346" w:rsidP="00A3607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1.Were the two groups similar and recruited from the same population?</w:t>
            </w:r>
          </w:p>
        </w:tc>
        <w:tc>
          <w:tcPr>
            <w:tcW w:w="709" w:type="dxa"/>
            <w:textDirection w:val="btLr"/>
          </w:tcPr>
          <w:p w14:paraId="0B553D30" w14:textId="727F334E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2.Were the exposures measured similarly to assign people to both exposed and unexposed groups?</w:t>
            </w:r>
          </w:p>
        </w:tc>
        <w:tc>
          <w:tcPr>
            <w:tcW w:w="630" w:type="dxa"/>
            <w:textDirection w:val="btLr"/>
          </w:tcPr>
          <w:p w14:paraId="60190957" w14:textId="4D23DA98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3.Was the exposure measured in a valid and reliable way?</w:t>
            </w:r>
          </w:p>
        </w:tc>
        <w:tc>
          <w:tcPr>
            <w:tcW w:w="720" w:type="dxa"/>
            <w:textDirection w:val="btLr"/>
          </w:tcPr>
          <w:p w14:paraId="3B884392" w14:textId="0422D4D1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4.Were confounding factors identified?</w:t>
            </w:r>
          </w:p>
        </w:tc>
        <w:tc>
          <w:tcPr>
            <w:tcW w:w="568" w:type="dxa"/>
            <w:textDirection w:val="btLr"/>
          </w:tcPr>
          <w:p w14:paraId="75950044" w14:textId="00CA9470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5.Were strategies to deal with confounding factors stated?</w:t>
            </w:r>
          </w:p>
        </w:tc>
        <w:tc>
          <w:tcPr>
            <w:tcW w:w="865" w:type="dxa"/>
            <w:textDirection w:val="btLr"/>
          </w:tcPr>
          <w:p w14:paraId="703834CD" w14:textId="552992B9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6.Were the groups/participants free of the outcome at the start of the study (or at the moment of exposure)?</w:t>
            </w:r>
          </w:p>
        </w:tc>
        <w:tc>
          <w:tcPr>
            <w:tcW w:w="637" w:type="dxa"/>
            <w:textDirection w:val="btLr"/>
          </w:tcPr>
          <w:p w14:paraId="59769D4A" w14:textId="76DBF464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7.Were the outcomes measured in a valid and reliable way?</w:t>
            </w:r>
          </w:p>
        </w:tc>
        <w:tc>
          <w:tcPr>
            <w:tcW w:w="900" w:type="dxa"/>
            <w:textDirection w:val="btLr"/>
          </w:tcPr>
          <w:p w14:paraId="367D0470" w14:textId="3CF11BDD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8.Was the follow up time reported and sufficient to be long enough for outcomes to occur?</w:t>
            </w:r>
          </w:p>
        </w:tc>
        <w:tc>
          <w:tcPr>
            <w:tcW w:w="900" w:type="dxa"/>
            <w:textDirection w:val="btLr"/>
          </w:tcPr>
          <w:p w14:paraId="75200D62" w14:textId="1EF50422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9.Was follow up complete, and if not, were the reasons to loss to follow up described and explored?</w:t>
            </w:r>
          </w:p>
        </w:tc>
        <w:tc>
          <w:tcPr>
            <w:tcW w:w="810" w:type="dxa"/>
            <w:textDirection w:val="btLr"/>
          </w:tcPr>
          <w:p w14:paraId="417F63CC" w14:textId="15AAD8C1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10.Were strategies to address incomplete follow up utilized?</w:t>
            </w:r>
          </w:p>
        </w:tc>
        <w:tc>
          <w:tcPr>
            <w:tcW w:w="781" w:type="dxa"/>
            <w:textDirection w:val="btLr"/>
          </w:tcPr>
          <w:p w14:paraId="4F2464D2" w14:textId="6BDE81DA" w:rsidR="002D0346" w:rsidRPr="00783676" w:rsidRDefault="002D0346" w:rsidP="002D03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sz w:val="18"/>
                <w:szCs w:val="18"/>
              </w:rPr>
              <w:t>11.Was appropriate statistical analysis used?</w:t>
            </w:r>
          </w:p>
        </w:tc>
        <w:tc>
          <w:tcPr>
            <w:tcW w:w="1399" w:type="dxa"/>
            <w:vAlign w:val="center"/>
          </w:tcPr>
          <w:p w14:paraId="69AE5A7E" w14:textId="43FFA590" w:rsidR="002D0346" w:rsidRPr="00783676" w:rsidRDefault="002D0346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b/>
                <w:bCs/>
              </w:rPr>
              <w:t>Total Points</w:t>
            </w:r>
          </w:p>
        </w:tc>
        <w:tc>
          <w:tcPr>
            <w:tcW w:w="1183" w:type="dxa"/>
            <w:vAlign w:val="center"/>
          </w:tcPr>
          <w:p w14:paraId="60D27135" w14:textId="77777777" w:rsidR="002D0346" w:rsidRPr="00783676" w:rsidRDefault="002D0346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9405E9" w:rsidRPr="00783676" w14:paraId="5ECF4DB2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</w:tcPr>
          <w:p w14:paraId="548A57C0" w14:textId="2C8E6E82" w:rsidR="009405E9" w:rsidRPr="00783676" w:rsidRDefault="009405E9" w:rsidP="009405E9">
            <w:pPr>
              <w:spacing w:after="160" w:line="278" w:lineRule="auto"/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Yang et al.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rtl/>
                <w14:ligatures w14:val="standardContextual"/>
              </w:rPr>
              <w:t xml:space="preserve"> /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2015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&lt;EndNote&gt;&lt;Cite&gt;&lt;Author&gt;Yang&lt;/Author&gt;&lt;Year&gt;2015&lt;/Year&gt;&lt;RecNum&gt;11&lt;/RecNum&gt;&lt;DisplayText&gt;[8]&lt;/DisplayText&gt;&lt;record&gt;&lt;rec-number&gt;11&lt;/rec-number&gt;&lt;foreign-keys&gt;&lt;key app="EN" db-id="x5wdexre4ep5d0efvtyvawzpe9zv9wfz0arv" timestamp="1744389127"&gt;11&lt;/key&gt;&lt;/foreign-keys&gt;&lt;ref-type name="Journal Article"&gt;17&lt;/ref-type&gt;&lt;contributors&gt;&lt;authors&gt;&lt;author&gt;Yang, Rui&lt;/author&gt;&lt;author&gt;Yang, Shuo&lt;/author&gt;&lt;author&gt;Li, Rong&lt;/author&gt;&lt;author&gt;Chen, Xinna&lt;/author&gt;&lt;author&gt;Wang, Haiyan&lt;/author&gt;&lt;author&gt;Ma, Caihong&lt;/author&gt;&lt;author&gt;Liu, Ping&lt;/author&gt;&lt;author&gt;Qiao, Jie&lt;/author&gt;&lt;/authors&gt;&lt;/contributors&gt;&lt;titles&gt;&lt;title&gt;Biochemical pregnancy and spontaneous abortion in first IVF cycles are negative predictors for subsequent cycles: an over 10,000 cases cohort study&lt;/title&gt;&lt;secondary-title&gt;Archives of gynecology and obstetrics&lt;/secondary-title&gt;&lt;/titles&gt;&lt;periodical&gt;&lt;full-title&gt;Archives of gynecology and obstetrics&lt;/full-title&gt;&lt;/periodical&gt;&lt;pages&gt;453-458&lt;/pages&gt;&lt;volume&gt;292&lt;/volume&gt;&lt;dates&gt;&lt;year&gt;2015&lt;/year&gt;&lt;/dates&gt;&lt;isbn&gt;0932-0067&lt;/isbn&gt;&lt;urls&gt;&lt;/urls&gt;&lt;/record&gt;&lt;/Cite&gt;&lt;/EndNote&gt;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[8]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647" w:type="dxa"/>
          </w:tcPr>
          <w:p w14:paraId="5A55333F" w14:textId="0E2B3A8E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119BD134" w14:textId="2B721083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0" w:type="dxa"/>
          </w:tcPr>
          <w:p w14:paraId="21B57F26" w14:textId="51F02A89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4ADBA4AE" w14:textId="7A48918F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8" w:type="dxa"/>
          </w:tcPr>
          <w:p w14:paraId="674972D0" w14:textId="34F74D4F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865" w:type="dxa"/>
          </w:tcPr>
          <w:p w14:paraId="07C679F8" w14:textId="49B4C008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637" w:type="dxa"/>
          </w:tcPr>
          <w:p w14:paraId="6441E1DA" w14:textId="4B0D0D80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4E826254" w14:textId="4ECBB80C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7B030D33" w14:textId="78608850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3F1E51D1" w14:textId="561F520B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781" w:type="dxa"/>
          </w:tcPr>
          <w:p w14:paraId="0935952C" w14:textId="6193BCAE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67A86F15" w14:textId="03902D2F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  <w:sz w:val="24"/>
                <w:szCs w:val="24"/>
              </w:rPr>
              <w:t>8/11</w:t>
            </w:r>
          </w:p>
        </w:tc>
        <w:tc>
          <w:tcPr>
            <w:tcW w:w="1183" w:type="dxa"/>
          </w:tcPr>
          <w:p w14:paraId="43BA5803" w14:textId="7558E340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</w:rPr>
              <w:t xml:space="preserve">Moderate </w:t>
            </w:r>
          </w:p>
        </w:tc>
      </w:tr>
      <w:tr w:rsidR="009405E9" w:rsidRPr="00783676" w14:paraId="16CD0BDB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</w:tcPr>
          <w:p w14:paraId="3C5060E5" w14:textId="39B4487A" w:rsidR="009405E9" w:rsidRPr="00783676" w:rsidRDefault="009405E9" w:rsidP="009405E9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 xml:space="preserve">Hu 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t>et al. /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2018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&lt;EndNote&gt;&lt;Cite&gt;&lt;Author&gt;Hu&lt;/Author&gt;&lt;Year&gt;2018&lt;/Year&gt;&lt;RecNum&gt;14&lt;/RecNum&gt;&lt;DisplayText&gt;[9]&lt;/DisplayText&gt;&lt;record&gt;&lt;rec-number&gt;14&lt;/rec-number&gt;&lt;foreign-keys&gt;&lt;key app="EN" db-id="x5wdexre4ep5d0efvtyvawzpe9zv9wfz0arv" timestamp="1744389268"&gt;14&lt;/key&gt;&lt;/foreign-keys&gt;&lt;ref-type name="Journal Article"&gt;17&lt;/ref-type&gt;&lt;contributors&gt;&lt;authors&gt;&lt;author&gt;Hu, Lingmin&lt;/author&gt;&lt;author&gt;Du, Jiangbo&lt;/author&gt;&lt;author&gt;Lv, Hong&lt;/author&gt;&lt;author&gt;Zhao, Jing&lt;/author&gt;&lt;author&gt;Chen, Mengxi&lt;/author&gt;&lt;author&gt;Wang, Yifeng&lt;/author&gt;&lt;author&gt;Wu, Fang&lt;/author&gt;&lt;author&gt;Liu, Feng&lt;/author&gt;&lt;author&gt;Chen, Xiaojiao&lt;/author&gt;&lt;author&gt;Zhang, Junqiang&lt;/author&gt;&lt;/authors&gt;&lt;/contributors&gt;&lt;titles&gt;&lt;title&gt;Influencing factors of pregnancy loss and survival probability of clinical pregnancies conceived through assisted reproductive technology&lt;/title&gt;&lt;secondary-title&gt;Reproductive Biology and Endocrinology&lt;/secondary-title&gt;&lt;/titles&gt;&lt;periodical&gt;&lt;full-title&gt;Reproductive Biology and Endocrinology&lt;/full-title&gt;&lt;/periodical&gt;&lt;pages&gt;1-12&lt;/pages&gt;&lt;volume&gt;16&lt;/volume&gt;&lt;dates&gt;&lt;year&gt;2018&lt;/year&gt;&lt;/dates&gt;&lt;urls&gt;&lt;/urls&gt;&lt;/record&gt;&lt;/Cite&gt;&lt;/EndNote&gt;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[9]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647" w:type="dxa"/>
          </w:tcPr>
          <w:p w14:paraId="72A21166" w14:textId="1470B4EE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4E825896" w14:textId="42D9C589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0" w:type="dxa"/>
          </w:tcPr>
          <w:p w14:paraId="798D46EF" w14:textId="377BDFA7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3BE733DD" w14:textId="263FDD11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8" w:type="dxa"/>
          </w:tcPr>
          <w:p w14:paraId="2FBD74A3" w14:textId="79F04C70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865" w:type="dxa"/>
          </w:tcPr>
          <w:p w14:paraId="12305268" w14:textId="3D9BB37F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637" w:type="dxa"/>
          </w:tcPr>
          <w:p w14:paraId="49D5DAD6" w14:textId="7AE99BAB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900" w:type="dxa"/>
          </w:tcPr>
          <w:p w14:paraId="2C39302A" w14:textId="7528055E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900" w:type="dxa"/>
          </w:tcPr>
          <w:p w14:paraId="28F98EBB" w14:textId="5A337F7D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13EDD76B" w14:textId="04AEBF26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81" w:type="dxa"/>
          </w:tcPr>
          <w:p w14:paraId="266DE450" w14:textId="3EE7B506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08E55CC0" w14:textId="530C5D74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eastAsia="Times New Roman" w:hAnsi="Times New Roman" w:cs="Times New Roman"/>
                <w:sz w:val="24"/>
                <w:szCs w:val="24"/>
              </w:rPr>
              <w:t>7/11</w:t>
            </w:r>
          </w:p>
        </w:tc>
        <w:tc>
          <w:tcPr>
            <w:tcW w:w="1183" w:type="dxa"/>
          </w:tcPr>
          <w:p w14:paraId="6223E9CB" w14:textId="6E12FD5E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</w:rPr>
              <w:t xml:space="preserve">Moderate </w:t>
            </w:r>
          </w:p>
        </w:tc>
      </w:tr>
      <w:tr w:rsidR="00CA34D2" w:rsidRPr="00783676" w14:paraId="59C14111" w14:textId="77777777" w:rsidTr="00C8516A">
        <w:tblPrEx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1164" w:type="dxa"/>
          </w:tcPr>
          <w:p w14:paraId="534C94BE" w14:textId="052CCE16" w:rsidR="00CA34D2" w:rsidRPr="00783676" w:rsidRDefault="00CA34D2" w:rsidP="00CA34D2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Boynukalin</w:t>
            </w:r>
            <w:proofErr w:type="spellEnd"/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 xml:space="preserve"> et al. /2020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&lt;EndNote&gt;&lt;Cite&gt;&lt;Author&gt;Boynukalin&lt;/Author&gt;&lt;Year&gt;2020&lt;/Year&gt;&lt;RecNum&gt;15&lt;/RecNum&gt;&lt;DisplayText&gt;[10]&lt;/DisplayText&gt;&lt;record&gt;&lt;rec-number&gt;15&lt;/rec-number&gt;&lt;foreign-keys&gt;&lt;key app="EN" db-id="x5wdexre4ep5d0efvtyvawzpe9zv9wfz0arv" timestamp="1744389306"&gt;15&lt;/key&gt;&lt;/foreign-keys&gt;&lt;ref-type name="Journal Article"&gt;17&lt;/ref-type&gt;&lt;contributors&gt;&lt;authors&gt;&lt;author&gt;Boynukalin, Fazilet Kubra&lt;/author&gt;&lt;author&gt;Gultomruk, Meral&lt;/author&gt;&lt;author&gt;Cavkaytar, Sabri&lt;/author&gt;&lt;author&gt;Turgut, Emre&lt;/author&gt;&lt;author&gt;Findikli, Necati&lt;/author&gt;&lt;author&gt;Serdarogullari, Munevver&lt;/author&gt;&lt;author&gt;Coban, Onder&lt;/author&gt;&lt;author&gt;Yarkiner, Zalihe&lt;/author&gt;&lt;author&gt;Rubio, Carmen&lt;/author&gt;&lt;author&gt;Bahceci, Mustafa&lt;/author&gt;&lt;/authors&gt;&lt;/contributors&gt;&lt;titles&gt;&lt;title&gt;Parameters impacting the live birth rate per transfer after frozen single euploid blastocyst transfer&lt;/title&gt;&lt;secondary-title&gt;PLoS One&lt;/secondary-title&gt;&lt;/titles&gt;&lt;periodical&gt;&lt;full-title&gt;PLoS One&lt;/full-title&gt;&lt;/periodical&gt;&lt;pages&gt;e0227619&lt;/pages&gt;&lt;volume&gt;15&lt;/volume&gt;&lt;number&gt;1&lt;/number&gt;&lt;dates&gt;&lt;year&gt;2020&lt;/year&gt;&lt;/dates&gt;&lt;isbn&gt;1932-6203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[10]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647" w:type="dxa"/>
          </w:tcPr>
          <w:p w14:paraId="3BF3221A" w14:textId="21AC4FEE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79701A8E" w14:textId="6A831967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0" w:type="dxa"/>
          </w:tcPr>
          <w:p w14:paraId="5CB7B4FE" w14:textId="42726A3F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0EA75469" w14:textId="486DB77C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568" w:type="dxa"/>
          </w:tcPr>
          <w:p w14:paraId="445DF558" w14:textId="484F90DA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865" w:type="dxa"/>
          </w:tcPr>
          <w:p w14:paraId="639A0975" w14:textId="062065FA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7" w:type="dxa"/>
          </w:tcPr>
          <w:p w14:paraId="1E3F6A5F" w14:textId="23F4CDAA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01E085FF" w14:textId="0182B2D1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1D81460E" w14:textId="0E12ABC5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4B7D2B6B" w14:textId="7D546A5C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81" w:type="dxa"/>
          </w:tcPr>
          <w:p w14:paraId="1BF77832" w14:textId="2A814B8D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03694655" w14:textId="633A337D" w:rsidR="00CA34D2" w:rsidRPr="009405E9" w:rsidRDefault="00CA34D2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eastAsia="Times New Roman" w:hAnsi="Times New Roman" w:cs="Times New Roman"/>
                <w:sz w:val="24"/>
                <w:szCs w:val="24"/>
              </w:rPr>
              <w:t>10/11</w:t>
            </w:r>
          </w:p>
        </w:tc>
        <w:tc>
          <w:tcPr>
            <w:tcW w:w="1183" w:type="dxa"/>
          </w:tcPr>
          <w:p w14:paraId="78BBDAAE" w14:textId="71113507" w:rsidR="00CA34D2" w:rsidRPr="009405E9" w:rsidRDefault="00CA34D2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CA34D2" w:rsidRPr="00783676" w14:paraId="53CE4163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</w:tcPr>
          <w:p w14:paraId="65EA0CC1" w14:textId="4833EB57" w:rsidR="00CA34D2" w:rsidRPr="00783676" w:rsidRDefault="00CA34D2" w:rsidP="00CA34D2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Li et al. /2021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&lt;EndNote&gt;&lt;Cite&gt;&lt;Author&gt;Li&lt;/Author&gt;&lt;Year&gt;2021&lt;/Year&gt;&lt;RecNum&gt;16&lt;/RecNum&gt;&lt;DisplayText&gt;[11]&lt;/DisplayText&gt;&lt;record&gt;&lt;rec-number&gt;16&lt;/rec-number&gt;&lt;foreign-keys&gt;&lt;key app="EN" db-id="x5wdexre4ep5d0efvtyvawzpe9zv9wfz0arv" timestamp="1744389359"&gt;16&lt;/key&gt;&lt;/foreign-keys&gt;&lt;ref-type name="Journal Article"&gt;17&lt;/ref-type&gt;&lt;contributors&gt;&lt;authors&gt;&lt;author&gt;Li, Fei&lt;/author&gt;&lt;author&gt;Niu, AiQin&lt;/author&gt;&lt;author&gt;Feng, XingMei&lt;/author&gt;&lt;author&gt;Yan, Ying&lt;/author&gt;&lt;author&gt;Chen, Ying&lt;/author&gt;&lt;/authors&gt;&lt;/contributors&gt;&lt;titles&gt;&lt;title&gt;The threshold effect of factors associated with spontaneous abortion in human-assisted reproductive technology&lt;/title&gt;&lt;secondary-title&gt;Scientific Reports&lt;/secondary-title&gt;&lt;/titles&gt;&lt;periodical&gt;&lt;full-title&gt;Scientific Reports&lt;/full-title&gt;&lt;/periodical&gt;&lt;pages&gt;11368&lt;/pages&gt;&lt;volume&gt;11&lt;/volume&gt;&lt;number&gt;1&lt;/number&gt;&lt;dates&gt;&lt;year&gt;2021&lt;/year&gt;&lt;/dates&gt;&lt;isbn&gt;2045-2322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[11]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647" w:type="dxa"/>
          </w:tcPr>
          <w:p w14:paraId="5EF83150" w14:textId="239B1D78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7288A4CC" w14:textId="10C6567E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0" w:type="dxa"/>
          </w:tcPr>
          <w:p w14:paraId="7F272509" w14:textId="23F0E7B5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1BC4BF16" w14:textId="18A2291B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568" w:type="dxa"/>
          </w:tcPr>
          <w:p w14:paraId="65E3695C" w14:textId="15A938CE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65" w:type="dxa"/>
          </w:tcPr>
          <w:p w14:paraId="604DDB5E" w14:textId="17F502F7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7" w:type="dxa"/>
          </w:tcPr>
          <w:p w14:paraId="70E0BA99" w14:textId="2D7F8630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7863609C" w14:textId="104BABB8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177E4992" w14:textId="420761DF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0D7F2A8F" w14:textId="30429269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81" w:type="dxa"/>
          </w:tcPr>
          <w:p w14:paraId="62905629" w14:textId="04F79D4A" w:rsidR="00CA34D2" w:rsidRPr="00CA34D2" w:rsidRDefault="00CA34D2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62D9141E" w14:textId="72A963B6" w:rsidR="00CA34D2" w:rsidRPr="009405E9" w:rsidRDefault="00CA34D2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eastAsia="Times New Roman" w:hAnsi="Times New Roman" w:cs="Times New Roman"/>
                <w:sz w:val="24"/>
                <w:szCs w:val="24"/>
              </w:rPr>
              <w:t>10/11</w:t>
            </w:r>
          </w:p>
        </w:tc>
        <w:tc>
          <w:tcPr>
            <w:tcW w:w="1183" w:type="dxa"/>
          </w:tcPr>
          <w:p w14:paraId="3CE5B7F0" w14:textId="3C2C4F9E" w:rsidR="00CA34D2" w:rsidRPr="009405E9" w:rsidRDefault="00CA34D2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EE4E2A" w:rsidRPr="00783676" w14:paraId="44B424BC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</w:tcPr>
          <w:p w14:paraId="2AAF4C95" w14:textId="18B17F2D" w:rsidR="00EE4E2A" w:rsidRPr="00783676" w:rsidRDefault="00EE4E2A" w:rsidP="00EE4E2A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Bilibio</w:t>
            </w:r>
            <w:proofErr w:type="spellEnd"/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 xml:space="preserve"> et al. / 2022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&lt;EndNote&gt;&lt;Cite&gt;&lt;Author&gt;Bilibio&lt;/Author&gt;&lt;Year&gt;2022&lt;/Year&gt;&lt;RecNum&gt;1&lt;/RecNum&gt;&lt;DisplayText&gt;[12]&lt;/DisplayText&gt;&lt;record&gt;&lt;rec-number&gt;1&lt;/rec-number&gt;&lt;foreign-keys&gt;&lt;key app="EN" db-id="x5wdexre4ep5d0efvtyvawzpe9zv9wfz0arv" timestamp="1744388581"&gt;1&lt;/key&gt;&lt;/foreign-keys&gt;&lt;ref-type name="Journal Article"&gt;17&lt;/ref-type&gt;&lt;contributors&gt;&lt;authors&gt;&lt;author&gt;Bilibio, João Paolo&lt;/author&gt;&lt;author&gt;Lorenzzoni, Pânila Longhi&lt;/author&gt;&lt;author&gt;de Oliveira, Brenda Mendes&lt;/author&gt;&lt;author&gt;Nascimento, Flora Leal&lt;/author&gt;&lt;author&gt;Meireles, Arivaldo José Conceição&lt;/author&gt;&lt;author&gt;do Nascimento, Fábio Costa&lt;/author&gt;&lt;/authors&gt;&lt;/contributors&gt;&lt;titles&gt;&lt;title&gt;Associations among morphological parameters, clinical factors and euploid blastocyst formation&lt;/title&gt;&lt;secondary-title&gt;JBRA Assisted Reproduction&lt;/secondary-title&gt;&lt;/titles&gt;&lt;periodical&gt;&lt;full-title&gt;JBRA Assisted Reproduction&lt;/full-title&gt;&lt;/periodical&gt;&lt;pages&gt;199&lt;/pages&gt;&lt;volume&gt;26&lt;/volume&gt;&lt;number&gt;2&lt;/number&gt;&lt;dates&gt;&lt;year&gt;2022&lt;/year&gt;&lt;/dates&gt;&lt;urls&gt;&lt;/urls&gt;&lt;/record&gt;&lt;/Cite&gt;&lt;/EndNote&gt;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[12]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647" w:type="dxa"/>
          </w:tcPr>
          <w:p w14:paraId="2219ACE6" w14:textId="125274A3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4E0AB2F2" w14:textId="25DFD370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630" w:type="dxa"/>
          </w:tcPr>
          <w:p w14:paraId="0B7FBB05" w14:textId="33F62017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3E365EC5" w14:textId="2A3CA520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568" w:type="dxa"/>
          </w:tcPr>
          <w:p w14:paraId="46DE8EFF" w14:textId="73978D05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65" w:type="dxa"/>
          </w:tcPr>
          <w:p w14:paraId="6320A7E6" w14:textId="2A8CDD6F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7" w:type="dxa"/>
          </w:tcPr>
          <w:p w14:paraId="0B9F3097" w14:textId="7917A697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7517BFD5" w14:textId="1B5EE2B2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2B274A50" w14:textId="222B999D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57BFE0D7" w14:textId="7DB0D26E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81" w:type="dxa"/>
          </w:tcPr>
          <w:p w14:paraId="77216D5F" w14:textId="0385C139" w:rsidR="00EE4E2A" w:rsidRPr="00CA34D2" w:rsidRDefault="00EE4E2A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1D5AA353" w14:textId="5CB61A57" w:rsidR="00EE4E2A" w:rsidRPr="009405E9" w:rsidRDefault="00C8516A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eastAsia="Times New Roman" w:hAnsi="Times New Roman" w:cs="Times New Roman"/>
                <w:sz w:val="24"/>
                <w:szCs w:val="24"/>
              </w:rPr>
              <w:t>8/11</w:t>
            </w:r>
          </w:p>
        </w:tc>
        <w:tc>
          <w:tcPr>
            <w:tcW w:w="1183" w:type="dxa"/>
          </w:tcPr>
          <w:p w14:paraId="39386CD6" w14:textId="7BA7B9B7" w:rsidR="00EE4E2A" w:rsidRPr="009405E9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eastAsia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5B2E65" w:rsidRPr="00783676" w14:paraId="6E84C460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  <w:vAlign w:val="center"/>
          </w:tcPr>
          <w:p w14:paraId="4DF215B7" w14:textId="2A96C046" w:rsidR="005B2E65" w:rsidRPr="00783676" w:rsidRDefault="005B2E65" w:rsidP="005B2E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Shuai et al. / 2022</w:t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begin"/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instrText xml:space="preserve"> ADDIN EN.CITE &lt;EndNote&gt;&lt;Cite&gt;&lt;Author&gt;Shuai&lt;/Author&gt;&lt;Year&gt;2022&lt;/Year&gt;&lt;RecNum&gt;3&lt;/RecNum&gt;&lt;DisplayText&gt;[13]&lt;/DisplayText&gt;&lt;record&gt;&lt;rec-number&gt;3&lt;/rec-number&gt;&lt;foreign-keys&gt;&lt;key app="EN" db-id="x5wdexre4ep5d0efvtyvawzpe9zv9wfz0arv" timestamp="1744388695"&gt;3&lt;/key&gt;&lt;/foreign-keys&gt;&lt;ref-type name="Journal Article"&gt;17&lt;/ref-type&gt;&lt;contributors&gt;&lt;authors&gt;&lt;author&gt;Shuai, Jun&lt;/author&gt;&lt;author&gt;Chen, Qiao-li&lt;/author&gt;&lt;author&gt;Chen, Wen-hong&lt;/author&gt;&lt;author&gt;Liu, Wei-wei&lt;/author&gt;&lt;author&gt;Huang, Guo-ning&lt;/author&gt;&lt;author&gt;Ye, Hong&lt;/author&gt;&lt;/authors&gt;&lt;/contributors&gt;&lt;titles&gt;&lt;title&gt;Early spontaneous abortion in fresh-and frozen-embryo transfers: an analysis of over 35,000 transfer cycles&lt;/title&gt;&lt;secondary-title&gt;Frontiers in endocrinology&lt;/secondary-title&gt;&lt;/titles&gt;&lt;periodical&gt;&lt;full-title&gt;Frontiers in endocrinology&lt;/full-title&gt;&lt;/periodical&gt;&lt;pages&gt;875798&lt;/pages&gt;&lt;volume&gt;13&lt;/volume&gt;&lt;dates&gt;&lt;year&gt;2022&lt;/year&gt;&lt;/dates&gt;&lt;isbn&gt;1664-2392&lt;/isbn&gt;&lt;urls&gt;&lt;/urls&gt;&lt;/record&gt;&lt;/Cite&gt;&lt;/EndNote&gt;</w:instrText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separate"/>
            </w:r>
            <w:r w:rsidRPr="00783676">
              <w:rPr>
                <w:rFonts w:ascii="Times New Roman" w:hAnsi="Times New Roman" w:cs="Times New Roman"/>
                <w:noProof/>
                <w:color w:val="000000" w:themeColor="text1"/>
                <w:sz w:val="12"/>
                <w:szCs w:val="12"/>
              </w:rPr>
              <w:t>[13]</w:t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end"/>
            </w:r>
          </w:p>
        </w:tc>
        <w:tc>
          <w:tcPr>
            <w:tcW w:w="647" w:type="dxa"/>
          </w:tcPr>
          <w:p w14:paraId="5B37EA04" w14:textId="157A4EC5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0B1981CF" w14:textId="102C9770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0" w:type="dxa"/>
          </w:tcPr>
          <w:p w14:paraId="6C959A51" w14:textId="19BA5C30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424E1780" w14:textId="1D6F4F44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8" w:type="dxa"/>
          </w:tcPr>
          <w:p w14:paraId="48E86FED" w14:textId="780E996A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865" w:type="dxa"/>
          </w:tcPr>
          <w:p w14:paraId="181ABC8E" w14:textId="26F2D2F1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7" w:type="dxa"/>
          </w:tcPr>
          <w:p w14:paraId="6F1CC65D" w14:textId="4C933B52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3DF2BFB8" w14:textId="4757957A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24B1B8E8" w14:textId="060E3740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442348D4" w14:textId="6A6A4220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81" w:type="dxa"/>
          </w:tcPr>
          <w:p w14:paraId="18ADCBA7" w14:textId="0977C874" w:rsidR="005B2E65" w:rsidRPr="00CA34D2" w:rsidRDefault="005B2E65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510F658F" w14:textId="4A6BFBB9" w:rsidR="005B2E65" w:rsidRPr="009405E9" w:rsidRDefault="00C8516A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eastAsia="Times New Roman" w:hAnsi="Times New Roman" w:cs="Times New Roman"/>
                <w:sz w:val="24"/>
                <w:szCs w:val="24"/>
              </w:rPr>
              <w:t>10/11</w:t>
            </w:r>
          </w:p>
        </w:tc>
        <w:tc>
          <w:tcPr>
            <w:tcW w:w="1183" w:type="dxa"/>
          </w:tcPr>
          <w:p w14:paraId="56B81183" w14:textId="694C2CA2" w:rsidR="005B2E65" w:rsidRPr="009405E9" w:rsidRDefault="00CA34D2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eastAsia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9405E9" w:rsidRPr="00783676" w14:paraId="12CBB095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  <w:vAlign w:val="center"/>
          </w:tcPr>
          <w:p w14:paraId="4DB2D5F7" w14:textId="544C4522" w:rsidR="009405E9" w:rsidRPr="00783676" w:rsidRDefault="009405E9" w:rsidP="0094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Eldin et al. / 2023</w:t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begin"/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instrText xml:space="preserve"> ADDIN EN.CITE &lt;EndNote&gt;&lt;Cite&gt;&lt;Author&gt;Eldin&lt;/Author&gt;&lt;Year&gt;2023&lt;/Year&gt;&lt;RecNum&gt;6&lt;/RecNum&gt;&lt;DisplayText&gt;[14]&lt;/DisplayText&gt;&lt;record&gt;&lt;rec-number&gt;6&lt;/rec-number&gt;&lt;foreign-keys&gt;&lt;key app="EN" db-id="x5wdexre4ep5d0efvtyvawzpe9zv9wfz0arv" timestamp="1744388809"&gt;6&lt;/key&gt;&lt;/foreign-keys&gt;&lt;ref-type name="Journal Article"&gt;17&lt;/ref-type&gt;&lt;contributors&gt;&lt;authors&gt;&lt;author&gt;Eldin, A Bahaa&lt;/author&gt;&lt;author&gt;Ibrahim, M&lt;/author&gt;&lt;author&gt;Elsheikh, A&lt;/author&gt;&lt;author&gt;Awad, A&lt;/author&gt;&lt;author&gt;Elsadek, A&lt;/author&gt;&lt;author&gt;Fekry, H&lt;/author&gt;&lt;author&gt;Ali, N&lt;/author&gt;&lt;/authors&gt;&lt;/contributors&gt;&lt;titles&gt;&lt;title&gt;Insights into Early Pregnancy Demise following Intracytoplasmic Sperm Injection in Women with Unexplained Infertility&lt;/title&gt;&lt;secondary-title&gt;JBRA Assisted Reproduction&lt;/secondary-title&gt;&lt;/titles&gt;&lt;periodical&gt;&lt;full-title&gt;JBRA Assisted Reproduction&lt;/full-title&gt;&lt;/periodical&gt;&lt;pages&gt;4&lt;/pages&gt;&lt;volume&gt;27&lt;/volume&gt;&lt;number&gt;1&lt;/number&gt;&lt;dates&gt;&lt;year&gt;2023&lt;/year&gt;&lt;/dates&gt;&lt;urls&gt;&lt;/urls&gt;&lt;/record&gt;&lt;/Cite&gt;&lt;/EndNote&gt;</w:instrText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separate"/>
            </w:r>
            <w:r w:rsidRPr="00783676">
              <w:rPr>
                <w:rFonts w:ascii="Times New Roman" w:hAnsi="Times New Roman" w:cs="Times New Roman"/>
                <w:noProof/>
                <w:color w:val="000000" w:themeColor="text1"/>
                <w:sz w:val="12"/>
                <w:szCs w:val="12"/>
              </w:rPr>
              <w:t>[14]</w:t>
            </w:r>
            <w:r w:rsidRPr="0078367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end"/>
            </w:r>
          </w:p>
        </w:tc>
        <w:tc>
          <w:tcPr>
            <w:tcW w:w="647" w:type="dxa"/>
          </w:tcPr>
          <w:p w14:paraId="60C74250" w14:textId="1008B9AA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709" w:type="dxa"/>
          </w:tcPr>
          <w:p w14:paraId="5747F23E" w14:textId="5F961604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7E252609" w14:textId="6034D893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72312E96" w14:textId="79456C02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568" w:type="dxa"/>
          </w:tcPr>
          <w:p w14:paraId="63D5327E" w14:textId="14E69022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65" w:type="dxa"/>
          </w:tcPr>
          <w:p w14:paraId="04FEEB50" w14:textId="6C34129C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7" w:type="dxa"/>
          </w:tcPr>
          <w:p w14:paraId="4295FFE1" w14:textId="24BAD599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0F862DD6" w14:textId="2EA109DA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29992F14" w14:textId="7303BDAB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74AFDEEA" w14:textId="57718483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81" w:type="dxa"/>
          </w:tcPr>
          <w:p w14:paraId="1A07B03F" w14:textId="79FC6E00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34011078" w14:textId="42FABBB2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  <w:sz w:val="24"/>
                <w:szCs w:val="24"/>
              </w:rPr>
              <w:t>7/11</w:t>
            </w:r>
          </w:p>
        </w:tc>
        <w:tc>
          <w:tcPr>
            <w:tcW w:w="1183" w:type="dxa"/>
          </w:tcPr>
          <w:p w14:paraId="27E18C2F" w14:textId="56E54C20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</w:rPr>
              <w:t xml:space="preserve">Moderate </w:t>
            </w:r>
          </w:p>
        </w:tc>
      </w:tr>
      <w:tr w:rsidR="009405E9" w:rsidRPr="00783676" w14:paraId="4D49FE11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</w:tcPr>
          <w:p w14:paraId="2FDA2423" w14:textId="309009C5" w:rsidR="009405E9" w:rsidRPr="00783676" w:rsidRDefault="009405E9" w:rsidP="009405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Guo et al. / 2023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&lt;EndNote&gt;&lt;Cite&gt;&lt;Author&gt;Guo&lt;/Author&gt;&lt;Year&gt;2023&lt;/Year&gt;&lt;RecNum&gt;7&lt;/RecNum&gt;&lt;DisplayText&gt;[15]&lt;/DisplayText&gt;&lt;record&gt;&lt;rec-number&gt;7&lt;/rec-number&gt;&lt;foreign-keys&gt;&lt;key app="EN" db-id="x5wdexre4ep5d0efvtyvawzpe9zv9wfz0arv" timestamp="1744388853"&gt;7&lt;/key&gt;&lt;/foreign-keys&gt;&lt;ref-type name="Journal Article"&gt;17&lt;/ref-type&gt;&lt;contributors&gt;&lt;authors&gt;&lt;author&gt;Guo, Jun&lt;/author&gt;&lt;author&gt;Feng, Qiaoli&lt;/author&gt;&lt;author&gt;Chaemsaithong, Piya&lt;/author&gt;&lt;author&gt;Appiah, Kubi&lt;/author&gt;&lt;author&gt;Sahota, Daljit S&lt;/author&gt;&lt;author&gt;Leung, Bo Wah&lt;/author&gt;&lt;author&gt;Chung, Jacqueline P&lt;/author&gt;&lt;author&gt;Li, Tin Chiu&lt;/author&gt;&lt;author&gt;Poon, Liona C&lt;/author&gt;&lt;/authors&gt;&lt;/contributors&gt;&lt;titles&gt;&lt;title&gt;Biomarkers at 6 weeks&amp;apos; gestation in the prediction of early miscarriage in pregnancy following assisted reproductive technology&lt;/title&gt;&lt;secondary-title&gt;Acta Obstetricia et Gynecologica Scandinavica&lt;/secondary-title&gt;&lt;/titles&gt;&lt;periodical&gt;&lt;full-title&gt;Acta Obstetricia et Gynecologica Scandinavica&lt;/full-title&gt;&lt;/periodical&gt;&lt;pages&gt;1073-1083&lt;/pages&gt;&lt;volume&gt;102&lt;/volume&gt;&lt;number&gt;8&lt;/number&gt;&lt;dates&gt;&lt;year&gt;2023&lt;/year&gt;&lt;/dates&gt;&lt;isbn&gt;0001-6349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[15]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647" w:type="dxa"/>
          </w:tcPr>
          <w:p w14:paraId="5EA9250F" w14:textId="72CA1D61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19FFA231" w14:textId="5980EDC5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7EFE014C" w14:textId="1B200078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720" w:type="dxa"/>
          </w:tcPr>
          <w:p w14:paraId="7184B618" w14:textId="3FF1EC03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568" w:type="dxa"/>
          </w:tcPr>
          <w:p w14:paraId="0B4AAFBB" w14:textId="0CA0EDD4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865" w:type="dxa"/>
          </w:tcPr>
          <w:p w14:paraId="4B4459E5" w14:textId="68289E88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7" w:type="dxa"/>
          </w:tcPr>
          <w:p w14:paraId="1839928A" w14:textId="7956BC4B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73B784A2" w14:textId="50A72968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900" w:type="dxa"/>
          </w:tcPr>
          <w:p w14:paraId="62682626" w14:textId="10390F0D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508C5DD7" w14:textId="7803281B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81" w:type="dxa"/>
          </w:tcPr>
          <w:p w14:paraId="33F8D95F" w14:textId="2C269177" w:rsidR="009405E9" w:rsidRPr="00CA34D2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6CB7EA4D" w14:textId="0F46063D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  <w:sz w:val="24"/>
                <w:szCs w:val="24"/>
              </w:rPr>
              <w:t>7/11</w:t>
            </w:r>
          </w:p>
        </w:tc>
        <w:tc>
          <w:tcPr>
            <w:tcW w:w="1183" w:type="dxa"/>
          </w:tcPr>
          <w:p w14:paraId="66A46F2D" w14:textId="35A63A92" w:rsidR="009405E9" w:rsidRPr="009405E9" w:rsidRDefault="009405E9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</w:rPr>
              <w:t xml:space="preserve">Moderate </w:t>
            </w:r>
          </w:p>
        </w:tc>
      </w:tr>
      <w:tr w:rsidR="00096AD2" w:rsidRPr="00783676" w14:paraId="52AF78E3" w14:textId="77777777" w:rsidTr="00C8516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164" w:type="dxa"/>
          </w:tcPr>
          <w:p w14:paraId="2B41FEE0" w14:textId="430395AC" w:rsidR="00096AD2" w:rsidRPr="00783676" w:rsidRDefault="00096AD2" w:rsidP="00096AD2">
            <w:pPr>
              <w:spacing w:after="160" w:line="278" w:lineRule="auto"/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</w:pP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Ozer et al. / 2023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&lt;EndNote&gt;&lt;Cite&gt;&lt;Author&gt;Ozer&lt;/Author&gt;&lt;Year&gt;2023&lt;/Year&gt;&lt;RecNum&gt;8&lt;/RecNum&gt;&lt;DisplayText&gt;[16]&lt;/DisplayText&gt;&lt;record&gt;&lt;rec-number&gt;8&lt;/rec-number&gt;&lt;foreign-keys&gt;&lt;key app="EN" db-id="x5wdexre4ep5d0efvtyvawzpe9zv9wfz0arv" timestamp="1744388883"&gt;8&lt;/key&gt;&lt;/foreign-keys&gt;&lt;ref-type name="Journal Article"&gt;17&lt;/ref-type&gt;&lt;contributors&gt;&lt;authors&gt;&lt;author&gt;Ozer, Gonul&lt;/author&gt;&lt;author&gt;Akca, Aysu&lt;/author&gt;&lt;author&gt;Yuksel, Beril&lt;/author&gt;&lt;author&gt;Duzguner, Ipek&lt;/author&gt;&lt;author&gt;Pehlivanli, Ayca Cakmak&lt;/author&gt;&lt;author&gt;Kahraman, Semra&lt;/author&gt;&lt;/authors&gt;&lt;/contributors&gt;&lt;titles&gt;&lt;title&gt;Prediction of risk factors for first trimester pregnancy loss in frozen-thawed good-quality embryo transfer cycles using machine learning algorithms&lt;/title&gt;&lt;secondary-title&gt;Journal of Assisted Reproduction and Genetics&lt;/secondary-title&gt;&lt;/titles&gt;&lt;periodical&gt;&lt;full-title&gt;Journal of Assisted Reproduction and Genetics&lt;/full-title&gt;&lt;/periodical&gt;&lt;pages&gt;279-288&lt;/pages&gt;&lt;volume&gt;40&lt;/volume&gt;&lt;number&gt;2&lt;/number&gt;&lt;dates&gt;&lt;year&gt;2023&lt;/year&gt;&lt;/dates&gt;&lt;isbn&gt;1058-0468&lt;/isbn&gt;&lt;urls&gt;&lt;/urls&gt;&lt;/record&gt;&lt;/Cite&gt;&lt;/EndNote&gt;</w:instrTex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783676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[16]</w:t>
            </w:r>
            <w:r w:rsidRPr="00783676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647" w:type="dxa"/>
          </w:tcPr>
          <w:p w14:paraId="1DDB9A70" w14:textId="73B8EAC6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09" w:type="dxa"/>
          </w:tcPr>
          <w:p w14:paraId="0CC083F9" w14:textId="181391A9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0" w:type="dxa"/>
          </w:tcPr>
          <w:p w14:paraId="50938D4C" w14:textId="41C7D13E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20" w:type="dxa"/>
          </w:tcPr>
          <w:p w14:paraId="47A06C09" w14:textId="29B310FD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8" w:type="dxa"/>
          </w:tcPr>
          <w:p w14:paraId="705D5D6C" w14:textId="279A4B66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eastAsia="Times New Roman" w:hAnsi="Times New Roman" w:cs="Times New Roman"/>
              </w:rPr>
              <w:t>U</w:t>
            </w:r>
          </w:p>
        </w:tc>
        <w:tc>
          <w:tcPr>
            <w:tcW w:w="865" w:type="dxa"/>
          </w:tcPr>
          <w:p w14:paraId="48D5F55D" w14:textId="4360C6E6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37" w:type="dxa"/>
          </w:tcPr>
          <w:p w14:paraId="5332D7D0" w14:textId="72BB4AC8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608E1709" w14:textId="1630C3B5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00" w:type="dxa"/>
          </w:tcPr>
          <w:p w14:paraId="46169141" w14:textId="67D0C3B4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810" w:type="dxa"/>
          </w:tcPr>
          <w:p w14:paraId="6ACF5469" w14:textId="4EF0BF22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81" w:type="dxa"/>
          </w:tcPr>
          <w:p w14:paraId="2EE62C44" w14:textId="04E16707" w:rsidR="00096AD2" w:rsidRPr="00CA34D2" w:rsidRDefault="00096AD2" w:rsidP="00CA3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34D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399" w:type="dxa"/>
          </w:tcPr>
          <w:p w14:paraId="4F3D0ABD" w14:textId="730FD781" w:rsidR="00096AD2" w:rsidRPr="009405E9" w:rsidRDefault="00C8516A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  <w:sz w:val="24"/>
                <w:szCs w:val="24"/>
              </w:rPr>
              <w:t>10/11</w:t>
            </w:r>
          </w:p>
        </w:tc>
        <w:tc>
          <w:tcPr>
            <w:tcW w:w="1183" w:type="dxa"/>
          </w:tcPr>
          <w:p w14:paraId="73D1CCEC" w14:textId="4D028F6A" w:rsidR="00096AD2" w:rsidRPr="009405E9" w:rsidRDefault="00CA34D2" w:rsidP="00940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5E9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</w:tbl>
    <w:p w14:paraId="512D6512" w14:textId="50402187" w:rsidR="00CF484A" w:rsidRPr="004E26A1" w:rsidRDefault="004E26A1" w:rsidP="00CF484A">
      <w:pPr>
        <w:rPr>
          <w:rFonts w:ascii="Times New Roman" w:hAnsi="Times New Roman" w:cs="Times New Roman"/>
          <w:sz w:val="20"/>
          <w:szCs w:val="20"/>
        </w:rPr>
      </w:pPr>
      <w:bookmarkStart w:id="4" w:name="_Hlk196780966"/>
      <w:r w:rsidRPr="004E26A1">
        <w:rPr>
          <w:rFonts w:ascii="Times New Roman" w:hAnsi="Times New Roman" w:cs="Times New Roman"/>
          <w:sz w:val="20"/>
          <w:szCs w:val="20"/>
        </w:rPr>
        <w:t xml:space="preserve">Abbreviations: Y: “Yes” (1); N: “No” (0); U: “unclear” and N/A: “Not applicable”; </w:t>
      </w:r>
      <w:r w:rsidR="00CF484A" w:rsidRPr="004E26A1">
        <w:rPr>
          <w:rFonts w:ascii="Times New Roman" w:hAnsi="Times New Roman" w:cs="Times New Roman"/>
          <w:sz w:val="20"/>
          <w:szCs w:val="20"/>
        </w:rPr>
        <w:t xml:space="preserve">Quality Ratings: Poor (0 to </w:t>
      </w:r>
      <w:r w:rsidR="00857D57" w:rsidRPr="004E26A1">
        <w:rPr>
          <w:rFonts w:ascii="Times New Roman" w:hAnsi="Times New Roman" w:cs="Times New Roman"/>
          <w:sz w:val="20"/>
          <w:szCs w:val="20"/>
        </w:rPr>
        <w:t>6</w:t>
      </w:r>
      <w:r w:rsidR="00CF484A" w:rsidRPr="004E26A1">
        <w:rPr>
          <w:rFonts w:ascii="Times New Roman" w:hAnsi="Times New Roman" w:cs="Times New Roman"/>
          <w:sz w:val="20"/>
          <w:szCs w:val="20"/>
        </w:rPr>
        <w:t>), Moderate (</w:t>
      </w:r>
      <w:r w:rsidR="00857D57" w:rsidRPr="004E26A1">
        <w:rPr>
          <w:rFonts w:ascii="Times New Roman" w:hAnsi="Times New Roman" w:cs="Times New Roman"/>
          <w:sz w:val="20"/>
          <w:szCs w:val="20"/>
        </w:rPr>
        <w:t>7</w:t>
      </w:r>
      <w:r w:rsidR="00CF484A" w:rsidRPr="004E26A1">
        <w:rPr>
          <w:rFonts w:ascii="Times New Roman" w:hAnsi="Times New Roman" w:cs="Times New Roman"/>
          <w:sz w:val="20"/>
          <w:szCs w:val="20"/>
        </w:rPr>
        <w:t xml:space="preserve"> to </w:t>
      </w:r>
      <w:r w:rsidR="00857D57" w:rsidRPr="004E26A1">
        <w:rPr>
          <w:rFonts w:ascii="Times New Roman" w:hAnsi="Times New Roman" w:cs="Times New Roman"/>
          <w:sz w:val="20"/>
          <w:szCs w:val="20"/>
        </w:rPr>
        <w:t>9</w:t>
      </w:r>
      <w:r w:rsidR="00CF484A" w:rsidRPr="004E26A1">
        <w:rPr>
          <w:rFonts w:ascii="Times New Roman" w:hAnsi="Times New Roman" w:cs="Times New Roman"/>
          <w:sz w:val="20"/>
          <w:szCs w:val="20"/>
        </w:rPr>
        <w:t>), High (</w:t>
      </w:r>
      <w:r w:rsidR="00857D57" w:rsidRPr="004E26A1">
        <w:rPr>
          <w:rFonts w:ascii="Times New Roman" w:hAnsi="Times New Roman" w:cs="Times New Roman"/>
          <w:sz w:val="20"/>
          <w:szCs w:val="20"/>
        </w:rPr>
        <w:t>10</w:t>
      </w:r>
      <w:r w:rsidR="00CF484A" w:rsidRPr="004E26A1">
        <w:rPr>
          <w:rFonts w:ascii="Times New Roman" w:hAnsi="Times New Roman" w:cs="Times New Roman"/>
          <w:sz w:val="20"/>
          <w:szCs w:val="20"/>
        </w:rPr>
        <w:t xml:space="preserve"> to 1</w:t>
      </w:r>
      <w:r w:rsidR="00857D57" w:rsidRPr="004E26A1">
        <w:rPr>
          <w:rFonts w:ascii="Times New Roman" w:hAnsi="Times New Roman" w:cs="Times New Roman"/>
          <w:sz w:val="20"/>
          <w:szCs w:val="20"/>
        </w:rPr>
        <w:t>1</w:t>
      </w:r>
      <w:r w:rsidR="00CF484A" w:rsidRPr="004E26A1">
        <w:rPr>
          <w:rFonts w:ascii="Times New Roman" w:hAnsi="Times New Roman" w:cs="Times New Roman"/>
          <w:sz w:val="20"/>
          <w:szCs w:val="20"/>
        </w:rPr>
        <w:t>)</w:t>
      </w:r>
      <w:bookmarkEnd w:id="4"/>
    </w:p>
    <w:p w14:paraId="1DD7CB8E" w14:textId="73BF75EF" w:rsidR="00F16965" w:rsidRDefault="00F16965" w:rsidP="00F16965">
      <w:pPr>
        <w:rPr>
          <w:rFonts w:ascii="Times New Roman" w:hAnsi="Times New Roman" w:cs="Times New Roman"/>
        </w:rPr>
      </w:pPr>
    </w:p>
    <w:p w14:paraId="75F1BEB8" w14:textId="77777777" w:rsidR="004E26A1" w:rsidRPr="00783676" w:rsidRDefault="004E26A1" w:rsidP="00F16965">
      <w:pPr>
        <w:rPr>
          <w:rFonts w:ascii="Times New Roman" w:hAnsi="Times New Roman" w:cs="Times New Roman"/>
        </w:rPr>
      </w:pPr>
    </w:p>
    <w:p w14:paraId="17273C9C" w14:textId="15213CA6" w:rsidR="00F16965" w:rsidRPr="00783676" w:rsidRDefault="00F16965" w:rsidP="00F16965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  <w:r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Table 7. JBI Critical Appraisal Checklist for </w:t>
      </w:r>
      <w:r w:rsidR="009D5C2D" w:rsidRPr="00783676">
        <w:rPr>
          <w:rFonts w:ascii="Times New Roman" w:hAnsi="Times New Roman" w:cs="Times New Roman"/>
          <w:b/>
          <w:bCs/>
          <w:sz w:val="24"/>
          <w:szCs w:val="24"/>
          <w:lang w:bidi="prs-AF"/>
        </w:rPr>
        <w:t>CASE CONTROL STUDIES</w:t>
      </w:r>
    </w:p>
    <w:tbl>
      <w:tblPr>
        <w:tblStyle w:val="TableGrid"/>
        <w:tblW w:w="11924" w:type="dxa"/>
        <w:tblInd w:w="-185" w:type="dxa"/>
        <w:tblLook w:val="0000" w:firstRow="0" w:lastRow="0" w:firstColumn="0" w:lastColumn="0" w:noHBand="0" w:noVBand="0"/>
      </w:tblPr>
      <w:tblGrid>
        <w:gridCol w:w="1548"/>
        <w:gridCol w:w="804"/>
        <w:gridCol w:w="671"/>
        <w:gridCol w:w="721"/>
        <w:gridCol w:w="727"/>
        <w:gridCol w:w="761"/>
        <w:gridCol w:w="528"/>
        <w:gridCol w:w="720"/>
        <w:gridCol w:w="900"/>
        <w:gridCol w:w="803"/>
        <w:gridCol w:w="817"/>
        <w:gridCol w:w="1736"/>
        <w:gridCol w:w="1188"/>
      </w:tblGrid>
      <w:tr w:rsidR="00001FE3" w:rsidRPr="00783676" w14:paraId="69C0BA72" w14:textId="4A723D9E" w:rsidTr="004E26A1">
        <w:trPr>
          <w:gridBefore w:val="1"/>
          <w:gridAfter w:val="2"/>
          <w:wBefore w:w="1548" w:type="dxa"/>
          <w:wAfter w:w="2924" w:type="dxa"/>
          <w:trHeight w:val="870"/>
        </w:trPr>
        <w:tc>
          <w:tcPr>
            <w:tcW w:w="7452" w:type="dxa"/>
            <w:gridSpan w:val="10"/>
            <w:vAlign w:val="center"/>
          </w:tcPr>
          <w:p w14:paraId="3136E4CC" w14:textId="2EEB6060" w:rsidR="00001FE3" w:rsidRPr="00783676" w:rsidRDefault="00001FE3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CASE CONTROL Checklist</w:t>
            </w:r>
          </w:p>
        </w:tc>
      </w:tr>
      <w:tr w:rsidR="00CA28DC" w:rsidRPr="00783676" w14:paraId="7400AB61" w14:textId="77777777" w:rsidTr="004E26A1">
        <w:tblPrEx>
          <w:tblLook w:val="04A0" w:firstRow="1" w:lastRow="0" w:firstColumn="1" w:lastColumn="0" w:noHBand="0" w:noVBand="1"/>
        </w:tblPrEx>
        <w:trPr>
          <w:cantSplit/>
          <w:trHeight w:val="3887"/>
        </w:trPr>
        <w:tc>
          <w:tcPr>
            <w:tcW w:w="1548" w:type="dxa"/>
            <w:vAlign w:val="center"/>
            <w:hideMark/>
          </w:tcPr>
          <w:p w14:paraId="21BD8441" w14:textId="77777777" w:rsidR="00CA28DC" w:rsidRPr="00783676" w:rsidRDefault="00CA28DC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Author (Year and Reference)</w:t>
            </w:r>
          </w:p>
        </w:tc>
        <w:tc>
          <w:tcPr>
            <w:tcW w:w="804" w:type="dxa"/>
            <w:textDirection w:val="btLr"/>
          </w:tcPr>
          <w:p w14:paraId="7E87671C" w14:textId="3BBF5841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1.Were the groups comparable other than the presence of disease in cases or the absence of disease in controls?</w:t>
            </w:r>
          </w:p>
        </w:tc>
        <w:tc>
          <w:tcPr>
            <w:tcW w:w="671" w:type="dxa"/>
            <w:textDirection w:val="btLr"/>
          </w:tcPr>
          <w:p w14:paraId="2B8B9189" w14:textId="56150435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2.Were cases and controls matched appropriately?</w:t>
            </w:r>
          </w:p>
        </w:tc>
        <w:tc>
          <w:tcPr>
            <w:tcW w:w="721" w:type="dxa"/>
            <w:textDirection w:val="btLr"/>
          </w:tcPr>
          <w:p w14:paraId="245B120F" w14:textId="7FB97AAD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3.Were the same criteria used for identification of cases and controls?</w:t>
            </w:r>
          </w:p>
        </w:tc>
        <w:tc>
          <w:tcPr>
            <w:tcW w:w="727" w:type="dxa"/>
            <w:textDirection w:val="btLr"/>
          </w:tcPr>
          <w:p w14:paraId="54D08265" w14:textId="5AA4CB47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4.Was exposure measured in a standard, valid and reliable way?</w:t>
            </w:r>
          </w:p>
        </w:tc>
        <w:tc>
          <w:tcPr>
            <w:tcW w:w="761" w:type="dxa"/>
            <w:textDirection w:val="btLr"/>
          </w:tcPr>
          <w:p w14:paraId="5E273854" w14:textId="43B04E38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5.Was exposure measured in the same way for cases and controls?</w:t>
            </w:r>
          </w:p>
        </w:tc>
        <w:tc>
          <w:tcPr>
            <w:tcW w:w="528" w:type="dxa"/>
            <w:textDirection w:val="btLr"/>
          </w:tcPr>
          <w:p w14:paraId="21A8CDFA" w14:textId="673586D3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6.Were confounding factors identified?</w:t>
            </w:r>
          </w:p>
        </w:tc>
        <w:tc>
          <w:tcPr>
            <w:tcW w:w="720" w:type="dxa"/>
            <w:textDirection w:val="btLr"/>
          </w:tcPr>
          <w:p w14:paraId="395CBC96" w14:textId="20D22DBE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7.Were strategies to deal with confounding factors stated?</w:t>
            </w:r>
          </w:p>
        </w:tc>
        <w:tc>
          <w:tcPr>
            <w:tcW w:w="900" w:type="dxa"/>
            <w:textDirection w:val="btLr"/>
          </w:tcPr>
          <w:p w14:paraId="35BB96BE" w14:textId="3C72C0B9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8.Were outcomes assessed in a standard, valid and reliable way for cases and controls?</w:t>
            </w:r>
          </w:p>
        </w:tc>
        <w:tc>
          <w:tcPr>
            <w:tcW w:w="803" w:type="dxa"/>
            <w:textDirection w:val="btLr"/>
          </w:tcPr>
          <w:p w14:paraId="35457674" w14:textId="7E328F0B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9.Was the exposure period of interest long enough to be meaningful?</w:t>
            </w:r>
          </w:p>
        </w:tc>
        <w:tc>
          <w:tcPr>
            <w:tcW w:w="817" w:type="dxa"/>
            <w:textDirection w:val="btLr"/>
          </w:tcPr>
          <w:p w14:paraId="44DE00BB" w14:textId="12827659" w:rsidR="00CA28DC" w:rsidRPr="00783676" w:rsidRDefault="00CA28DC" w:rsidP="00CA28D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3676">
              <w:rPr>
                <w:rFonts w:ascii="Times New Roman" w:eastAsia="Times New Roman" w:hAnsi="Times New Roman" w:cs="Times New Roman"/>
                <w:sz w:val="20"/>
                <w:szCs w:val="20"/>
              </w:rPr>
              <w:t>10.Was appropriate statistical analysis used?</w:t>
            </w:r>
          </w:p>
        </w:tc>
        <w:tc>
          <w:tcPr>
            <w:tcW w:w="1736" w:type="dxa"/>
            <w:vAlign w:val="center"/>
          </w:tcPr>
          <w:p w14:paraId="7892BF1A" w14:textId="3303D66A" w:rsidR="00CA28DC" w:rsidRPr="00783676" w:rsidRDefault="00CA28DC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b/>
                <w:bCs/>
              </w:rPr>
              <w:t>Total Points</w:t>
            </w:r>
          </w:p>
        </w:tc>
        <w:tc>
          <w:tcPr>
            <w:tcW w:w="1188" w:type="dxa"/>
            <w:vAlign w:val="center"/>
          </w:tcPr>
          <w:p w14:paraId="30BA3E9C" w14:textId="77777777" w:rsidR="00CA28DC" w:rsidRPr="00783676" w:rsidRDefault="00CA28DC" w:rsidP="0022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83676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14145C" w:rsidRPr="00783676" w14:paraId="1967E1D6" w14:textId="77777777" w:rsidTr="004E26A1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548" w:type="dxa"/>
            <w:vAlign w:val="center"/>
          </w:tcPr>
          <w:p w14:paraId="58BB97BB" w14:textId="224A1396" w:rsidR="0014145C" w:rsidRPr="000E6919" w:rsidRDefault="0014145C" w:rsidP="000E6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Trindade et al. / 2022</w:t>
            </w:r>
            <w:r w:rsidRPr="000E6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begin"/>
            </w:r>
            <w:r w:rsidRPr="000E6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instrText xml:space="preserve"> ADDIN EN.CITE &lt;EndNote&gt;&lt;Cite&gt;&lt;Author&gt;Trindade&lt;/Author&gt;&lt;Year&gt;2022&lt;/Year&gt;&lt;RecNum&gt;4&lt;/RecNum&gt;&lt;DisplayText&gt;[17]&lt;/DisplayText&gt;&lt;record&gt;&lt;rec-number&gt;4&lt;/rec-number&gt;&lt;foreign-keys&gt;&lt;key app="EN" db-id="x5wdexre4ep5d0efvtyvawzpe9zv9wfz0arv" timestamp="1744388734"&gt;4&lt;/key&gt;&lt;/foreign-keys&gt;&lt;ref-type name="Journal Article"&gt;17&lt;/ref-type&gt;&lt;contributors&gt;&lt;authors&gt;&lt;author&gt;Trindade, Vanessa Devens&lt;/author&gt;&lt;author&gt;Hentschke, Marta Ribeiro&lt;/author&gt;&lt;author&gt;Dornelles, Victória Campos&lt;/author&gt;&lt;author&gt;Ferri-Guerra, Juliana&lt;/author&gt;&lt;author&gt;Kira, Ariane Tieko Frare&lt;/author&gt;&lt;author&gt;Colombo, Talita&lt;/author&gt;&lt;author&gt;Petracco, Alvaro&lt;/author&gt;&lt;author&gt;Petracco, Rafaella Gehm&lt;/author&gt;&lt;author&gt;Michelon, Joao&lt;/author&gt;&lt;author&gt;Da Costa, Bartira Ercilia Pinheiro&lt;/author&gt;&lt;/authors&gt;&lt;/contributors&gt;&lt;titles&gt;&lt;title&gt;Tubal factor, cleavage stage and more than one embryo transferred were risk factors associated with ectopic pregnancy after assisted reproductive treatment&lt;/title&gt;&lt;secondary-title&gt;JBRA assisted reproduction&lt;/secondary-title&gt;&lt;/titles&gt;&lt;periodical&gt;&lt;full-title&gt;JBRA Assisted Reproduction&lt;/full-title&gt;&lt;/periodical&gt;&lt;pages&gt;321&lt;/pages&gt;&lt;volume&gt;26&lt;/volume&gt;&lt;number&gt;2&lt;/number&gt;&lt;dates&gt;&lt;year&gt;2022&lt;/year&gt;&lt;/dates&gt;&lt;urls&gt;&lt;/urls&gt;&lt;/record&gt;&lt;/Cite&gt;&lt;/EndNote&gt;</w:instrText>
            </w:r>
            <w:r w:rsidRPr="000E6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Pr="000E6919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[17]</w:t>
            </w:r>
            <w:r w:rsidRPr="000E6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4" w:type="dxa"/>
          </w:tcPr>
          <w:p w14:paraId="2FB8C590" w14:textId="6FFEFA37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671" w:type="dxa"/>
          </w:tcPr>
          <w:p w14:paraId="5E7FFCFA" w14:textId="1FAFC168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21" w:type="dxa"/>
          </w:tcPr>
          <w:p w14:paraId="6F18F096" w14:textId="462A8DDA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727" w:type="dxa"/>
          </w:tcPr>
          <w:p w14:paraId="2AD2AEAB" w14:textId="2D1F0A28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761" w:type="dxa"/>
          </w:tcPr>
          <w:p w14:paraId="6F83997B" w14:textId="1AD55BA7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528" w:type="dxa"/>
          </w:tcPr>
          <w:p w14:paraId="26A3E8D7" w14:textId="0A6F783D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20" w:type="dxa"/>
          </w:tcPr>
          <w:p w14:paraId="487361C4" w14:textId="71647A20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00" w:type="dxa"/>
          </w:tcPr>
          <w:p w14:paraId="0D7A7BF7" w14:textId="36ADFFC8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03" w:type="dxa"/>
          </w:tcPr>
          <w:p w14:paraId="093B412D" w14:textId="4C3A73B2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17" w:type="dxa"/>
          </w:tcPr>
          <w:p w14:paraId="413FFE57" w14:textId="2D9BB06F" w:rsidR="0014145C" w:rsidRPr="000E6919" w:rsidRDefault="0014145C" w:rsidP="000E6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36" w:type="dxa"/>
          </w:tcPr>
          <w:p w14:paraId="2EF26B74" w14:textId="3F94444A" w:rsidR="0014145C" w:rsidRPr="000E6919" w:rsidRDefault="00F0564F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eastAsia="Times New Roman" w:hAnsi="Times New Roman" w:cs="Times New Roman"/>
                <w:sz w:val="20"/>
                <w:szCs w:val="20"/>
              </w:rPr>
              <w:t>7/10</w:t>
            </w:r>
          </w:p>
        </w:tc>
        <w:tc>
          <w:tcPr>
            <w:tcW w:w="1188" w:type="dxa"/>
          </w:tcPr>
          <w:p w14:paraId="251107E0" w14:textId="30B178AC" w:rsidR="0014145C" w:rsidRPr="000E6919" w:rsidRDefault="000E6919" w:rsidP="000E6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6919">
              <w:rPr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</w:p>
        </w:tc>
      </w:tr>
    </w:tbl>
    <w:p w14:paraId="5DAF780E" w14:textId="0EE04652" w:rsidR="003864B8" w:rsidRDefault="004E26A1" w:rsidP="00745FA9">
      <w:pPr>
        <w:rPr>
          <w:rFonts w:ascii="Times New Roman" w:hAnsi="Times New Roman" w:cs="Times New Roman"/>
        </w:rPr>
      </w:pPr>
      <w:r w:rsidRPr="004E26A1">
        <w:rPr>
          <w:rFonts w:ascii="Times New Roman" w:hAnsi="Times New Roman" w:cs="Times New Roman"/>
        </w:rPr>
        <w:t xml:space="preserve">Abbreviations: Y: </w:t>
      </w:r>
      <w:r>
        <w:rPr>
          <w:rFonts w:ascii="Times New Roman" w:hAnsi="Times New Roman" w:cs="Times New Roman"/>
        </w:rPr>
        <w:t>“</w:t>
      </w:r>
      <w:r w:rsidRPr="004E26A1">
        <w:rPr>
          <w:rFonts w:ascii="Times New Roman" w:hAnsi="Times New Roman" w:cs="Times New Roman"/>
        </w:rPr>
        <w:t>Yes</w:t>
      </w:r>
      <w:r>
        <w:rPr>
          <w:rFonts w:ascii="Times New Roman" w:hAnsi="Times New Roman" w:cs="Times New Roman"/>
        </w:rPr>
        <w:t>”</w:t>
      </w:r>
      <w:r w:rsidRPr="004E26A1">
        <w:rPr>
          <w:rFonts w:ascii="Times New Roman" w:hAnsi="Times New Roman" w:cs="Times New Roman"/>
        </w:rPr>
        <w:t xml:space="preserve"> (1); N: </w:t>
      </w:r>
      <w:r>
        <w:rPr>
          <w:rFonts w:ascii="Times New Roman" w:hAnsi="Times New Roman" w:cs="Times New Roman"/>
        </w:rPr>
        <w:t>“</w:t>
      </w:r>
      <w:r w:rsidRPr="004E26A1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>”</w:t>
      </w:r>
      <w:r w:rsidRPr="004E26A1">
        <w:rPr>
          <w:rFonts w:ascii="Times New Roman" w:hAnsi="Times New Roman" w:cs="Times New Roman"/>
        </w:rPr>
        <w:t xml:space="preserve"> (0); U: “unclear” and N/A: “Not applicable”</w:t>
      </w:r>
      <w:r w:rsidR="00F0564F">
        <w:rPr>
          <w:rFonts w:ascii="Times New Roman" w:hAnsi="Times New Roman" w:cs="Times New Roman"/>
        </w:rPr>
        <w:t>;</w:t>
      </w:r>
      <w:r w:rsidR="00CF484A" w:rsidRPr="00783676">
        <w:rPr>
          <w:rFonts w:ascii="Times New Roman" w:hAnsi="Times New Roman" w:cs="Times New Roman"/>
        </w:rPr>
        <w:t xml:space="preserve"> Quality Ratings: Poor (</w:t>
      </w:r>
      <w:r w:rsidR="00F0564F">
        <w:rPr>
          <w:rFonts w:ascii="Times New Roman" w:hAnsi="Times New Roman" w:cs="Times New Roman"/>
        </w:rPr>
        <w:t>0-5</w:t>
      </w:r>
      <w:r w:rsidR="00CF484A" w:rsidRPr="00783676">
        <w:rPr>
          <w:rFonts w:ascii="Times New Roman" w:hAnsi="Times New Roman" w:cs="Times New Roman"/>
        </w:rPr>
        <w:t>), Moderate (</w:t>
      </w:r>
      <w:r w:rsidR="000E6919">
        <w:rPr>
          <w:rFonts w:ascii="Times New Roman" w:hAnsi="Times New Roman" w:cs="Times New Roman"/>
        </w:rPr>
        <w:t>6-8</w:t>
      </w:r>
      <w:r w:rsidR="00CF484A" w:rsidRPr="00783676">
        <w:rPr>
          <w:rFonts w:ascii="Times New Roman" w:hAnsi="Times New Roman" w:cs="Times New Roman"/>
        </w:rPr>
        <w:t>), High (</w:t>
      </w:r>
      <w:r w:rsidR="000E6919">
        <w:rPr>
          <w:rFonts w:ascii="Times New Roman" w:hAnsi="Times New Roman" w:cs="Times New Roman"/>
        </w:rPr>
        <w:t>9-10</w:t>
      </w:r>
      <w:r w:rsidR="00CF484A" w:rsidRPr="00783676">
        <w:rPr>
          <w:rFonts w:ascii="Times New Roman" w:hAnsi="Times New Roman" w:cs="Times New Roman"/>
        </w:rPr>
        <w:t>)</w:t>
      </w:r>
    </w:p>
    <w:p w14:paraId="438F8FA3" w14:textId="77777777" w:rsidR="004E26A1" w:rsidRPr="00783676" w:rsidRDefault="004E26A1" w:rsidP="00CA65F9">
      <w:pPr>
        <w:rPr>
          <w:rFonts w:ascii="Times New Roman" w:hAnsi="Times New Roman" w:cs="Times New Roman"/>
        </w:rPr>
      </w:pPr>
    </w:p>
    <w:p w14:paraId="1CEA27EE" w14:textId="77777777" w:rsidR="00215337" w:rsidRPr="00215337" w:rsidRDefault="003864B8" w:rsidP="00215337">
      <w:pPr>
        <w:pStyle w:val="EndNoteBibliography"/>
        <w:spacing w:after="0"/>
        <w:ind w:left="720" w:hanging="720"/>
      </w:pPr>
      <w:r w:rsidRPr="00783676">
        <w:rPr>
          <w:rFonts w:ascii="Times New Roman" w:hAnsi="Times New Roman" w:cs="Times New Roman"/>
        </w:rPr>
        <w:fldChar w:fldCharType="begin"/>
      </w:r>
      <w:r w:rsidRPr="00783676">
        <w:rPr>
          <w:rFonts w:ascii="Times New Roman" w:hAnsi="Times New Roman" w:cs="Times New Roman"/>
        </w:rPr>
        <w:instrText xml:space="preserve"> ADDIN EN.REFLIST </w:instrText>
      </w:r>
      <w:r w:rsidRPr="00783676">
        <w:rPr>
          <w:rFonts w:ascii="Times New Roman" w:hAnsi="Times New Roman" w:cs="Times New Roman"/>
        </w:rPr>
        <w:fldChar w:fldCharType="separate"/>
      </w:r>
      <w:r w:rsidR="00215337" w:rsidRPr="00215337">
        <w:t>1.</w:t>
      </w:r>
      <w:r w:rsidR="00215337" w:rsidRPr="00215337">
        <w:tab/>
        <w:t xml:space="preserve">Ashrafi, M., et al., </w:t>
      </w:r>
      <w:r w:rsidR="00215337" w:rsidRPr="00215337">
        <w:rPr>
          <w:i/>
        </w:rPr>
        <w:t>Gestational diabetes mellitus risk factors in women with polycystic ovary syndrome (PCOS).</w:t>
      </w:r>
      <w:r w:rsidR="00215337" w:rsidRPr="00215337">
        <w:t xml:space="preserve"> European Journal of Obstetrics &amp; Gynecology and Reproductive Biology, 2014. </w:t>
      </w:r>
      <w:r w:rsidR="00215337" w:rsidRPr="00215337">
        <w:rPr>
          <w:b/>
        </w:rPr>
        <w:t>181</w:t>
      </w:r>
      <w:r w:rsidR="00215337" w:rsidRPr="00215337">
        <w:t>: p. 195-199.</w:t>
      </w:r>
    </w:p>
    <w:p w14:paraId="65D0A0B8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2.</w:t>
      </w:r>
      <w:r w:rsidRPr="00215337">
        <w:tab/>
        <w:t xml:space="preserve">Wang, H.-Y., et al., </w:t>
      </w:r>
      <w:r w:rsidRPr="00215337">
        <w:rPr>
          <w:i/>
        </w:rPr>
        <w:t>Epidemiological survey and risk factor analysis of recurrent spontaneous miscarriages in infertile women at large infertility centers.</w:t>
      </w:r>
      <w:r w:rsidRPr="00215337">
        <w:t xml:space="preserve"> Chinese Medical Journal, 2016. </w:t>
      </w:r>
      <w:r w:rsidRPr="00215337">
        <w:rPr>
          <w:b/>
        </w:rPr>
        <w:t>130</w:t>
      </w:r>
      <w:r w:rsidRPr="00215337">
        <w:t>(17): p. 2056-2062.</w:t>
      </w:r>
    </w:p>
    <w:p w14:paraId="0D93F544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3.</w:t>
      </w:r>
      <w:r w:rsidRPr="00215337">
        <w:tab/>
        <w:t xml:space="preserve">Wang, M., et al., </w:t>
      </w:r>
      <w:r w:rsidRPr="00215337">
        <w:rPr>
          <w:i/>
        </w:rPr>
        <w:t>Incidence and risk factors for early pregnancy loss in women with first pregnancy undergoing in vitro fertilization-embryo transfer.</w:t>
      </w:r>
      <w:r w:rsidRPr="00215337">
        <w:t xml:space="preserve"> BMC Pregnancy and Childbirth, 2022. </w:t>
      </w:r>
      <w:r w:rsidRPr="00215337">
        <w:rPr>
          <w:b/>
        </w:rPr>
        <w:t>22</w:t>
      </w:r>
      <w:r w:rsidRPr="00215337">
        <w:t>(1): p. 575.</w:t>
      </w:r>
    </w:p>
    <w:p w14:paraId="20E316E0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lastRenderedPageBreak/>
        <w:t>4.</w:t>
      </w:r>
      <w:r w:rsidRPr="00215337">
        <w:tab/>
        <w:t xml:space="preserve">Zhan, Q., et al., </w:t>
      </w:r>
      <w:r w:rsidRPr="00215337">
        <w:rPr>
          <w:i/>
        </w:rPr>
        <w:t>Establishing a predictive model for the evaluation of fecundity.</w:t>
      </w:r>
      <w:r w:rsidRPr="00215337">
        <w:t xml:space="preserve"> Journal of Obstetrics and Gynaecology Research, 2022. </w:t>
      </w:r>
      <w:r w:rsidRPr="00215337">
        <w:rPr>
          <w:b/>
        </w:rPr>
        <w:t>48</w:t>
      </w:r>
      <w:r w:rsidRPr="00215337">
        <w:t>(4): p. 987-1000.</w:t>
      </w:r>
    </w:p>
    <w:p w14:paraId="3E056ABA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5.</w:t>
      </w:r>
      <w:r w:rsidRPr="00215337">
        <w:tab/>
        <w:t xml:space="preserve">Yuan, G., et al., </w:t>
      </w:r>
      <w:r w:rsidRPr="00215337">
        <w:rPr>
          <w:i/>
        </w:rPr>
        <w:t>Prediction model for missed abortion of patients treated with IVF-ET based on XGBoost: a retrospective study.</w:t>
      </w:r>
      <w:r w:rsidRPr="00215337">
        <w:t xml:space="preserve"> PeerJ, 2023. </w:t>
      </w:r>
      <w:r w:rsidRPr="00215337">
        <w:rPr>
          <w:b/>
        </w:rPr>
        <w:t>11</w:t>
      </w:r>
      <w:r w:rsidRPr="00215337">
        <w:t>: p. e14762.</w:t>
      </w:r>
    </w:p>
    <w:p w14:paraId="066CFC09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6.</w:t>
      </w:r>
      <w:r w:rsidRPr="00215337">
        <w:tab/>
        <w:t xml:space="preserve">Ouyang, Y., et al., </w:t>
      </w:r>
      <w:r w:rsidRPr="00215337">
        <w:rPr>
          <w:i/>
        </w:rPr>
        <w:t>A simple scoring system for the prediction of early pregnancy loss developed by following 13,977 infertile patients after in vitro fertilization.</w:t>
      </w:r>
      <w:r w:rsidRPr="00215337">
        <w:t xml:space="preserve"> European Journal of Medical Research, 2023. </w:t>
      </w:r>
      <w:r w:rsidRPr="00215337">
        <w:rPr>
          <w:b/>
        </w:rPr>
        <w:t>28</w:t>
      </w:r>
      <w:r w:rsidRPr="00215337">
        <w:t>(1): p. 237.</w:t>
      </w:r>
    </w:p>
    <w:p w14:paraId="7E1D2FD4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7.</w:t>
      </w:r>
      <w:r w:rsidRPr="00215337">
        <w:tab/>
        <w:t xml:space="preserve">Zhang, M., et al., </w:t>
      </w:r>
      <w:r w:rsidRPr="00215337">
        <w:rPr>
          <w:i/>
        </w:rPr>
        <w:t>Development and validation of a visualized prediction model for early miscarriage risk in patients undergoing IVF/ICSI procedures: a real-world multi-center study.</w:t>
      </w:r>
      <w:r w:rsidRPr="00215337">
        <w:t xml:space="preserve"> Frontiers in Endocrinology, 2024. </w:t>
      </w:r>
      <w:r w:rsidRPr="00215337">
        <w:rPr>
          <w:b/>
        </w:rPr>
        <w:t>14</w:t>
      </w:r>
      <w:r w:rsidRPr="00215337">
        <w:t>: p. 1280145.</w:t>
      </w:r>
    </w:p>
    <w:p w14:paraId="3E0D5594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8.</w:t>
      </w:r>
      <w:r w:rsidRPr="00215337">
        <w:tab/>
        <w:t xml:space="preserve">Yang, R., et al., </w:t>
      </w:r>
      <w:r w:rsidRPr="00215337">
        <w:rPr>
          <w:i/>
        </w:rPr>
        <w:t>Biochemical pregnancy and spontaneous abortion in first IVF cycles are negative predictors for subsequent cycles: an over 10,000 cases cohort study.</w:t>
      </w:r>
      <w:r w:rsidRPr="00215337">
        <w:t xml:space="preserve"> Archives of gynecology and obstetrics, 2015. </w:t>
      </w:r>
      <w:r w:rsidRPr="00215337">
        <w:rPr>
          <w:b/>
        </w:rPr>
        <w:t>292</w:t>
      </w:r>
      <w:r w:rsidRPr="00215337">
        <w:t>: p. 453-458.</w:t>
      </w:r>
    </w:p>
    <w:p w14:paraId="79E918EA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9.</w:t>
      </w:r>
      <w:r w:rsidRPr="00215337">
        <w:tab/>
        <w:t xml:space="preserve">Hu, L., et al., </w:t>
      </w:r>
      <w:r w:rsidRPr="00215337">
        <w:rPr>
          <w:i/>
        </w:rPr>
        <w:t>Influencing factors of pregnancy loss and survival probability of clinical pregnancies conceived through assisted reproductive technology.</w:t>
      </w:r>
      <w:r w:rsidRPr="00215337">
        <w:t xml:space="preserve"> Reproductive Biology and Endocrinology, 2018. </w:t>
      </w:r>
      <w:r w:rsidRPr="00215337">
        <w:rPr>
          <w:b/>
        </w:rPr>
        <w:t>16</w:t>
      </w:r>
      <w:r w:rsidRPr="00215337">
        <w:t>: p. 1-12.</w:t>
      </w:r>
    </w:p>
    <w:p w14:paraId="53659E9B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10.</w:t>
      </w:r>
      <w:r w:rsidRPr="00215337">
        <w:tab/>
        <w:t xml:space="preserve">Boynukalin, F.K., et al., </w:t>
      </w:r>
      <w:r w:rsidRPr="00215337">
        <w:rPr>
          <w:i/>
        </w:rPr>
        <w:t>Parameters impacting the live birth rate per transfer after frozen single euploid blastocyst transfer.</w:t>
      </w:r>
      <w:r w:rsidRPr="00215337">
        <w:t xml:space="preserve"> PLoS One, 2020. </w:t>
      </w:r>
      <w:r w:rsidRPr="00215337">
        <w:rPr>
          <w:b/>
        </w:rPr>
        <w:t>15</w:t>
      </w:r>
      <w:r w:rsidRPr="00215337">
        <w:t>(1): p. e0227619.</w:t>
      </w:r>
    </w:p>
    <w:p w14:paraId="0E002F1C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11.</w:t>
      </w:r>
      <w:r w:rsidRPr="00215337">
        <w:tab/>
        <w:t xml:space="preserve">Li, F., et al., </w:t>
      </w:r>
      <w:r w:rsidRPr="00215337">
        <w:rPr>
          <w:i/>
        </w:rPr>
        <w:t>The threshold effect of factors associated with spontaneous abortion in human-assisted reproductive technology.</w:t>
      </w:r>
      <w:r w:rsidRPr="00215337">
        <w:t xml:space="preserve"> Scientific Reports, 2021. </w:t>
      </w:r>
      <w:r w:rsidRPr="00215337">
        <w:rPr>
          <w:b/>
        </w:rPr>
        <w:t>11</w:t>
      </w:r>
      <w:r w:rsidRPr="00215337">
        <w:t>(1): p. 11368.</w:t>
      </w:r>
    </w:p>
    <w:p w14:paraId="798A4D11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12.</w:t>
      </w:r>
      <w:r w:rsidRPr="00215337">
        <w:tab/>
        <w:t xml:space="preserve">Bilibio, J.P., et al., </w:t>
      </w:r>
      <w:r w:rsidRPr="00215337">
        <w:rPr>
          <w:i/>
        </w:rPr>
        <w:t>Associations among morphological parameters, clinical factors and euploid blastocyst formation.</w:t>
      </w:r>
      <w:r w:rsidRPr="00215337">
        <w:t xml:space="preserve"> JBRA Assisted Reproduction, 2022. </w:t>
      </w:r>
      <w:r w:rsidRPr="00215337">
        <w:rPr>
          <w:b/>
        </w:rPr>
        <w:t>26</w:t>
      </w:r>
      <w:r w:rsidRPr="00215337">
        <w:t>(2): p. 199.</w:t>
      </w:r>
    </w:p>
    <w:p w14:paraId="31E77D26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13.</w:t>
      </w:r>
      <w:r w:rsidRPr="00215337">
        <w:tab/>
        <w:t xml:space="preserve">Shuai, J., et al., </w:t>
      </w:r>
      <w:r w:rsidRPr="00215337">
        <w:rPr>
          <w:i/>
        </w:rPr>
        <w:t>Early spontaneous abortion in fresh-and frozen-embryo transfers: an analysis of over 35,000 transfer cycles.</w:t>
      </w:r>
      <w:r w:rsidRPr="00215337">
        <w:t xml:space="preserve"> Frontiers in endocrinology, 2022. </w:t>
      </w:r>
      <w:r w:rsidRPr="00215337">
        <w:rPr>
          <w:b/>
        </w:rPr>
        <w:t>13</w:t>
      </w:r>
      <w:r w:rsidRPr="00215337">
        <w:t>: p. 875798.</w:t>
      </w:r>
    </w:p>
    <w:p w14:paraId="0638A189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14.</w:t>
      </w:r>
      <w:r w:rsidRPr="00215337">
        <w:tab/>
        <w:t xml:space="preserve">Eldin, A.B., et al., </w:t>
      </w:r>
      <w:r w:rsidRPr="00215337">
        <w:rPr>
          <w:i/>
        </w:rPr>
        <w:t>Insights into Early Pregnancy Demise following Intracytoplasmic Sperm Injection in Women with Unexplained Infertility.</w:t>
      </w:r>
      <w:r w:rsidRPr="00215337">
        <w:t xml:space="preserve"> JBRA Assisted Reproduction, 2023. </w:t>
      </w:r>
      <w:r w:rsidRPr="00215337">
        <w:rPr>
          <w:b/>
        </w:rPr>
        <w:t>27</w:t>
      </w:r>
      <w:r w:rsidRPr="00215337">
        <w:t>(1): p. 4.</w:t>
      </w:r>
    </w:p>
    <w:p w14:paraId="1A5DAFFA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15.</w:t>
      </w:r>
      <w:r w:rsidRPr="00215337">
        <w:tab/>
        <w:t xml:space="preserve">Guo, J., et al., </w:t>
      </w:r>
      <w:r w:rsidRPr="00215337">
        <w:rPr>
          <w:i/>
        </w:rPr>
        <w:t>Biomarkers at 6 weeks' gestation in the prediction of early miscarriage in pregnancy following assisted reproductive technology.</w:t>
      </w:r>
      <w:r w:rsidRPr="00215337">
        <w:t xml:space="preserve"> Acta Obstetricia et Gynecologica Scandinavica, 2023. </w:t>
      </w:r>
      <w:r w:rsidRPr="00215337">
        <w:rPr>
          <w:b/>
        </w:rPr>
        <w:t>102</w:t>
      </w:r>
      <w:r w:rsidRPr="00215337">
        <w:t>(8): p. 1073-1083.</w:t>
      </w:r>
    </w:p>
    <w:p w14:paraId="06786DA0" w14:textId="77777777" w:rsidR="00215337" w:rsidRPr="00215337" w:rsidRDefault="00215337" w:rsidP="00215337">
      <w:pPr>
        <w:pStyle w:val="EndNoteBibliography"/>
        <w:spacing w:after="0"/>
        <w:ind w:left="720" w:hanging="720"/>
      </w:pPr>
      <w:r w:rsidRPr="00215337">
        <w:t>16.</w:t>
      </w:r>
      <w:r w:rsidRPr="00215337">
        <w:tab/>
        <w:t xml:space="preserve">Ozer, G., et al., </w:t>
      </w:r>
      <w:r w:rsidRPr="00215337">
        <w:rPr>
          <w:i/>
        </w:rPr>
        <w:t>Prediction of risk factors for first trimester pregnancy loss in frozen-thawed good-quality embryo transfer cycles using machine learning algorithms.</w:t>
      </w:r>
      <w:r w:rsidRPr="00215337">
        <w:t xml:space="preserve"> Journal of Assisted Reproduction and Genetics, 2023. </w:t>
      </w:r>
      <w:r w:rsidRPr="00215337">
        <w:rPr>
          <w:b/>
        </w:rPr>
        <w:t>40</w:t>
      </w:r>
      <w:r w:rsidRPr="00215337">
        <w:t>(2): p. 279-288.</w:t>
      </w:r>
    </w:p>
    <w:p w14:paraId="2A440D25" w14:textId="77777777" w:rsidR="00215337" w:rsidRPr="00215337" w:rsidRDefault="00215337" w:rsidP="00215337">
      <w:pPr>
        <w:pStyle w:val="EndNoteBibliography"/>
        <w:ind w:left="720" w:hanging="720"/>
      </w:pPr>
      <w:r w:rsidRPr="00215337">
        <w:t>17.</w:t>
      </w:r>
      <w:r w:rsidRPr="00215337">
        <w:tab/>
        <w:t xml:space="preserve">Trindade, V.D., et al., </w:t>
      </w:r>
      <w:r w:rsidRPr="00215337">
        <w:rPr>
          <w:i/>
        </w:rPr>
        <w:t>Tubal factor, cleavage stage and more than one embryo transferred were risk factors associated with ectopic pregnancy after assisted reproductive treatment.</w:t>
      </w:r>
      <w:r w:rsidRPr="00215337">
        <w:t xml:space="preserve"> JBRA assisted reproduction, 2022. </w:t>
      </w:r>
      <w:r w:rsidRPr="00215337">
        <w:rPr>
          <w:b/>
        </w:rPr>
        <w:t>26</w:t>
      </w:r>
      <w:r w:rsidRPr="00215337">
        <w:t>(2): p. 321.</w:t>
      </w:r>
    </w:p>
    <w:p w14:paraId="3B49EB29" w14:textId="3C1C71BC" w:rsidR="00F16965" w:rsidRPr="00783676" w:rsidRDefault="003864B8" w:rsidP="00215337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783676">
        <w:rPr>
          <w:rFonts w:ascii="Times New Roman" w:hAnsi="Times New Roman" w:cs="Times New Roman"/>
        </w:rPr>
        <w:fldChar w:fldCharType="end"/>
      </w:r>
    </w:p>
    <w:sectPr w:rsidR="00F16965" w:rsidRPr="00783676" w:rsidSect="00A214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746F1F"/>
    <w:multiLevelType w:val="multilevel"/>
    <w:tmpl w:val="A3CA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270108">
    <w:abstractNumId w:val="1"/>
  </w:num>
  <w:num w:numId="2" w16cid:durableId="45641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5wdexre4ep5d0efvtyvawzpe9zv9wfz0arv&quot;&gt;phase 1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/record-ids&gt;&lt;/item&gt;&lt;/Libraries&gt;"/>
  </w:docVars>
  <w:rsids>
    <w:rsidRoot w:val="00B46983"/>
    <w:rsid w:val="00001FE3"/>
    <w:rsid w:val="00036684"/>
    <w:rsid w:val="000608B1"/>
    <w:rsid w:val="00061727"/>
    <w:rsid w:val="00096AD2"/>
    <w:rsid w:val="00097B52"/>
    <w:rsid w:val="000D4A1D"/>
    <w:rsid w:val="000E6919"/>
    <w:rsid w:val="000F6CA7"/>
    <w:rsid w:val="0012018E"/>
    <w:rsid w:val="0014145C"/>
    <w:rsid w:val="00145B84"/>
    <w:rsid w:val="00164DFA"/>
    <w:rsid w:val="00215337"/>
    <w:rsid w:val="002372C2"/>
    <w:rsid w:val="00237FC8"/>
    <w:rsid w:val="002461CB"/>
    <w:rsid w:val="00265D58"/>
    <w:rsid w:val="00294CFA"/>
    <w:rsid w:val="002D0346"/>
    <w:rsid w:val="003362BB"/>
    <w:rsid w:val="00366877"/>
    <w:rsid w:val="003864B8"/>
    <w:rsid w:val="004E26A1"/>
    <w:rsid w:val="00533EC1"/>
    <w:rsid w:val="005B2E65"/>
    <w:rsid w:val="00623761"/>
    <w:rsid w:val="006319CA"/>
    <w:rsid w:val="0064592A"/>
    <w:rsid w:val="00686E3A"/>
    <w:rsid w:val="006A1D48"/>
    <w:rsid w:val="006A713E"/>
    <w:rsid w:val="006C460E"/>
    <w:rsid w:val="006E1DB9"/>
    <w:rsid w:val="006F5F86"/>
    <w:rsid w:val="00721DC6"/>
    <w:rsid w:val="00745FA9"/>
    <w:rsid w:val="007730EE"/>
    <w:rsid w:val="00783676"/>
    <w:rsid w:val="007B7EF5"/>
    <w:rsid w:val="007E387C"/>
    <w:rsid w:val="00800826"/>
    <w:rsid w:val="00805E86"/>
    <w:rsid w:val="00857D57"/>
    <w:rsid w:val="0087294F"/>
    <w:rsid w:val="008C10A4"/>
    <w:rsid w:val="00910E32"/>
    <w:rsid w:val="00913571"/>
    <w:rsid w:val="00925119"/>
    <w:rsid w:val="00934C3E"/>
    <w:rsid w:val="009405E9"/>
    <w:rsid w:val="00940B1E"/>
    <w:rsid w:val="00943BA4"/>
    <w:rsid w:val="00960297"/>
    <w:rsid w:val="00964AAE"/>
    <w:rsid w:val="009B1FF3"/>
    <w:rsid w:val="009B2048"/>
    <w:rsid w:val="009C0B33"/>
    <w:rsid w:val="009C3A89"/>
    <w:rsid w:val="009D5C2D"/>
    <w:rsid w:val="009E185D"/>
    <w:rsid w:val="00A04757"/>
    <w:rsid w:val="00A214D4"/>
    <w:rsid w:val="00A36072"/>
    <w:rsid w:val="00A361A5"/>
    <w:rsid w:val="00A55CBA"/>
    <w:rsid w:val="00B124AC"/>
    <w:rsid w:val="00B1279A"/>
    <w:rsid w:val="00B34359"/>
    <w:rsid w:val="00B46983"/>
    <w:rsid w:val="00B91EC4"/>
    <w:rsid w:val="00B96375"/>
    <w:rsid w:val="00BD1B33"/>
    <w:rsid w:val="00BF3575"/>
    <w:rsid w:val="00BF6E57"/>
    <w:rsid w:val="00C07F21"/>
    <w:rsid w:val="00C402EF"/>
    <w:rsid w:val="00C8516A"/>
    <w:rsid w:val="00C92357"/>
    <w:rsid w:val="00CA28DC"/>
    <w:rsid w:val="00CA34D2"/>
    <w:rsid w:val="00CA65F9"/>
    <w:rsid w:val="00CF484A"/>
    <w:rsid w:val="00D171F9"/>
    <w:rsid w:val="00D172FB"/>
    <w:rsid w:val="00D43853"/>
    <w:rsid w:val="00D71ECC"/>
    <w:rsid w:val="00DA3649"/>
    <w:rsid w:val="00DB168E"/>
    <w:rsid w:val="00DB6306"/>
    <w:rsid w:val="00DC6636"/>
    <w:rsid w:val="00DE50F6"/>
    <w:rsid w:val="00E75209"/>
    <w:rsid w:val="00E820D0"/>
    <w:rsid w:val="00EA66BA"/>
    <w:rsid w:val="00EC21FC"/>
    <w:rsid w:val="00EC34B0"/>
    <w:rsid w:val="00EE4E2A"/>
    <w:rsid w:val="00EF4D81"/>
    <w:rsid w:val="00F02EE6"/>
    <w:rsid w:val="00F0564F"/>
    <w:rsid w:val="00F159EA"/>
    <w:rsid w:val="00F16965"/>
    <w:rsid w:val="00F267B6"/>
    <w:rsid w:val="00F26E0D"/>
    <w:rsid w:val="00F53320"/>
    <w:rsid w:val="00F6638E"/>
    <w:rsid w:val="00F858FD"/>
    <w:rsid w:val="00FB267E"/>
    <w:rsid w:val="00FC3A4D"/>
    <w:rsid w:val="00FD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D198"/>
  <w15:chartTrackingRefBased/>
  <w15:docId w15:val="{0F055E36-02A7-417F-A25C-BE0E203F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983"/>
    <w:pPr>
      <w:spacing w:after="200" w:line="276" w:lineRule="auto"/>
    </w:pPr>
    <w:rPr>
      <w:rFonts w:ascii="Calibri" w:eastAsia="Calibri" w:hAnsi="Calibri" w:cs="Arial"/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469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4698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B46983"/>
    <w:rPr>
      <w:b/>
      <w:bCs/>
    </w:rPr>
  </w:style>
  <w:style w:type="table" w:styleId="TableGrid">
    <w:name w:val="Table Grid"/>
    <w:basedOn w:val="TableNormal"/>
    <w:uiPriority w:val="39"/>
    <w:rsid w:val="00B46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B1FF3"/>
    <w:pPr>
      <w:spacing w:after="0" w:line="240" w:lineRule="auto"/>
    </w:pPr>
    <w:rPr>
      <w:rFonts w:eastAsia="Calibri"/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3864B8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64B8"/>
    <w:rPr>
      <w:rFonts w:ascii="Calibri" w:eastAsia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3864B8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864B8"/>
    <w:rPr>
      <w:rFonts w:ascii="Calibri" w:eastAsia="Calibri" w:hAnsi="Calibri" w:cs="Calibri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0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3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55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1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4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8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31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8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4</Pages>
  <Words>3729</Words>
  <Characters>21261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Arezoo Abbasi</dc:creator>
  <cp:keywords/>
  <dc:description/>
  <cp:lastModifiedBy>admin</cp:lastModifiedBy>
  <cp:revision>65</cp:revision>
  <dcterms:created xsi:type="dcterms:W3CDTF">2024-09-30T07:27:00Z</dcterms:created>
  <dcterms:modified xsi:type="dcterms:W3CDTF">2025-05-02T06:47:00Z</dcterms:modified>
</cp:coreProperties>
</file>