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B1C90" w14:textId="77777777" w:rsidR="001475CC" w:rsidRPr="00D11E67" w:rsidRDefault="001475CC" w:rsidP="001475CC">
      <w:pPr>
        <w:spacing w:after="240" w:line="360" w:lineRule="auto"/>
        <w:rPr>
          <w:rFonts w:ascii="Times New Roman" w:hAnsi="Times New Roman" w:cs="Times New Roman"/>
          <w:b/>
          <w:bCs/>
          <w:sz w:val="24"/>
          <w:szCs w:val="24"/>
        </w:rPr>
      </w:pPr>
      <w:r w:rsidRPr="00D11E67">
        <w:rPr>
          <w:rFonts w:ascii="Times New Roman" w:hAnsi="Times New Roman" w:cs="Times New Roman"/>
          <w:b/>
          <w:bCs/>
          <w:sz w:val="24"/>
          <w:szCs w:val="24"/>
        </w:rPr>
        <w:t>Supplementary Table 1: Diagnostic performance of the nomogram under alternative probability thresholds (test set, n=76)</w:t>
      </w:r>
    </w:p>
    <w:tbl>
      <w:tblPr>
        <w:tblW w:w="5000" w:type="pct"/>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291"/>
        <w:gridCol w:w="1812"/>
        <w:gridCol w:w="1919"/>
        <w:gridCol w:w="1642"/>
        <w:gridCol w:w="1642"/>
      </w:tblGrid>
      <w:tr w:rsidR="001475CC" w:rsidRPr="00212B33" w14:paraId="2FAF32C3" w14:textId="77777777" w:rsidTr="000D17EE">
        <w:trPr>
          <w:tblHeader/>
        </w:trPr>
        <w:tc>
          <w:tcPr>
            <w:tcW w:w="0" w:type="auto"/>
            <w:tcBorders>
              <w:bottom w:val="single" w:sz="4" w:space="0" w:color="auto"/>
            </w:tcBorders>
            <w:tcMar>
              <w:top w:w="120" w:type="dxa"/>
              <w:left w:w="120" w:type="dxa"/>
              <w:bottom w:w="120" w:type="dxa"/>
              <w:right w:w="120" w:type="dxa"/>
            </w:tcMar>
            <w:vAlign w:val="center"/>
            <w:hideMark/>
          </w:tcPr>
          <w:p w14:paraId="60738180" w14:textId="77777777" w:rsidR="001475CC" w:rsidRPr="00212B33" w:rsidRDefault="001475CC" w:rsidP="000D17EE">
            <w:pPr>
              <w:spacing w:after="240" w:line="360" w:lineRule="auto"/>
              <w:rPr>
                <w:rFonts w:ascii="Times New Roman" w:hAnsi="Times New Roman" w:cs="Times New Roman"/>
                <w:b/>
                <w:bCs/>
                <w:sz w:val="24"/>
                <w:szCs w:val="24"/>
              </w:rPr>
            </w:pPr>
            <w:r w:rsidRPr="00212B33">
              <w:rPr>
                <w:rFonts w:ascii="Times New Roman" w:hAnsi="Times New Roman" w:cs="Times New Roman"/>
                <w:b/>
                <w:bCs/>
                <w:sz w:val="24"/>
                <w:szCs w:val="24"/>
              </w:rPr>
              <w:t>Threshold</w:t>
            </w:r>
          </w:p>
        </w:tc>
        <w:tc>
          <w:tcPr>
            <w:tcW w:w="0" w:type="auto"/>
            <w:tcBorders>
              <w:bottom w:val="single" w:sz="4" w:space="0" w:color="auto"/>
            </w:tcBorders>
            <w:tcMar>
              <w:top w:w="120" w:type="dxa"/>
              <w:left w:w="120" w:type="dxa"/>
              <w:bottom w:w="120" w:type="dxa"/>
              <w:right w:w="120" w:type="dxa"/>
            </w:tcMar>
            <w:vAlign w:val="center"/>
            <w:hideMark/>
          </w:tcPr>
          <w:p w14:paraId="4A3BE663" w14:textId="77777777" w:rsidR="001475CC" w:rsidRPr="00212B33" w:rsidRDefault="001475CC" w:rsidP="000D17EE">
            <w:pPr>
              <w:spacing w:after="240" w:line="360" w:lineRule="auto"/>
              <w:rPr>
                <w:rFonts w:ascii="Times New Roman" w:hAnsi="Times New Roman" w:cs="Times New Roman"/>
                <w:b/>
                <w:bCs/>
                <w:sz w:val="24"/>
                <w:szCs w:val="24"/>
              </w:rPr>
            </w:pPr>
            <w:r w:rsidRPr="00212B33">
              <w:rPr>
                <w:rFonts w:ascii="Times New Roman" w:hAnsi="Times New Roman" w:cs="Times New Roman"/>
                <w:b/>
                <w:bCs/>
                <w:sz w:val="24"/>
                <w:szCs w:val="24"/>
              </w:rPr>
              <w:t>Sensitivity (95% CI)</w:t>
            </w:r>
          </w:p>
        </w:tc>
        <w:tc>
          <w:tcPr>
            <w:tcW w:w="0" w:type="auto"/>
            <w:tcBorders>
              <w:bottom w:val="single" w:sz="4" w:space="0" w:color="auto"/>
            </w:tcBorders>
            <w:tcMar>
              <w:top w:w="120" w:type="dxa"/>
              <w:left w:w="120" w:type="dxa"/>
              <w:bottom w:w="120" w:type="dxa"/>
              <w:right w:w="120" w:type="dxa"/>
            </w:tcMar>
            <w:vAlign w:val="center"/>
            <w:hideMark/>
          </w:tcPr>
          <w:p w14:paraId="77024A77" w14:textId="77777777" w:rsidR="001475CC" w:rsidRPr="00212B33" w:rsidRDefault="001475CC" w:rsidP="000D17EE">
            <w:pPr>
              <w:spacing w:after="240" w:line="360" w:lineRule="auto"/>
              <w:rPr>
                <w:rFonts w:ascii="Times New Roman" w:hAnsi="Times New Roman" w:cs="Times New Roman"/>
                <w:b/>
                <w:bCs/>
                <w:sz w:val="24"/>
                <w:szCs w:val="24"/>
              </w:rPr>
            </w:pPr>
            <w:r w:rsidRPr="00212B33">
              <w:rPr>
                <w:rFonts w:ascii="Times New Roman" w:hAnsi="Times New Roman" w:cs="Times New Roman"/>
                <w:b/>
                <w:bCs/>
                <w:sz w:val="24"/>
                <w:szCs w:val="24"/>
              </w:rPr>
              <w:t>Specificity (95% CI)</w:t>
            </w:r>
          </w:p>
        </w:tc>
        <w:tc>
          <w:tcPr>
            <w:tcW w:w="0" w:type="auto"/>
            <w:tcBorders>
              <w:bottom w:val="single" w:sz="4" w:space="0" w:color="auto"/>
            </w:tcBorders>
            <w:tcMar>
              <w:top w:w="120" w:type="dxa"/>
              <w:left w:w="120" w:type="dxa"/>
              <w:bottom w:w="120" w:type="dxa"/>
              <w:right w:w="120" w:type="dxa"/>
            </w:tcMar>
            <w:vAlign w:val="center"/>
            <w:hideMark/>
          </w:tcPr>
          <w:p w14:paraId="2DEFA3A7" w14:textId="77777777" w:rsidR="001475CC" w:rsidRPr="00212B33" w:rsidRDefault="001475CC" w:rsidP="000D17EE">
            <w:pPr>
              <w:spacing w:after="240" w:line="360" w:lineRule="auto"/>
              <w:rPr>
                <w:rFonts w:ascii="Times New Roman" w:hAnsi="Times New Roman" w:cs="Times New Roman"/>
                <w:b/>
                <w:bCs/>
                <w:sz w:val="24"/>
                <w:szCs w:val="24"/>
              </w:rPr>
            </w:pPr>
            <w:r w:rsidRPr="00212B33">
              <w:rPr>
                <w:rFonts w:ascii="Times New Roman" w:hAnsi="Times New Roman" w:cs="Times New Roman"/>
                <w:b/>
                <w:bCs/>
                <w:sz w:val="24"/>
                <w:szCs w:val="24"/>
              </w:rPr>
              <w:t>PPV (95% CI)</w:t>
            </w:r>
          </w:p>
        </w:tc>
        <w:tc>
          <w:tcPr>
            <w:tcW w:w="0" w:type="auto"/>
            <w:tcBorders>
              <w:bottom w:val="single" w:sz="4" w:space="0" w:color="auto"/>
            </w:tcBorders>
            <w:tcMar>
              <w:top w:w="120" w:type="dxa"/>
              <w:left w:w="120" w:type="dxa"/>
              <w:bottom w:w="120" w:type="dxa"/>
              <w:right w:w="120" w:type="dxa"/>
            </w:tcMar>
            <w:vAlign w:val="center"/>
            <w:hideMark/>
          </w:tcPr>
          <w:p w14:paraId="5D661136" w14:textId="77777777" w:rsidR="001475CC" w:rsidRPr="00212B33" w:rsidRDefault="001475CC" w:rsidP="000D17EE">
            <w:pPr>
              <w:spacing w:after="240" w:line="360" w:lineRule="auto"/>
              <w:rPr>
                <w:rFonts w:ascii="Times New Roman" w:hAnsi="Times New Roman" w:cs="Times New Roman"/>
                <w:b/>
                <w:bCs/>
                <w:sz w:val="24"/>
                <w:szCs w:val="24"/>
              </w:rPr>
            </w:pPr>
            <w:r w:rsidRPr="00212B33">
              <w:rPr>
                <w:rFonts w:ascii="Times New Roman" w:hAnsi="Times New Roman" w:cs="Times New Roman"/>
                <w:b/>
                <w:bCs/>
                <w:sz w:val="24"/>
                <w:szCs w:val="24"/>
              </w:rPr>
              <w:t>NPV (95% CI)</w:t>
            </w:r>
          </w:p>
        </w:tc>
      </w:tr>
      <w:tr w:rsidR="001475CC" w:rsidRPr="00212B33" w14:paraId="766C7B87" w14:textId="77777777" w:rsidTr="000D17EE">
        <w:tc>
          <w:tcPr>
            <w:tcW w:w="0" w:type="auto"/>
            <w:tcBorders>
              <w:top w:val="single" w:sz="4" w:space="0" w:color="auto"/>
              <w:bottom w:val="nil"/>
            </w:tcBorders>
            <w:tcMar>
              <w:top w:w="120" w:type="dxa"/>
              <w:left w:w="120" w:type="dxa"/>
              <w:bottom w:w="120" w:type="dxa"/>
              <w:right w:w="120" w:type="dxa"/>
            </w:tcMar>
            <w:vAlign w:val="center"/>
            <w:hideMark/>
          </w:tcPr>
          <w:p w14:paraId="6F3B3D20"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0.3</w:t>
            </w:r>
          </w:p>
        </w:tc>
        <w:tc>
          <w:tcPr>
            <w:tcW w:w="0" w:type="auto"/>
            <w:tcBorders>
              <w:top w:val="single" w:sz="4" w:space="0" w:color="auto"/>
              <w:bottom w:val="nil"/>
            </w:tcBorders>
            <w:tcMar>
              <w:top w:w="120" w:type="dxa"/>
              <w:left w:w="120" w:type="dxa"/>
              <w:bottom w:w="120" w:type="dxa"/>
              <w:right w:w="120" w:type="dxa"/>
            </w:tcMar>
            <w:vAlign w:val="center"/>
            <w:hideMark/>
          </w:tcPr>
          <w:p w14:paraId="4EA4F01B"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0.0% (0.0%, 24.2%)</w:t>
            </w:r>
          </w:p>
        </w:tc>
        <w:tc>
          <w:tcPr>
            <w:tcW w:w="0" w:type="auto"/>
            <w:tcBorders>
              <w:top w:val="single" w:sz="4" w:space="0" w:color="auto"/>
              <w:bottom w:val="nil"/>
            </w:tcBorders>
            <w:tcMar>
              <w:top w:w="120" w:type="dxa"/>
              <w:left w:w="120" w:type="dxa"/>
              <w:bottom w:w="120" w:type="dxa"/>
              <w:right w:w="120" w:type="dxa"/>
            </w:tcMar>
            <w:vAlign w:val="center"/>
            <w:hideMark/>
          </w:tcPr>
          <w:p w14:paraId="289C22D6"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100.0% (94.3%, 100.0%)</w:t>
            </w:r>
          </w:p>
        </w:tc>
        <w:tc>
          <w:tcPr>
            <w:tcW w:w="0" w:type="auto"/>
            <w:tcBorders>
              <w:top w:val="single" w:sz="4" w:space="0" w:color="auto"/>
              <w:bottom w:val="nil"/>
            </w:tcBorders>
            <w:tcMar>
              <w:top w:w="120" w:type="dxa"/>
              <w:left w:w="120" w:type="dxa"/>
              <w:bottom w:w="120" w:type="dxa"/>
              <w:right w:w="120" w:type="dxa"/>
            </w:tcMar>
            <w:vAlign w:val="center"/>
            <w:hideMark/>
          </w:tcPr>
          <w:p w14:paraId="08F13C38"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0.0% (0.0%, 0.0%)</w:t>
            </w:r>
          </w:p>
        </w:tc>
        <w:tc>
          <w:tcPr>
            <w:tcW w:w="0" w:type="auto"/>
            <w:tcBorders>
              <w:top w:val="single" w:sz="4" w:space="0" w:color="auto"/>
              <w:bottom w:val="nil"/>
            </w:tcBorders>
            <w:tcMar>
              <w:top w:w="120" w:type="dxa"/>
              <w:left w:w="120" w:type="dxa"/>
              <w:bottom w:w="120" w:type="dxa"/>
              <w:right w:w="120" w:type="dxa"/>
            </w:tcMar>
            <w:vAlign w:val="center"/>
            <w:hideMark/>
          </w:tcPr>
          <w:p w14:paraId="299FE6F8"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84.2% (74.4%, 90.7%)</w:t>
            </w:r>
          </w:p>
        </w:tc>
      </w:tr>
      <w:tr w:rsidR="001475CC" w:rsidRPr="00212B33" w14:paraId="7D8EE1C5" w14:textId="77777777" w:rsidTr="000D17EE">
        <w:tc>
          <w:tcPr>
            <w:tcW w:w="0" w:type="auto"/>
            <w:tcBorders>
              <w:top w:val="nil"/>
            </w:tcBorders>
            <w:tcMar>
              <w:top w:w="120" w:type="dxa"/>
              <w:left w:w="120" w:type="dxa"/>
              <w:bottom w:w="120" w:type="dxa"/>
              <w:right w:w="120" w:type="dxa"/>
            </w:tcMar>
            <w:vAlign w:val="center"/>
            <w:hideMark/>
          </w:tcPr>
          <w:p w14:paraId="3ACBD62A"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0.4</w:t>
            </w:r>
          </w:p>
        </w:tc>
        <w:tc>
          <w:tcPr>
            <w:tcW w:w="0" w:type="auto"/>
            <w:tcBorders>
              <w:top w:val="nil"/>
            </w:tcBorders>
            <w:tcMar>
              <w:top w:w="120" w:type="dxa"/>
              <w:left w:w="120" w:type="dxa"/>
              <w:bottom w:w="120" w:type="dxa"/>
              <w:right w:w="120" w:type="dxa"/>
            </w:tcMar>
            <w:vAlign w:val="center"/>
            <w:hideMark/>
          </w:tcPr>
          <w:p w14:paraId="38E3E74B"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0.0% (0.0%, 24.2%)</w:t>
            </w:r>
          </w:p>
        </w:tc>
        <w:tc>
          <w:tcPr>
            <w:tcW w:w="0" w:type="auto"/>
            <w:tcBorders>
              <w:top w:val="nil"/>
            </w:tcBorders>
            <w:tcMar>
              <w:top w:w="120" w:type="dxa"/>
              <w:left w:w="120" w:type="dxa"/>
              <w:bottom w:w="120" w:type="dxa"/>
              <w:right w:w="120" w:type="dxa"/>
            </w:tcMar>
            <w:vAlign w:val="center"/>
            <w:hideMark/>
          </w:tcPr>
          <w:p w14:paraId="1A2D0084"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100.0% (94.3%, 100.0%)</w:t>
            </w:r>
          </w:p>
        </w:tc>
        <w:tc>
          <w:tcPr>
            <w:tcW w:w="0" w:type="auto"/>
            <w:tcBorders>
              <w:top w:val="nil"/>
            </w:tcBorders>
            <w:tcMar>
              <w:top w:w="120" w:type="dxa"/>
              <w:left w:w="120" w:type="dxa"/>
              <w:bottom w:w="120" w:type="dxa"/>
              <w:right w:w="120" w:type="dxa"/>
            </w:tcMar>
            <w:vAlign w:val="center"/>
            <w:hideMark/>
          </w:tcPr>
          <w:p w14:paraId="4B797A61"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0.0% (0.0%, 0.0%)</w:t>
            </w:r>
          </w:p>
        </w:tc>
        <w:tc>
          <w:tcPr>
            <w:tcW w:w="0" w:type="auto"/>
            <w:tcBorders>
              <w:top w:val="nil"/>
            </w:tcBorders>
            <w:tcMar>
              <w:top w:w="120" w:type="dxa"/>
              <w:left w:w="120" w:type="dxa"/>
              <w:bottom w:w="120" w:type="dxa"/>
              <w:right w:w="120" w:type="dxa"/>
            </w:tcMar>
            <w:vAlign w:val="center"/>
            <w:hideMark/>
          </w:tcPr>
          <w:p w14:paraId="0E58BE72"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84.2% (74.4%, 90.7%)</w:t>
            </w:r>
          </w:p>
        </w:tc>
      </w:tr>
      <w:tr w:rsidR="001475CC" w:rsidRPr="00212B33" w14:paraId="5C4DA260" w14:textId="77777777" w:rsidTr="000D17EE">
        <w:tc>
          <w:tcPr>
            <w:tcW w:w="0" w:type="auto"/>
            <w:tcMar>
              <w:top w:w="120" w:type="dxa"/>
              <w:left w:w="120" w:type="dxa"/>
              <w:bottom w:w="120" w:type="dxa"/>
              <w:right w:w="120" w:type="dxa"/>
            </w:tcMar>
            <w:vAlign w:val="center"/>
            <w:hideMark/>
          </w:tcPr>
          <w:p w14:paraId="6D7831E8"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0.5</w:t>
            </w:r>
          </w:p>
        </w:tc>
        <w:tc>
          <w:tcPr>
            <w:tcW w:w="0" w:type="auto"/>
            <w:tcMar>
              <w:top w:w="120" w:type="dxa"/>
              <w:left w:w="120" w:type="dxa"/>
              <w:bottom w:w="120" w:type="dxa"/>
              <w:right w:w="120" w:type="dxa"/>
            </w:tcMar>
            <w:vAlign w:val="center"/>
            <w:hideMark/>
          </w:tcPr>
          <w:p w14:paraId="371F8E7D"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16.7% (4.7%, 44.8%)</w:t>
            </w:r>
          </w:p>
        </w:tc>
        <w:tc>
          <w:tcPr>
            <w:tcW w:w="0" w:type="auto"/>
            <w:tcMar>
              <w:top w:w="120" w:type="dxa"/>
              <w:left w:w="120" w:type="dxa"/>
              <w:bottom w:w="120" w:type="dxa"/>
              <w:right w:w="120" w:type="dxa"/>
            </w:tcMar>
            <w:vAlign w:val="center"/>
            <w:hideMark/>
          </w:tcPr>
          <w:p w14:paraId="50AA18F7"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93.8% (85.0%, 97.5%)</w:t>
            </w:r>
          </w:p>
        </w:tc>
        <w:tc>
          <w:tcPr>
            <w:tcW w:w="0" w:type="auto"/>
            <w:tcMar>
              <w:top w:w="120" w:type="dxa"/>
              <w:left w:w="120" w:type="dxa"/>
              <w:bottom w:w="120" w:type="dxa"/>
              <w:right w:w="120" w:type="dxa"/>
            </w:tcMar>
            <w:vAlign w:val="center"/>
            <w:hideMark/>
          </w:tcPr>
          <w:p w14:paraId="288CA77B"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33.3% (9.7%, 70.0%)</w:t>
            </w:r>
          </w:p>
        </w:tc>
        <w:tc>
          <w:tcPr>
            <w:tcW w:w="0" w:type="auto"/>
            <w:tcMar>
              <w:top w:w="120" w:type="dxa"/>
              <w:left w:w="120" w:type="dxa"/>
              <w:bottom w:w="120" w:type="dxa"/>
              <w:right w:w="120" w:type="dxa"/>
            </w:tcMar>
            <w:vAlign w:val="center"/>
            <w:hideMark/>
          </w:tcPr>
          <w:p w14:paraId="3701D4CE"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85.7% (75.7%, 92.1%)</w:t>
            </w:r>
          </w:p>
        </w:tc>
      </w:tr>
      <w:tr w:rsidR="001475CC" w:rsidRPr="00212B33" w14:paraId="79248EEC" w14:textId="77777777" w:rsidTr="000D17EE">
        <w:tc>
          <w:tcPr>
            <w:tcW w:w="0" w:type="auto"/>
            <w:tcMar>
              <w:top w:w="120" w:type="dxa"/>
              <w:left w:w="120" w:type="dxa"/>
              <w:bottom w:w="120" w:type="dxa"/>
              <w:right w:w="120" w:type="dxa"/>
            </w:tcMar>
            <w:vAlign w:val="center"/>
            <w:hideMark/>
          </w:tcPr>
          <w:p w14:paraId="295B17EA"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0.6</w:t>
            </w:r>
          </w:p>
        </w:tc>
        <w:tc>
          <w:tcPr>
            <w:tcW w:w="0" w:type="auto"/>
            <w:tcMar>
              <w:top w:w="120" w:type="dxa"/>
              <w:left w:w="120" w:type="dxa"/>
              <w:bottom w:w="120" w:type="dxa"/>
              <w:right w:w="120" w:type="dxa"/>
            </w:tcMar>
            <w:vAlign w:val="center"/>
            <w:hideMark/>
          </w:tcPr>
          <w:p w14:paraId="26B13A16"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33.3% (13.8%, 60.9%)</w:t>
            </w:r>
          </w:p>
        </w:tc>
        <w:tc>
          <w:tcPr>
            <w:tcW w:w="0" w:type="auto"/>
            <w:tcMar>
              <w:top w:w="120" w:type="dxa"/>
              <w:left w:w="120" w:type="dxa"/>
              <w:bottom w:w="120" w:type="dxa"/>
              <w:right w:w="120" w:type="dxa"/>
            </w:tcMar>
            <w:vAlign w:val="center"/>
            <w:hideMark/>
          </w:tcPr>
          <w:p w14:paraId="780E1BCE"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90.6% (81.0%, 95.6%)</w:t>
            </w:r>
          </w:p>
        </w:tc>
        <w:tc>
          <w:tcPr>
            <w:tcW w:w="0" w:type="auto"/>
            <w:tcMar>
              <w:top w:w="120" w:type="dxa"/>
              <w:left w:w="120" w:type="dxa"/>
              <w:bottom w:w="120" w:type="dxa"/>
              <w:right w:w="120" w:type="dxa"/>
            </w:tcMar>
            <w:vAlign w:val="center"/>
            <w:hideMark/>
          </w:tcPr>
          <w:p w14:paraId="504DA86B"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40.0% (16.8%, 68.7%)</w:t>
            </w:r>
          </w:p>
        </w:tc>
        <w:tc>
          <w:tcPr>
            <w:tcW w:w="0" w:type="auto"/>
            <w:tcMar>
              <w:top w:w="120" w:type="dxa"/>
              <w:left w:w="120" w:type="dxa"/>
              <w:bottom w:w="120" w:type="dxa"/>
              <w:right w:w="120" w:type="dxa"/>
            </w:tcMar>
            <w:vAlign w:val="center"/>
            <w:hideMark/>
          </w:tcPr>
          <w:p w14:paraId="4E42F101"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87.9% (77.9%, 93.7%)</w:t>
            </w:r>
          </w:p>
        </w:tc>
      </w:tr>
      <w:tr w:rsidR="001475CC" w:rsidRPr="00212B33" w14:paraId="14A12D40" w14:textId="77777777" w:rsidTr="000D17EE">
        <w:tc>
          <w:tcPr>
            <w:tcW w:w="0" w:type="auto"/>
            <w:tcMar>
              <w:top w:w="120" w:type="dxa"/>
              <w:left w:w="120" w:type="dxa"/>
              <w:bottom w:w="120" w:type="dxa"/>
              <w:right w:w="120" w:type="dxa"/>
            </w:tcMar>
            <w:vAlign w:val="center"/>
            <w:hideMark/>
          </w:tcPr>
          <w:p w14:paraId="0A8BF297"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0.7</w:t>
            </w:r>
          </w:p>
        </w:tc>
        <w:tc>
          <w:tcPr>
            <w:tcW w:w="0" w:type="auto"/>
            <w:tcMar>
              <w:top w:w="120" w:type="dxa"/>
              <w:left w:w="120" w:type="dxa"/>
              <w:bottom w:w="120" w:type="dxa"/>
              <w:right w:w="120" w:type="dxa"/>
            </w:tcMar>
            <w:vAlign w:val="center"/>
            <w:hideMark/>
          </w:tcPr>
          <w:p w14:paraId="35E65243"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50.0% (25.4%, 74.6%)</w:t>
            </w:r>
          </w:p>
        </w:tc>
        <w:tc>
          <w:tcPr>
            <w:tcW w:w="0" w:type="auto"/>
            <w:tcMar>
              <w:top w:w="120" w:type="dxa"/>
              <w:left w:w="120" w:type="dxa"/>
              <w:bottom w:w="120" w:type="dxa"/>
              <w:right w:w="120" w:type="dxa"/>
            </w:tcMar>
            <w:vAlign w:val="center"/>
            <w:hideMark/>
          </w:tcPr>
          <w:p w14:paraId="5FEEB226"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79.7% (68.3%, 87.7%)</w:t>
            </w:r>
          </w:p>
        </w:tc>
        <w:tc>
          <w:tcPr>
            <w:tcW w:w="0" w:type="auto"/>
            <w:tcMar>
              <w:top w:w="120" w:type="dxa"/>
              <w:left w:w="120" w:type="dxa"/>
              <w:bottom w:w="120" w:type="dxa"/>
              <w:right w:w="120" w:type="dxa"/>
            </w:tcMar>
            <w:vAlign w:val="center"/>
            <w:hideMark/>
          </w:tcPr>
          <w:p w14:paraId="63354587"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31.6% (15.4%, 54.0%)</w:t>
            </w:r>
          </w:p>
        </w:tc>
        <w:tc>
          <w:tcPr>
            <w:tcW w:w="0" w:type="auto"/>
            <w:tcMar>
              <w:top w:w="120" w:type="dxa"/>
              <w:left w:w="120" w:type="dxa"/>
              <w:bottom w:w="120" w:type="dxa"/>
              <w:right w:w="120" w:type="dxa"/>
            </w:tcMar>
            <w:vAlign w:val="center"/>
            <w:hideMark/>
          </w:tcPr>
          <w:p w14:paraId="0DB93133" w14:textId="77777777" w:rsidR="001475CC" w:rsidRPr="00212B33" w:rsidRDefault="001475CC" w:rsidP="000D17EE">
            <w:pPr>
              <w:spacing w:after="240" w:line="360" w:lineRule="auto"/>
              <w:rPr>
                <w:rFonts w:ascii="Times New Roman" w:hAnsi="Times New Roman" w:cs="Times New Roman"/>
                <w:sz w:val="24"/>
                <w:szCs w:val="24"/>
              </w:rPr>
            </w:pPr>
            <w:r w:rsidRPr="00212B33">
              <w:rPr>
                <w:rFonts w:ascii="Times New Roman" w:hAnsi="Times New Roman" w:cs="Times New Roman"/>
                <w:sz w:val="24"/>
                <w:szCs w:val="24"/>
              </w:rPr>
              <w:t>89.5% (78.9%, 95.1%)</w:t>
            </w:r>
          </w:p>
        </w:tc>
      </w:tr>
    </w:tbl>
    <w:p w14:paraId="0C8E6A12" w14:textId="498EAA63" w:rsidR="00932DBD" w:rsidRPr="001475CC" w:rsidRDefault="001475CC" w:rsidP="001475CC">
      <w:pPr>
        <w:spacing w:after="240" w:line="360" w:lineRule="auto"/>
        <w:rPr>
          <w:rFonts w:ascii="Times New Roman" w:hAnsi="Times New Roman" w:cs="Times New Roman" w:hint="eastAsia"/>
          <w:sz w:val="24"/>
          <w:szCs w:val="24"/>
        </w:rPr>
      </w:pPr>
      <w:r w:rsidRPr="001475CC">
        <w:rPr>
          <w:rFonts w:ascii="Times New Roman" w:hAnsi="Times New Roman" w:cs="Times New Roman"/>
          <w:sz w:val="24"/>
          <w:szCs w:val="24"/>
        </w:rPr>
        <w:t>Performance metrics were calculated in the test set across different probability thresholds. The threshold of 0.5 was used as the main cutoff for the nomogram. The default threshold of 0.5 provided a clinically reasonable balance between high specificity and acceptable sensitivity for clinical practice.</w:t>
      </w:r>
    </w:p>
    <w:sectPr w:rsidR="00932DBD" w:rsidRPr="001475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D135" w14:textId="77777777" w:rsidR="00440499" w:rsidRDefault="00440499" w:rsidP="001475CC">
      <w:pPr>
        <w:rPr>
          <w:rFonts w:hint="eastAsia"/>
        </w:rPr>
      </w:pPr>
      <w:r>
        <w:separator/>
      </w:r>
    </w:p>
  </w:endnote>
  <w:endnote w:type="continuationSeparator" w:id="0">
    <w:p w14:paraId="43FAB89E" w14:textId="77777777" w:rsidR="00440499" w:rsidRDefault="00440499" w:rsidP="001475C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86771" w14:textId="77777777" w:rsidR="00440499" w:rsidRDefault="00440499" w:rsidP="001475CC">
      <w:pPr>
        <w:rPr>
          <w:rFonts w:hint="eastAsia"/>
        </w:rPr>
      </w:pPr>
      <w:r>
        <w:separator/>
      </w:r>
    </w:p>
  </w:footnote>
  <w:footnote w:type="continuationSeparator" w:id="0">
    <w:p w14:paraId="32C7CAF2" w14:textId="77777777" w:rsidR="00440499" w:rsidRDefault="00440499" w:rsidP="001475C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257"/>
    <w:rsid w:val="001475CC"/>
    <w:rsid w:val="00440499"/>
    <w:rsid w:val="00875257"/>
    <w:rsid w:val="00932DBD"/>
    <w:rsid w:val="00D260A7"/>
    <w:rsid w:val="00F3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2DC61"/>
  <w15:chartTrackingRefBased/>
  <w15:docId w15:val="{C5D43620-8331-41FB-A579-1F636273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5CC"/>
    <w:pPr>
      <w:widowControl w:val="0"/>
      <w:jc w:val="both"/>
    </w:pPr>
  </w:style>
  <w:style w:type="paragraph" w:styleId="1">
    <w:name w:val="heading 1"/>
    <w:basedOn w:val="a"/>
    <w:next w:val="a"/>
    <w:link w:val="10"/>
    <w:uiPriority w:val="9"/>
    <w:qFormat/>
    <w:rsid w:val="0087525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7525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7525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7525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75257"/>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7525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7525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7525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75257"/>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7525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7525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7525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75257"/>
    <w:rPr>
      <w:rFonts w:cstheme="majorBidi"/>
      <w:color w:val="0F4761" w:themeColor="accent1" w:themeShade="BF"/>
      <w:sz w:val="28"/>
      <w:szCs w:val="28"/>
    </w:rPr>
  </w:style>
  <w:style w:type="character" w:customStyle="1" w:styleId="50">
    <w:name w:val="标题 5 字符"/>
    <w:basedOn w:val="a0"/>
    <w:link w:val="5"/>
    <w:uiPriority w:val="9"/>
    <w:semiHidden/>
    <w:rsid w:val="00875257"/>
    <w:rPr>
      <w:rFonts w:cstheme="majorBidi"/>
      <w:color w:val="0F4761" w:themeColor="accent1" w:themeShade="BF"/>
      <w:sz w:val="24"/>
      <w:szCs w:val="24"/>
    </w:rPr>
  </w:style>
  <w:style w:type="character" w:customStyle="1" w:styleId="60">
    <w:name w:val="标题 6 字符"/>
    <w:basedOn w:val="a0"/>
    <w:link w:val="6"/>
    <w:uiPriority w:val="9"/>
    <w:semiHidden/>
    <w:rsid w:val="00875257"/>
    <w:rPr>
      <w:rFonts w:cstheme="majorBidi"/>
      <w:b/>
      <w:bCs/>
      <w:color w:val="0F4761" w:themeColor="accent1" w:themeShade="BF"/>
    </w:rPr>
  </w:style>
  <w:style w:type="character" w:customStyle="1" w:styleId="70">
    <w:name w:val="标题 7 字符"/>
    <w:basedOn w:val="a0"/>
    <w:link w:val="7"/>
    <w:uiPriority w:val="9"/>
    <w:semiHidden/>
    <w:rsid w:val="00875257"/>
    <w:rPr>
      <w:rFonts w:cstheme="majorBidi"/>
      <w:b/>
      <w:bCs/>
      <w:color w:val="595959" w:themeColor="text1" w:themeTint="A6"/>
    </w:rPr>
  </w:style>
  <w:style w:type="character" w:customStyle="1" w:styleId="80">
    <w:name w:val="标题 8 字符"/>
    <w:basedOn w:val="a0"/>
    <w:link w:val="8"/>
    <w:uiPriority w:val="9"/>
    <w:semiHidden/>
    <w:rsid w:val="00875257"/>
    <w:rPr>
      <w:rFonts w:cstheme="majorBidi"/>
      <w:color w:val="595959" w:themeColor="text1" w:themeTint="A6"/>
    </w:rPr>
  </w:style>
  <w:style w:type="character" w:customStyle="1" w:styleId="90">
    <w:name w:val="标题 9 字符"/>
    <w:basedOn w:val="a0"/>
    <w:link w:val="9"/>
    <w:uiPriority w:val="9"/>
    <w:semiHidden/>
    <w:rsid w:val="00875257"/>
    <w:rPr>
      <w:rFonts w:eastAsiaTheme="majorEastAsia" w:cstheme="majorBidi"/>
      <w:color w:val="595959" w:themeColor="text1" w:themeTint="A6"/>
    </w:rPr>
  </w:style>
  <w:style w:type="paragraph" w:styleId="a3">
    <w:name w:val="Title"/>
    <w:basedOn w:val="a"/>
    <w:next w:val="a"/>
    <w:link w:val="a4"/>
    <w:uiPriority w:val="10"/>
    <w:qFormat/>
    <w:rsid w:val="0087525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75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525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7525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5257"/>
    <w:pPr>
      <w:spacing w:before="160" w:after="160"/>
      <w:jc w:val="center"/>
    </w:pPr>
    <w:rPr>
      <w:i/>
      <w:iCs/>
      <w:color w:val="404040" w:themeColor="text1" w:themeTint="BF"/>
    </w:rPr>
  </w:style>
  <w:style w:type="character" w:customStyle="1" w:styleId="a8">
    <w:name w:val="引用 字符"/>
    <w:basedOn w:val="a0"/>
    <w:link w:val="a7"/>
    <w:uiPriority w:val="29"/>
    <w:rsid w:val="00875257"/>
    <w:rPr>
      <w:i/>
      <w:iCs/>
      <w:color w:val="404040" w:themeColor="text1" w:themeTint="BF"/>
    </w:rPr>
  </w:style>
  <w:style w:type="paragraph" w:styleId="a9">
    <w:name w:val="List Paragraph"/>
    <w:basedOn w:val="a"/>
    <w:uiPriority w:val="34"/>
    <w:qFormat/>
    <w:rsid w:val="00875257"/>
    <w:pPr>
      <w:ind w:left="720"/>
      <w:contextualSpacing/>
    </w:pPr>
  </w:style>
  <w:style w:type="character" w:styleId="aa">
    <w:name w:val="Intense Emphasis"/>
    <w:basedOn w:val="a0"/>
    <w:uiPriority w:val="21"/>
    <w:qFormat/>
    <w:rsid w:val="00875257"/>
    <w:rPr>
      <w:i/>
      <w:iCs/>
      <w:color w:val="0F4761" w:themeColor="accent1" w:themeShade="BF"/>
    </w:rPr>
  </w:style>
  <w:style w:type="paragraph" w:styleId="ab">
    <w:name w:val="Intense Quote"/>
    <w:basedOn w:val="a"/>
    <w:next w:val="a"/>
    <w:link w:val="ac"/>
    <w:uiPriority w:val="30"/>
    <w:qFormat/>
    <w:rsid w:val="00875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75257"/>
    <w:rPr>
      <w:i/>
      <w:iCs/>
      <w:color w:val="0F4761" w:themeColor="accent1" w:themeShade="BF"/>
    </w:rPr>
  </w:style>
  <w:style w:type="character" w:styleId="ad">
    <w:name w:val="Intense Reference"/>
    <w:basedOn w:val="a0"/>
    <w:uiPriority w:val="32"/>
    <w:qFormat/>
    <w:rsid w:val="00875257"/>
    <w:rPr>
      <w:b/>
      <w:bCs/>
      <w:smallCaps/>
      <w:color w:val="0F4761" w:themeColor="accent1" w:themeShade="BF"/>
      <w:spacing w:val="5"/>
    </w:rPr>
  </w:style>
  <w:style w:type="paragraph" w:styleId="ae">
    <w:name w:val="header"/>
    <w:basedOn w:val="a"/>
    <w:link w:val="af"/>
    <w:uiPriority w:val="99"/>
    <w:unhideWhenUsed/>
    <w:rsid w:val="001475CC"/>
    <w:pPr>
      <w:tabs>
        <w:tab w:val="center" w:pos="4153"/>
        <w:tab w:val="right" w:pos="8306"/>
      </w:tabs>
      <w:snapToGrid w:val="0"/>
      <w:jc w:val="center"/>
    </w:pPr>
    <w:rPr>
      <w:sz w:val="18"/>
      <w:szCs w:val="18"/>
    </w:rPr>
  </w:style>
  <w:style w:type="character" w:customStyle="1" w:styleId="af">
    <w:name w:val="页眉 字符"/>
    <w:basedOn w:val="a0"/>
    <w:link w:val="ae"/>
    <w:uiPriority w:val="99"/>
    <w:rsid w:val="001475CC"/>
    <w:rPr>
      <w:sz w:val="18"/>
      <w:szCs w:val="18"/>
    </w:rPr>
  </w:style>
  <w:style w:type="paragraph" w:styleId="af0">
    <w:name w:val="footer"/>
    <w:basedOn w:val="a"/>
    <w:link w:val="af1"/>
    <w:uiPriority w:val="99"/>
    <w:unhideWhenUsed/>
    <w:rsid w:val="001475CC"/>
    <w:pPr>
      <w:tabs>
        <w:tab w:val="center" w:pos="4153"/>
        <w:tab w:val="right" w:pos="8306"/>
      </w:tabs>
      <w:snapToGrid w:val="0"/>
      <w:jc w:val="left"/>
    </w:pPr>
    <w:rPr>
      <w:sz w:val="18"/>
      <w:szCs w:val="18"/>
    </w:rPr>
  </w:style>
  <w:style w:type="character" w:customStyle="1" w:styleId="af1">
    <w:name w:val="页脚 字符"/>
    <w:basedOn w:val="a0"/>
    <w:link w:val="af0"/>
    <w:uiPriority w:val="99"/>
    <w:rsid w:val="001475C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M16450</dc:creator>
  <cp:keywords/>
  <dc:description/>
  <cp:lastModifiedBy>M16450</cp:lastModifiedBy>
  <cp:revision>2</cp:revision>
  <dcterms:created xsi:type="dcterms:W3CDTF">2026-02-27T03:05:00Z</dcterms:created>
  <dcterms:modified xsi:type="dcterms:W3CDTF">2026-02-27T03:07:00Z</dcterms:modified>
</cp:coreProperties>
</file>