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3BBB" w14:textId="77777777" w:rsidR="00A614D7" w:rsidRPr="0062253A" w:rsidRDefault="00A614D7" w:rsidP="00A614D7">
      <w:pPr>
        <w:spacing w:after="240" w:line="360" w:lineRule="auto"/>
        <w:rPr>
          <w:rFonts w:ascii="Times New Roman" w:hAnsi="Times New Roman" w:cs="Times New Roman" w:hint="eastAsia"/>
          <w:b/>
          <w:bCs/>
          <w:sz w:val="24"/>
          <w:szCs w:val="24"/>
        </w:rPr>
      </w:pPr>
      <w:r w:rsidRPr="0062253A">
        <w:rPr>
          <w:rFonts w:ascii="Times New Roman" w:hAnsi="Times New Roman" w:cs="Times New Roman" w:hint="eastAsia"/>
          <w:b/>
          <w:bCs/>
          <w:sz w:val="24"/>
          <w:szCs w:val="24"/>
        </w:rPr>
        <w:t>Supplementary Table 2: Model Prediction Performance for Preterm Birth under the Definition of Alternative Therapeutic Effects</w:t>
      </w:r>
    </w:p>
    <w:tbl>
      <w:tblPr>
        <w:tblpPr w:leftFromText="180" w:rightFromText="180" w:vertAnchor="page" w:horzAnchor="margin" w:tblpY="2881"/>
        <w:tblW w:w="4919"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79"/>
        <w:gridCol w:w="2846"/>
        <w:gridCol w:w="2846"/>
      </w:tblGrid>
      <w:tr w:rsidR="00A614D7" w:rsidRPr="00093AA0" w14:paraId="0F1419FA" w14:textId="77777777" w:rsidTr="00A614D7">
        <w:trPr>
          <w:tblHeader/>
        </w:trPr>
        <w:tc>
          <w:tcPr>
            <w:tcW w:w="1517" w:type="pct"/>
            <w:tcBorders>
              <w:bottom w:val="single" w:sz="4" w:space="0" w:color="auto"/>
            </w:tcBorders>
            <w:tcMar>
              <w:top w:w="120" w:type="dxa"/>
              <w:left w:w="120" w:type="dxa"/>
              <w:bottom w:w="120" w:type="dxa"/>
              <w:right w:w="120" w:type="dxa"/>
            </w:tcMar>
            <w:vAlign w:val="center"/>
            <w:hideMark/>
          </w:tcPr>
          <w:p w14:paraId="65BA0C0D" w14:textId="77777777" w:rsidR="00A614D7" w:rsidRPr="00093AA0" w:rsidRDefault="00A614D7" w:rsidP="00A614D7">
            <w:pPr>
              <w:spacing w:after="240" w:line="360" w:lineRule="auto"/>
              <w:rPr>
                <w:rFonts w:ascii="Times New Roman" w:hAnsi="Times New Roman" w:cs="Times New Roman"/>
                <w:b/>
                <w:bCs/>
                <w:sz w:val="24"/>
                <w:szCs w:val="24"/>
              </w:rPr>
            </w:pPr>
            <w:r w:rsidRPr="00093AA0">
              <w:rPr>
                <w:rFonts w:ascii="Times New Roman" w:hAnsi="Times New Roman" w:cs="Times New Roman"/>
                <w:b/>
                <w:bCs/>
                <w:sz w:val="24"/>
                <w:szCs w:val="24"/>
              </w:rPr>
              <w:t>Performance Metric</w:t>
            </w:r>
          </w:p>
        </w:tc>
        <w:tc>
          <w:tcPr>
            <w:tcW w:w="0" w:type="auto"/>
            <w:tcBorders>
              <w:bottom w:val="single" w:sz="4" w:space="0" w:color="auto"/>
            </w:tcBorders>
            <w:tcMar>
              <w:top w:w="120" w:type="dxa"/>
              <w:left w:w="120" w:type="dxa"/>
              <w:bottom w:w="120" w:type="dxa"/>
              <w:right w:w="120" w:type="dxa"/>
            </w:tcMar>
            <w:vAlign w:val="center"/>
            <w:hideMark/>
          </w:tcPr>
          <w:p w14:paraId="2D6D3381" w14:textId="77777777" w:rsidR="00A614D7" w:rsidRPr="00093AA0" w:rsidRDefault="00A614D7" w:rsidP="00A614D7">
            <w:pPr>
              <w:spacing w:after="240" w:line="360" w:lineRule="auto"/>
              <w:rPr>
                <w:rFonts w:ascii="Times New Roman" w:hAnsi="Times New Roman" w:cs="Times New Roman"/>
                <w:b/>
                <w:bCs/>
                <w:sz w:val="24"/>
                <w:szCs w:val="24"/>
              </w:rPr>
            </w:pPr>
            <w:r w:rsidRPr="00093AA0">
              <w:rPr>
                <w:rFonts w:ascii="Times New Roman" w:hAnsi="Times New Roman" w:cs="Times New Roman"/>
                <w:b/>
                <w:bCs/>
                <w:sz w:val="24"/>
                <w:szCs w:val="24"/>
              </w:rPr>
              <w:t>Training Set (n=182)</w:t>
            </w:r>
          </w:p>
        </w:tc>
        <w:tc>
          <w:tcPr>
            <w:tcW w:w="0" w:type="auto"/>
            <w:tcBorders>
              <w:bottom w:val="single" w:sz="4" w:space="0" w:color="auto"/>
            </w:tcBorders>
            <w:tcMar>
              <w:top w:w="120" w:type="dxa"/>
              <w:left w:w="120" w:type="dxa"/>
              <w:bottom w:w="120" w:type="dxa"/>
              <w:right w:w="120" w:type="dxa"/>
            </w:tcMar>
            <w:vAlign w:val="center"/>
            <w:hideMark/>
          </w:tcPr>
          <w:p w14:paraId="515D9B1A" w14:textId="77777777" w:rsidR="00A614D7" w:rsidRPr="00093AA0" w:rsidRDefault="00A614D7" w:rsidP="00A614D7">
            <w:pPr>
              <w:spacing w:after="240" w:line="360" w:lineRule="auto"/>
              <w:rPr>
                <w:rFonts w:ascii="Times New Roman" w:hAnsi="Times New Roman" w:cs="Times New Roman"/>
                <w:b/>
                <w:bCs/>
                <w:sz w:val="24"/>
                <w:szCs w:val="24"/>
              </w:rPr>
            </w:pPr>
            <w:r w:rsidRPr="00093AA0">
              <w:rPr>
                <w:rFonts w:ascii="Times New Roman" w:hAnsi="Times New Roman" w:cs="Times New Roman"/>
                <w:b/>
                <w:bCs/>
                <w:sz w:val="24"/>
                <w:szCs w:val="24"/>
              </w:rPr>
              <w:t>Test Set (n=76)</w:t>
            </w:r>
          </w:p>
        </w:tc>
      </w:tr>
      <w:tr w:rsidR="00A614D7" w:rsidRPr="00093AA0" w14:paraId="511694DC" w14:textId="77777777" w:rsidTr="00A614D7">
        <w:tc>
          <w:tcPr>
            <w:tcW w:w="1517" w:type="pct"/>
            <w:tcBorders>
              <w:top w:val="single" w:sz="4" w:space="0" w:color="auto"/>
              <w:bottom w:val="nil"/>
            </w:tcBorders>
            <w:tcMar>
              <w:top w:w="120" w:type="dxa"/>
              <w:left w:w="120" w:type="dxa"/>
              <w:bottom w:w="120" w:type="dxa"/>
              <w:right w:w="120" w:type="dxa"/>
            </w:tcMar>
            <w:vAlign w:val="center"/>
            <w:hideMark/>
          </w:tcPr>
          <w:p w14:paraId="11354405"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AUC (95% CI)</w:t>
            </w:r>
          </w:p>
        </w:tc>
        <w:tc>
          <w:tcPr>
            <w:tcW w:w="0" w:type="auto"/>
            <w:tcBorders>
              <w:top w:val="single" w:sz="4" w:space="0" w:color="auto"/>
              <w:bottom w:val="nil"/>
            </w:tcBorders>
            <w:tcMar>
              <w:top w:w="120" w:type="dxa"/>
              <w:left w:w="120" w:type="dxa"/>
              <w:bottom w:w="120" w:type="dxa"/>
              <w:right w:w="120" w:type="dxa"/>
            </w:tcMar>
            <w:vAlign w:val="center"/>
            <w:hideMark/>
          </w:tcPr>
          <w:p w14:paraId="437F3022"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0.782 (0.674–0.874)</w:t>
            </w:r>
          </w:p>
        </w:tc>
        <w:tc>
          <w:tcPr>
            <w:tcW w:w="0" w:type="auto"/>
            <w:tcBorders>
              <w:top w:val="single" w:sz="4" w:space="0" w:color="auto"/>
              <w:bottom w:val="nil"/>
            </w:tcBorders>
            <w:tcMar>
              <w:top w:w="120" w:type="dxa"/>
              <w:left w:w="120" w:type="dxa"/>
              <w:bottom w:w="120" w:type="dxa"/>
              <w:right w:w="120" w:type="dxa"/>
            </w:tcMar>
            <w:vAlign w:val="center"/>
            <w:hideMark/>
          </w:tcPr>
          <w:p w14:paraId="01666AA9"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0.789 (0.625–0.919)</w:t>
            </w:r>
          </w:p>
        </w:tc>
      </w:tr>
      <w:tr w:rsidR="00A614D7" w:rsidRPr="00093AA0" w14:paraId="64C7AA11" w14:textId="77777777" w:rsidTr="00A614D7">
        <w:tc>
          <w:tcPr>
            <w:tcW w:w="1517" w:type="pct"/>
            <w:tcBorders>
              <w:top w:val="nil"/>
            </w:tcBorders>
            <w:tcMar>
              <w:top w:w="120" w:type="dxa"/>
              <w:left w:w="120" w:type="dxa"/>
              <w:bottom w:w="120" w:type="dxa"/>
              <w:right w:w="120" w:type="dxa"/>
            </w:tcMar>
            <w:vAlign w:val="center"/>
            <w:hideMark/>
          </w:tcPr>
          <w:p w14:paraId="6A598FFE"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Sensitivity (95% CI)</w:t>
            </w:r>
          </w:p>
        </w:tc>
        <w:tc>
          <w:tcPr>
            <w:tcW w:w="0" w:type="auto"/>
            <w:tcBorders>
              <w:top w:val="nil"/>
            </w:tcBorders>
            <w:tcMar>
              <w:top w:w="120" w:type="dxa"/>
              <w:left w:w="120" w:type="dxa"/>
              <w:bottom w:w="120" w:type="dxa"/>
              <w:right w:w="120" w:type="dxa"/>
            </w:tcMar>
            <w:vAlign w:val="center"/>
            <w:hideMark/>
          </w:tcPr>
          <w:p w14:paraId="08F5E0F0"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29.0% (16.1%–46.6%)</w:t>
            </w:r>
          </w:p>
        </w:tc>
        <w:tc>
          <w:tcPr>
            <w:tcW w:w="0" w:type="auto"/>
            <w:tcBorders>
              <w:top w:val="nil"/>
            </w:tcBorders>
            <w:tcMar>
              <w:top w:w="120" w:type="dxa"/>
              <w:left w:w="120" w:type="dxa"/>
              <w:bottom w:w="120" w:type="dxa"/>
              <w:right w:w="120" w:type="dxa"/>
            </w:tcMar>
            <w:vAlign w:val="center"/>
            <w:hideMark/>
          </w:tcPr>
          <w:p w14:paraId="5BC30C9C"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8.3% (1.5%–35.4%)</w:t>
            </w:r>
          </w:p>
        </w:tc>
      </w:tr>
      <w:tr w:rsidR="00A614D7" w:rsidRPr="00093AA0" w14:paraId="50B077F4" w14:textId="77777777" w:rsidTr="00A614D7">
        <w:tc>
          <w:tcPr>
            <w:tcW w:w="1517" w:type="pct"/>
            <w:tcMar>
              <w:top w:w="120" w:type="dxa"/>
              <w:left w:w="120" w:type="dxa"/>
              <w:bottom w:w="120" w:type="dxa"/>
              <w:right w:w="120" w:type="dxa"/>
            </w:tcMar>
            <w:vAlign w:val="center"/>
            <w:hideMark/>
          </w:tcPr>
          <w:p w14:paraId="5AD42F82"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Specificity (95% CI)</w:t>
            </w:r>
          </w:p>
        </w:tc>
        <w:tc>
          <w:tcPr>
            <w:tcW w:w="0" w:type="auto"/>
            <w:tcMar>
              <w:top w:w="120" w:type="dxa"/>
              <w:left w:w="120" w:type="dxa"/>
              <w:bottom w:w="120" w:type="dxa"/>
              <w:right w:w="120" w:type="dxa"/>
            </w:tcMar>
            <w:vAlign w:val="center"/>
            <w:hideMark/>
          </w:tcPr>
          <w:p w14:paraId="192F6632"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98.7% (95.3%–99.6%)</w:t>
            </w:r>
          </w:p>
        </w:tc>
        <w:tc>
          <w:tcPr>
            <w:tcW w:w="0" w:type="auto"/>
            <w:tcMar>
              <w:top w:w="120" w:type="dxa"/>
              <w:left w:w="120" w:type="dxa"/>
              <w:bottom w:w="120" w:type="dxa"/>
              <w:right w:w="120" w:type="dxa"/>
            </w:tcMar>
            <w:vAlign w:val="center"/>
            <w:hideMark/>
          </w:tcPr>
          <w:p w14:paraId="4A704915"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98.4% (91.7%–99.7%)</w:t>
            </w:r>
          </w:p>
        </w:tc>
      </w:tr>
      <w:tr w:rsidR="00A614D7" w:rsidRPr="00093AA0" w14:paraId="3DD03E0B" w14:textId="77777777" w:rsidTr="00A614D7">
        <w:tc>
          <w:tcPr>
            <w:tcW w:w="1517" w:type="pct"/>
            <w:tcMar>
              <w:top w:w="120" w:type="dxa"/>
              <w:left w:w="120" w:type="dxa"/>
              <w:bottom w:w="120" w:type="dxa"/>
              <w:right w:w="120" w:type="dxa"/>
            </w:tcMar>
            <w:vAlign w:val="center"/>
            <w:hideMark/>
          </w:tcPr>
          <w:p w14:paraId="1CF6B6DE"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PPV (95% CI)</w:t>
            </w:r>
          </w:p>
        </w:tc>
        <w:tc>
          <w:tcPr>
            <w:tcW w:w="0" w:type="auto"/>
            <w:tcMar>
              <w:top w:w="120" w:type="dxa"/>
              <w:left w:w="120" w:type="dxa"/>
              <w:bottom w:w="120" w:type="dxa"/>
              <w:right w:w="120" w:type="dxa"/>
            </w:tcMar>
            <w:vAlign w:val="center"/>
            <w:hideMark/>
          </w:tcPr>
          <w:p w14:paraId="3FD2135A"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81.8% (52.3%–94.9%)</w:t>
            </w:r>
          </w:p>
        </w:tc>
        <w:tc>
          <w:tcPr>
            <w:tcW w:w="0" w:type="auto"/>
            <w:tcMar>
              <w:top w:w="120" w:type="dxa"/>
              <w:left w:w="120" w:type="dxa"/>
              <w:bottom w:w="120" w:type="dxa"/>
              <w:right w:w="120" w:type="dxa"/>
            </w:tcMar>
            <w:vAlign w:val="center"/>
            <w:hideMark/>
          </w:tcPr>
          <w:p w14:paraId="793D4014"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50.0% (9.5%–90.5%)</w:t>
            </w:r>
          </w:p>
        </w:tc>
      </w:tr>
      <w:tr w:rsidR="00A614D7" w:rsidRPr="00093AA0" w14:paraId="4DF72B66" w14:textId="77777777" w:rsidTr="00A614D7">
        <w:tc>
          <w:tcPr>
            <w:tcW w:w="1517" w:type="pct"/>
            <w:tcMar>
              <w:top w:w="120" w:type="dxa"/>
              <w:left w:w="120" w:type="dxa"/>
              <w:bottom w:w="120" w:type="dxa"/>
              <w:right w:w="120" w:type="dxa"/>
            </w:tcMar>
            <w:vAlign w:val="center"/>
            <w:hideMark/>
          </w:tcPr>
          <w:p w14:paraId="78E912B8"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NPV (95% CI)</w:t>
            </w:r>
          </w:p>
        </w:tc>
        <w:tc>
          <w:tcPr>
            <w:tcW w:w="0" w:type="auto"/>
            <w:tcMar>
              <w:top w:w="120" w:type="dxa"/>
              <w:left w:w="120" w:type="dxa"/>
              <w:bottom w:w="120" w:type="dxa"/>
              <w:right w:w="120" w:type="dxa"/>
            </w:tcMar>
            <w:vAlign w:val="center"/>
            <w:hideMark/>
          </w:tcPr>
          <w:p w14:paraId="20801E2C"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87.1% (81.3%–91.3%)</w:t>
            </w:r>
          </w:p>
        </w:tc>
        <w:tc>
          <w:tcPr>
            <w:tcW w:w="0" w:type="auto"/>
            <w:tcMar>
              <w:top w:w="120" w:type="dxa"/>
              <w:left w:w="120" w:type="dxa"/>
              <w:bottom w:w="120" w:type="dxa"/>
              <w:right w:w="120" w:type="dxa"/>
            </w:tcMar>
            <w:vAlign w:val="center"/>
            <w:hideMark/>
          </w:tcPr>
          <w:p w14:paraId="6E12453D" w14:textId="77777777" w:rsidR="00A614D7" w:rsidRPr="00093AA0" w:rsidRDefault="00A614D7" w:rsidP="00A614D7">
            <w:pPr>
              <w:spacing w:after="240" w:line="360" w:lineRule="auto"/>
              <w:rPr>
                <w:rFonts w:ascii="Times New Roman" w:hAnsi="Times New Roman" w:cs="Times New Roman"/>
                <w:sz w:val="24"/>
                <w:szCs w:val="24"/>
              </w:rPr>
            </w:pPr>
            <w:r w:rsidRPr="00093AA0">
              <w:rPr>
                <w:rFonts w:ascii="Times New Roman" w:hAnsi="Times New Roman" w:cs="Times New Roman"/>
                <w:sz w:val="24"/>
                <w:szCs w:val="24"/>
              </w:rPr>
              <w:t>85.1% (75.3%–91.5%)</w:t>
            </w:r>
          </w:p>
        </w:tc>
      </w:tr>
    </w:tbl>
    <w:p w14:paraId="64AE890D" w14:textId="77777777" w:rsidR="00A614D7" w:rsidRPr="00DF6A86" w:rsidRDefault="00A614D7" w:rsidP="00A614D7">
      <w:pPr>
        <w:spacing w:after="240" w:line="360" w:lineRule="auto"/>
        <w:rPr>
          <w:rFonts w:ascii="Times New Roman" w:hAnsi="Times New Roman" w:cs="Times New Roman"/>
          <w:sz w:val="24"/>
          <w:szCs w:val="24"/>
        </w:rPr>
      </w:pPr>
      <w:r w:rsidRPr="00DF6A86">
        <w:rPr>
          <w:rFonts w:ascii="Times New Roman" w:hAnsi="Times New Roman" w:cs="Times New Roman"/>
          <w:sz w:val="24"/>
          <w:szCs w:val="24"/>
        </w:rPr>
        <w:t xml:space="preserve">Note: PPV = positive predictive value; NPV = negative predictive value; CI = confidence interval. The 95% CIs for AUC were calculated via 1000 bootstrap samples to reduce sampling bias. The 95% CIs for binary metrics (sensitivity, specificity, PPV, NPV) were calculated via Wilson score intervals, which are more reliable for small sample sizes. This analysis used the same modeling workflow as the primary definition (LASSO variable selection </w:t>
      </w:r>
      <w:r>
        <w:rPr>
          <w:rFonts w:ascii="Times New Roman" w:hAnsi="Times New Roman" w:cs="Times New Roman" w:hint="eastAsia"/>
          <w:sz w:val="24"/>
          <w:szCs w:val="24"/>
        </w:rPr>
        <w:t>and</w:t>
      </w:r>
      <w:r w:rsidRPr="00DF6A86">
        <w:rPr>
          <w:rFonts w:ascii="Times New Roman" w:hAnsi="Times New Roman" w:cs="Times New Roman"/>
          <w:sz w:val="24"/>
          <w:szCs w:val="24"/>
        </w:rPr>
        <w:t xml:space="preserve"> logistic regression) to ensure comparability.</w:t>
      </w:r>
    </w:p>
    <w:p w14:paraId="16CCAA71" w14:textId="77777777" w:rsidR="00A614D7" w:rsidRPr="00DF6A86" w:rsidRDefault="00A614D7" w:rsidP="00A614D7">
      <w:pPr>
        <w:spacing w:after="240" w:line="360" w:lineRule="auto"/>
        <w:rPr>
          <w:rFonts w:ascii="Times New Roman" w:hAnsi="Times New Roman" w:cs="Times New Roman"/>
          <w:sz w:val="24"/>
          <w:szCs w:val="24"/>
        </w:rPr>
      </w:pPr>
      <w:r w:rsidRPr="00DF6A86">
        <w:rPr>
          <w:rFonts w:ascii="Times New Roman" w:hAnsi="Times New Roman" w:cs="Times New Roman"/>
          <w:sz w:val="24"/>
          <w:szCs w:val="24"/>
        </w:rPr>
        <w:t>For sensitivity analysis, an alternative quantitative definition of curative effect was pre-specified: treatment was effective when the predelivery TBA level was reduced by ≥20% compared with the baseline TBA level, and ineffective when the reduction was &lt;20%, stable or increased. A sensitivity analysis was performed on the entire cohort (n=258) with complete dynamic TBA data to verify the robustness of the curative effect as an independent predictor of preterm birth.</w:t>
      </w:r>
    </w:p>
    <w:p w14:paraId="44B3680C" w14:textId="74377D18" w:rsidR="00A614D7" w:rsidRPr="00DF6A86" w:rsidRDefault="00A614D7" w:rsidP="00A614D7">
      <w:pPr>
        <w:spacing w:after="240" w:line="360" w:lineRule="auto"/>
        <w:rPr>
          <w:rFonts w:ascii="Times New Roman" w:hAnsi="Times New Roman" w:cs="Times New Roman"/>
          <w:sz w:val="24"/>
          <w:szCs w:val="24"/>
        </w:rPr>
      </w:pPr>
      <w:r w:rsidRPr="00DF6A86">
        <w:rPr>
          <w:rFonts w:ascii="Times New Roman" w:hAnsi="Times New Roman" w:cs="Times New Roman"/>
          <w:sz w:val="24"/>
          <w:szCs w:val="24"/>
        </w:rPr>
        <w:t xml:space="preserve">The modeling process was consistent with the primary analysis: (1) continuous </w:t>
      </w:r>
      <w:r w:rsidRPr="00DF6A86">
        <w:rPr>
          <w:rFonts w:ascii="Times New Roman" w:hAnsi="Times New Roman" w:cs="Times New Roman"/>
          <w:sz w:val="24"/>
          <w:szCs w:val="24"/>
        </w:rPr>
        <w:lastRenderedPageBreak/>
        <w:t xml:space="preserve">variables (e.g., </w:t>
      </w:r>
      <w:r w:rsidR="00D87C28">
        <w:rPr>
          <w:rFonts w:ascii="Times New Roman" w:hAnsi="Times New Roman" w:cs="Times New Roman" w:hint="eastAsia"/>
          <w:sz w:val="24"/>
          <w:szCs w:val="24"/>
        </w:rPr>
        <w:t>GA</w:t>
      </w:r>
      <w:r w:rsidRPr="00DF6A86">
        <w:rPr>
          <w:rFonts w:ascii="Times New Roman" w:hAnsi="Times New Roman" w:cs="Times New Roman"/>
          <w:sz w:val="24"/>
          <w:szCs w:val="24"/>
        </w:rPr>
        <w:t xml:space="preserve"> at diagnosis, AST) were standardized using </w:t>
      </w:r>
      <w:proofErr w:type="spellStart"/>
      <w:r w:rsidRPr="00DF6A86">
        <w:rPr>
          <w:rFonts w:ascii="Times New Roman" w:hAnsi="Times New Roman" w:cs="Times New Roman"/>
          <w:sz w:val="24"/>
          <w:szCs w:val="24"/>
        </w:rPr>
        <w:t>StandardScaler</w:t>
      </w:r>
      <w:proofErr w:type="spellEnd"/>
      <w:r w:rsidRPr="00DF6A86">
        <w:rPr>
          <w:rFonts w:ascii="Times New Roman" w:hAnsi="Times New Roman" w:cs="Times New Roman"/>
          <w:sz w:val="24"/>
          <w:szCs w:val="24"/>
        </w:rPr>
        <w:t>; (2) LASSO regression (5-fold cross-validation) was used for variable selection to exclude multicollinearity; (3) logistic regression (</w:t>
      </w:r>
      <w:proofErr w:type="spellStart"/>
      <w:r w:rsidRPr="00DF6A86">
        <w:rPr>
          <w:rFonts w:ascii="Times New Roman" w:hAnsi="Times New Roman" w:cs="Times New Roman"/>
          <w:sz w:val="24"/>
          <w:szCs w:val="24"/>
        </w:rPr>
        <w:t>max_iter</w:t>
      </w:r>
      <w:proofErr w:type="spellEnd"/>
      <w:r w:rsidRPr="00DF6A86">
        <w:rPr>
          <w:rFonts w:ascii="Times New Roman" w:hAnsi="Times New Roman" w:cs="Times New Roman"/>
          <w:sz w:val="24"/>
          <w:szCs w:val="24"/>
        </w:rPr>
        <w:t>=1000) was used for model construction; (4) core performance metrics were calculated to evaluate discriminative ability and clinical utility.</w:t>
      </w:r>
    </w:p>
    <w:p w14:paraId="31AB7AA3" w14:textId="77777777" w:rsidR="00A614D7" w:rsidRPr="00DF6A86" w:rsidRDefault="00A614D7" w:rsidP="00A614D7">
      <w:pPr>
        <w:spacing w:after="240" w:line="360" w:lineRule="auto"/>
        <w:rPr>
          <w:rFonts w:ascii="Times New Roman" w:hAnsi="Times New Roman" w:cs="Times New Roman" w:hint="eastAsia"/>
          <w:sz w:val="24"/>
          <w:szCs w:val="24"/>
        </w:rPr>
      </w:pPr>
    </w:p>
    <w:p w14:paraId="1A8C96BC" w14:textId="77777777" w:rsidR="00A614D7" w:rsidRPr="00093AA0" w:rsidRDefault="00A614D7" w:rsidP="00A614D7">
      <w:pPr>
        <w:spacing w:after="240" w:line="360" w:lineRule="auto"/>
        <w:rPr>
          <w:rFonts w:ascii="Times New Roman" w:hAnsi="Times New Roman" w:cs="Times New Roman" w:hint="eastAsia"/>
          <w:sz w:val="24"/>
          <w:szCs w:val="24"/>
        </w:rPr>
      </w:pPr>
    </w:p>
    <w:p w14:paraId="69700A6C" w14:textId="77777777" w:rsidR="00932DBD" w:rsidRPr="00A614D7" w:rsidRDefault="00932DBD">
      <w:pPr>
        <w:rPr>
          <w:rFonts w:hint="eastAsia"/>
        </w:rPr>
      </w:pPr>
    </w:p>
    <w:sectPr w:rsidR="00932DBD" w:rsidRPr="00A614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D7"/>
    <w:rsid w:val="00931362"/>
    <w:rsid w:val="00932DBD"/>
    <w:rsid w:val="009946D6"/>
    <w:rsid w:val="00A614D7"/>
    <w:rsid w:val="00C20CAD"/>
    <w:rsid w:val="00D260A7"/>
    <w:rsid w:val="00D87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2034D"/>
  <w15:chartTrackingRefBased/>
  <w15:docId w15:val="{998BDF28-DB50-4C04-8465-B0EE0932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4D7"/>
    <w:pPr>
      <w:widowControl w:val="0"/>
      <w:jc w:val="both"/>
    </w:pPr>
  </w:style>
  <w:style w:type="paragraph" w:styleId="1">
    <w:name w:val="heading 1"/>
    <w:basedOn w:val="a"/>
    <w:next w:val="a"/>
    <w:link w:val="10"/>
    <w:uiPriority w:val="9"/>
    <w:qFormat/>
    <w:rsid w:val="00A614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614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614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614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614D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614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614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614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614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614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614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614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614D7"/>
    <w:rPr>
      <w:rFonts w:cstheme="majorBidi"/>
      <w:color w:val="0F4761" w:themeColor="accent1" w:themeShade="BF"/>
      <w:sz w:val="28"/>
      <w:szCs w:val="28"/>
    </w:rPr>
  </w:style>
  <w:style w:type="character" w:customStyle="1" w:styleId="50">
    <w:name w:val="标题 5 字符"/>
    <w:basedOn w:val="a0"/>
    <w:link w:val="5"/>
    <w:uiPriority w:val="9"/>
    <w:semiHidden/>
    <w:rsid w:val="00A614D7"/>
    <w:rPr>
      <w:rFonts w:cstheme="majorBidi"/>
      <w:color w:val="0F4761" w:themeColor="accent1" w:themeShade="BF"/>
      <w:sz w:val="24"/>
      <w:szCs w:val="24"/>
    </w:rPr>
  </w:style>
  <w:style w:type="character" w:customStyle="1" w:styleId="60">
    <w:name w:val="标题 6 字符"/>
    <w:basedOn w:val="a0"/>
    <w:link w:val="6"/>
    <w:uiPriority w:val="9"/>
    <w:semiHidden/>
    <w:rsid w:val="00A614D7"/>
    <w:rPr>
      <w:rFonts w:cstheme="majorBidi"/>
      <w:b/>
      <w:bCs/>
      <w:color w:val="0F4761" w:themeColor="accent1" w:themeShade="BF"/>
    </w:rPr>
  </w:style>
  <w:style w:type="character" w:customStyle="1" w:styleId="70">
    <w:name w:val="标题 7 字符"/>
    <w:basedOn w:val="a0"/>
    <w:link w:val="7"/>
    <w:uiPriority w:val="9"/>
    <w:semiHidden/>
    <w:rsid w:val="00A614D7"/>
    <w:rPr>
      <w:rFonts w:cstheme="majorBidi"/>
      <w:b/>
      <w:bCs/>
      <w:color w:val="595959" w:themeColor="text1" w:themeTint="A6"/>
    </w:rPr>
  </w:style>
  <w:style w:type="character" w:customStyle="1" w:styleId="80">
    <w:name w:val="标题 8 字符"/>
    <w:basedOn w:val="a0"/>
    <w:link w:val="8"/>
    <w:uiPriority w:val="9"/>
    <w:semiHidden/>
    <w:rsid w:val="00A614D7"/>
    <w:rPr>
      <w:rFonts w:cstheme="majorBidi"/>
      <w:color w:val="595959" w:themeColor="text1" w:themeTint="A6"/>
    </w:rPr>
  </w:style>
  <w:style w:type="character" w:customStyle="1" w:styleId="90">
    <w:name w:val="标题 9 字符"/>
    <w:basedOn w:val="a0"/>
    <w:link w:val="9"/>
    <w:uiPriority w:val="9"/>
    <w:semiHidden/>
    <w:rsid w:val="00A614D7"/>
    <w:rPr>
      <w:rFonts w:eastAsiaTheme="majorEastAsia" w:cstheme="majorBidi"/>
      <w:color w:val="595959" w:themeColor="text1" w:themeTint="A6"/>
    </w:rPr>
  </w:style>
  <w:style w:type="paragraph" w:styleId="a3">
    <w:name w:val="Title"/>
    <w:basedOn w:val="a"/>
    <w:next w:val="a"/>
    <w:link w:val="a4"/>
    <w:uiPriority w:val="10"/>
    <w:qFormat/>
    <w:rsid w:val="00A614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614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14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614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14D7"/>
    <w:pPr>
      <w:spacing w:before="160" w:after="160"/>
      <w:jc w:val="center"/>
    </w:pPr>
    <w:rPr>
      <w:i/>
      <w:iCs/>
      <w:color w:val="404040" w:themeColor="text1" w:themeTint="BF"/>
    </w:rPr>
  </w:style>
  <w:style w:type="character" w:customStyle="1" w:styleId="a8">
    <w:name w:val="引用 字符"/>
    <w:basedOn w:val="a0"/>
    <w:link w:val="a7"/>
    <w:uiPriority w:val="29"/>
    <w:rsid w:val="00A614D7"/>
    <w:rPr>
      <w:i/>
      <w:iCs/>
      <w:color w:val="404040" w:themeColor="text1" w:themeTint="BF"/>
    </w:rPr>
  </w:style>
  <w:style w:type="paragraph" w:styleId="a9">
    <w:name w:val="List Paragraph"/>
    <w:basedOn w:val="a"/>
    <w:uiPriority w:val="34"/>
    <w:qFormat/>
    <w:rsid w:val="00A614D7"/>
    <w:pPr>
      <w:ind w:left="720"/>
      <w:contextualSpacing/>
    </w:pPr>
  </w:style>
  <w:style w:type="character" w:styleId="aa">
    <w:name w:val="Intense Emphasis"/>
    <w:basedOn w:val="a0"/>
    <w:uiPriority w:val="21"/>
    <w:qFormat/>
    <w:rsid w:val="00A614D7"/>
    <w:rPr>
      <w:i/>
      <w:iCs/>
      <w:color w:val="0F4761" w:themeColor="accent1" w:themeShade="BF"/>
    </w:rPr>
  </w:style>
  <w:style w:type="paragraph" w:styleId="ab">
    <w:name w:val="Intense Quote"/>
    <w:basedOn w:val="a"/>
    <w:next w:val="a"/>
    <w:link w:val="ac"/>
    <w:uiPriority w:val="30"/>
    <w:qFormat/>
    <w:rsid w:val="00A6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614D7"/>
    <w:rPr>
      <w:i/>
      <w:iCs/>
      <w:color w:val="0F4761" w:themeColor="accent1" w:themeShade="BF"/>
    </w:rPr>
  </w:style>
  <w:style w:type="character" w:styleId="ad">
    <w:name w:val="Intense Reference"/>
    <w:basedOn w:val="a0"/>
    <w:uiPriority w:val="32"/>
    <w:qFormat/>
    <w:rsid w:val="00A614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M16450</dc:creator>
  <cp:keywords/>
  <dc:description/>
  <cp:lastModifiedBy>M16450</cp:lastModifiedBy>
  <cp:revision>4</cp:revision>
  <dcterms:created xsi:type="dcterms:W3CDTF">2026-03-16T14:34:00Z</dcterms:created>
  <dcterms:modified xsi:type="dcterms:W3CDTF">2026-03-16T14:40:00Z</dcterms:modified>
</cp:coreProperties>
</file>