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11E98" w14:textId="13F20FB3" w:rsidR="00AE28B5" w:rsidRPr="006C5BEB" w:rsidRDefault="00A23E2B">
      <w:pPr>
        <w:rPr>
          <w:rFonts w:ascii="Times New Roman" w:hAnsi="Times New Roman" w:cs="Times New Roman"/>
          <w:b/>
          <w:bCs/>
          <w:i/>
          <w:iCs/>
          <w:sz w:val="32"/>
          <w:szCs w:val="32"/>
        </w:rPr>
      </w:pPr>
      <w:r w:rsidRPr="006C5BEB">
        <w:rPr>
          <w:rFonts w:ascii="Times New Roman" w:hAnsi="Times New Roman" w:cs="Times New Roman"/>
          <w:b/>
          <w:bCs/>
          <w:i/>
          <w:iCs/>
          <w:sz w:val="32"/>
          <w:szCs w:val="32"/>
        </w:rPr>
        <w:t>Supplementary File</w:t>
      </w:r>
      <w:r w:rsidR="00E14248">
        <w:rPr>
          <w:rFonts w:ascii="Times New Roman" w:hAnsi="Times New Roman" w:cs="Times New Roman"/>
          <w:b/>
          <w:bCs/>
          <w:i/>
          <w:iCs/>
          <w:sz w:val="32"/>
          <w:szCs w:val="32"/>
        </w:rPr>
        <w:t xml:space="preserve"> </w:t>
      </w:r>
      <w:r w:rsidR="004E0C7F">
        <w:rPr>
          <w:rFonts w:ascii="Times New Roman" w:hAnsi="Times New Roman" w:cs="Times New Roman"/>
          <w:b/>
          <w:bCs/>
          <w:i/>
          <w:iCs/>
          <w:sz w:val="32"/>
          <w:szCs w:val="32"/>
        </w:rPr>
        <w:t>2</w:t>
      </w:r>
    </w:p>
    <w:p w14:paraId="589F9ED4" w14:textId="77777777" w:rsidR="006F04B0" w:rsidRPr="006C5BEB" w:rsidRDefault="006F04B0" w:rsidP="00D50C57">
      <w:pPr>
        <w:rPr>
          <w:rFonts w:ascii="Times New Roman" w:hAnsi="Times New Roman" w:cs="Times New Roman"/>
          <w:b/>
          <w:bCs/>
          <w:sz w:val="28"/>
          <w:szCs w:val="28"/>
        </w:rPr>
      </w:pPr>
      <w:r w:rsidRPr="006C5BEB">
        <w:rPr>
          <w:rFonts w:ascii="Times New Roman" w:hAnsi="Times New Roman" w:cs="Times New Roman"/>
          <w:b/>
          <w:bCs/>
          <w:sz w:val="28"/>
          <w:szCs w:val="28"/>
        </w:rPr>
        <w:t xml:space="preserve">Dominance Analysis </w:t>
      </w:r>
    </w:p>
    <w:p w14:paraId="7E9D0274" w14:textId="097237A9" w:rsidR="006F04B0" w:rsidRDefault="006F04B0" w:rsidP="006F04B0">
      <w:pPr>
        <w:spacing w:line="480" w:lineRule="auto"/>
        <w:jc w:val="both"/>
        <w:rPr>
          <w:rFonts w:ascii="Times New Roman" w:hAnsi="Times New Roman" w:cs="Times New Roman"/>
          <w:sz w:val="24"/>
          <w:szCs w:val="24"/>
        </w:rPr>
      </w:pPr>
      <w:r w:rsidRPr="00C32018">
        <w:rPr>
          <w:rFonts w:ascii="Times New Roman" w:hAnsi="Times New Roman" w:cs="Times New Roman"/>
          <w:sz w:val="24"/>
          <w:szCs w:val="24"/>
        </w:rPr>
        <w:t>Whenever multiple regression is used to test and compare theoretically motivated models, it is of interest to determine the relative importance of the predictors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7A6F94">
        <w:rPr>
          <w:rFonts w:ascii="Times New Roman" w:hAnsi="Times New Roman" w:cs="Times New Roman"/>
          <w:sz w:val="24"/>
          <w:szCs w:val="24"/>
        </w:rPr>
        <w:instrText xml:space="preserve"> ADDIN EN.CITE &lt;EndNote&gt;&lt;Cite&gt;&lt;Author&gt;Budescu&lt;/Author&gt;&lt;Year&gt;1993&lt;/Year&gt;&lt;RecNum&gt;5224&lt;/RecNum&gt;&lt;DisplayText&gt;(1)&lt;/DisplayText&gt;&lt;record&gt;&lt;rec-number&gt;5224&lt;/rec-number&gt;&lt;foreign-keys&gt;&lt;key app="EN" db-id="s2strzfd1ae2sce2es9vwe5czs00afssxa9w" timestamp="1736222380"&gt;5224&lt;/key&gt;&lt;/foreign-keys&gt;&lt;ref-type name="Journal Article"&gt;17&lt;/ref-type&gt;&lt;contributors&gt;&lt;authors&gt;&lt;author&gt;Budescu, David V&lt;/author&gt;&lt;/authors&gt;&lt;/contributors&gt;&lt;titles&gt;&lt;title&gt;Dominance analysis: a new approach to the problem of relative importance of predictors in multiple regression&lt;/title&gt;&lt;secondary-title&gt;Psychological bulletin&lt;/secondary-title&gt;&lt;/titles&gt;&lt;periodical&gt;&lt;full-title&gt;Psychological bulletin&lt;/full-title&gt;&lt;/periodical&gt;&lt;pages&gt;542&lt;/pages&gt;&lt;volume&gt;114&lt;/volume&gt;&lt;number&gt;3&lt;/number&gt;&lt;dates&gt;&lt;year&gt;1993&lt;/year&gt;&lt;/dates&gt;&lt;isbn&gt;1939-1455&lt;/isbn&gt;&lt;urls&gt;&lt;/urls&gt;&lt;/record&gt;&lt;/Cite&gt;&lt;/EndNote&gt;</w:instrText>
      </w:r>
      <w:r>
        <w:rPr>
          <w:rFonts w:ascii="Times New Roman" w:hAnsi="Times New Roman" w:cs="Times New Roman"/>
          <w:sz w:val="24"/>
          <w:szCs w:val="24"/>
        </w:rPr>
        <w:fldChar w:fldCharType="separate"/>
      </w:r>
      <w:r w:rsidR="007A6F94">
        <w:rPr>
          <w:rFonts w:ascii="Times New Roman" w:hAnsi="Times New Roman" w:cs="Times New Roman"/>
          <w:noProof/>
          <w:sz w:val="24"/>
          <w:szCs w:val="24"/>
        </w:rPr>
        <w:t>(1)</w:t>
      </w:r>
      <w:r>
        <w:rPr>
          <w:rFonts w:ascii="Times New Roman" w:hAnsi="Times New Roman" w:cs="Times New Roman"/>
          <w:sz w:val="24"/>
          <w:szCs w:val="24"/>
        </w:rPr>
        <w:fldChar w:fldCharType="end"/>
      </w:r>
      <w:r w:rsidRPr="00C32018">
        <w:rPr>
          <w:rFonts w:ascii="Times New Roman" w:hAnsi="Times New Roman" w:cs="Times New Roman"/>
          <w:sz w:val="24"/>
          <w:szCs w:val="24"/>
        </w:rPr>
        <w:t>. Specifically, researchers seek to rank order and scale variables in terms of their importance and to express global statistics of the model as a function of these measures.</w:t>
      </w:r>
      <w:r>
        <w:rPr>
          <w:rFonts w:ascii="Times New Roman" w:hAnsi="Times New Roman" w:cs="Times New Roman"/>
          <w:sz w:val="24"/>
          <w:szCs w:val="24"/>
        </w:rPr>
        <w:t xml:space="preserve"> </w:t>
      </w:r>
      <w:r w:rsidRPr="00C32018">
        <w:rPr>
          <w:rFonts w:ascii="Times New Roman" w:hAnsi="Times New Roman" w:cs="Times New Roman"/>
          <w:sz w:val="24"/>
          <w:szCs w:val="24"/>
        </w:rPr>
        <w:t>Dominance is a qualitative relation defined in a pairwise fashion: One variable is said to dominate another if it is more useful than its competitor in all subset regressions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7A6F94">
        <w:rPr>
          <w:rFonts w:ascii="Times New Roman" w:hAnsi="Times New Roman" w:cs="Times New Roman"/>
          <w:sz w:val="24"/>
          <w:szCs w:val="24"/>
        </w:rPr>
        <w:instrText xml:space="preserve"> ADDIN EN.CITE &lt;EndNote&gt;&lt;Cite&gt;&lt;Author&gt;Budescu&lt;/Author&gt;&lt;Year&gt;1993&lt;/Year&gt;&lt;RecNum&gt;5224&lt;/RecNum&gt;&lt;DisplayText&gt;(1)&lt;/DisplayText&gt;&lt;record&gt;&lt;rec-number&gt;5224&lt;/rec-number&gt;&lt;foreign-keys&gt;&lt;key app="EN" db-id="s2strzfd1ae2sce2es9vwe5czs00afssxa9w" timestamp="1736222380"&gt;5224&lt;/key&gt;&lt;/foreign-keys&gt;&lt;ref-type name="Journal Article"&gt;17&lt;/ref-type&gt;&lt;contributors&gt;&lt;authors&gt;&lt;author&gt;Budescu, David V&lt;/author&gt;&lt;/authors&gt;&lt;/contributors&gt;&lt;titles&gt;&lt;title&gt;Dominance analysis: a new approach to the problem of relative importance of predictors in multiple regression&lt;/title&gt;&lt;secondary-title&gt;Psychological bulletin&lt;/secondary-title&gt;&lt;/titles&gt;&lt;periodical&gt;&lt;full-title&gt;Psychological bulletin&lt;/full-title&gt;&lt;/periodical&gt;&lt;pages&gt;542&lt;/pages&gt;&lt;volume&gt;114&lt;/volume&gt;&lt;number&gt;3&lt;/number&gt;&lt;dates&gt;&lt;year&gt;1993&lt;/year&gt;&lt;/dates&gt;&lt;isbn&gt;1939-1455&lt;/isbn&gt;&lt;urls&gt;&lt;/urls&gt;&lt;/record&gt;&lt;/Cite&gt;&lt;/EndNote&gt;</w:instrText>
      </w:r>
      <w:r>
        <w:rPr>
          <w:rFonts w:ascii="Times New Roman" w:hAnsi="Times New Roman" w:cs="Times New Roman"/>
          <w:sz w:val="24"/>
          <w:szCs w:val="24"/>
        </w:rPr>
        <w:fldChar w:fldCharType="separate"/>
      </w:r>
      <w:r w:rsidR="007A6F94">
        <w:rPr>
          <w:rFonts w:ascii="Times New Roman" w:hAnsi="Times New Roman" w:cs="Times New Roman"/>
          <w:noProof/>
          <w:sz w:val="24"/>
          <w:szCs w:val="24"/>
        </w:rPr>
        <w:t>(1)</w:t>
      </w:r>
      <w:r>
        <w:rPr>
          <w:rFonts w:ascii="Times New Roman" w:hAnsi="Times New Roman" w:cs="Times New Roman"/>
          <w:sz w:val="24"/>
          <w:szCs w:val="24"/>
        </w:rPr>
        <w:fldChar w:fldCharType="end"/>
      </w:r>
      <w:r w:rsidRPr="00C32018">
        <w:rPr>
          <w:rFonts w:ascii="Times New Roman" w:hAnsi="Times New Roman" w:cs="Times New Roman"/>
          <w:sz w:val="24"/>
          <w:szCs w:val="24"/>
        </w:rPr>
        <w:t>.</w:t>
      </w:r>
    </w:p>
    <w:p w14:paraId="68741B5E" w14:textId="1897C57A" w:rsidR="006F04B0" w:rsidRDefault="006F04B0" w:rsidP="006F04B0">
      <w:pPr>
        <w:spacing w:line="480" w:lineRule="auto"/>
        <w:jc w:val="both"/>
      </w:pPr>
      <w:r w:rsidRPr="005734A2">
        <w:rPr>
          <w:rFonts w:ascii="Times New Roman" w:hAnsi="Times New Roman" w:cs="Times New Roman"/>
          <w:sz w:val="24"/>
          <w:szCs w:val="24"/>
        </w:rPr>
        <w:t>The general dominance statistics </w:t>
      </w:r>
      <w:r>
        <w:rPr>
          <w:rFonts w:ascii="Times New Roman" w:hAnsi="Times New Roman" w:cs="Times New Roman"/>
          <w:sz w:val="24"/>
          <w:szCs w:val="24"/>
        </w:rPr>
        <w:t>relate</w:t>
      </w:r>
      <w:r w:rsidRPr="005734A2">
        <w:rPr>
          <w:rFonts w:ascii="Times New Roman" w:hAnsi="Times New Roman" w:cs="Times New Roman"/>
          <w:sz w:val="24"/>
          <w:szCs w:val="24"/>
        </w:rPr>
        <w:t xml:space="preserve"> to how the overall fit statistic’s value is divided up among the </w:t>
      </w:r>
      <w:r>
        <w:rPr>
          <w:rFonts w:ascii="Times New Roman" w:hAnsi="Times New Roman" w:cs="Times New Roman"/>
          <w:sz w:val="24"/>
          <w:szCs w:val="24"/>
        </w:rPr>
        <w:t>independent variables (</w:t>
      </w:r>
      <w:r w:rsidRPr="005734A2">
        <w:rPr>
          <w:rFonts w:ascii="Times New Roman" w:hAnsi="Times New Roman" w:cs="Times New Roman"/>
          <w:sz w:val="24"/>
          <w:szCs w:val="24"/>
        </w:rPr>
        <w:t>IVs</w:t>
      </w:r>
      <w:r>
        <w:rPr>
          <w:rFonts w:ascii="Times New Roman" w:hAnsi="Times New Roman" w:cs="Times New Roman"/>
          <w:sz w:val="24"/>
          <w:szCs w:val="24"/>
        </w:rPr>
        <w:t>)</w:t>
      </w:r>
      <w:r w:rsidRPr="005734A2">
        <w:rPr>
          <w:rFonts w:ascii="Times New Roman" w:hAnsi="Times New Roman" w:cs="Times New Roman"/>
          <w:sz w:val="24"/>
          <w:szCs w:val="24"/>
        </w:rPr>
        <w:t>.</w:t>
      </w:r>
      <w:r>
        <w:rPr>
          <w:rFonts w:ascii="Times New Roman" w:hAnsi="Times New Roman" w:cs="Times New Roman"/>
          <w:sz w:val="24"/>
          <w:szCs w:val="24"/>
        </w:rPr>
        <w:t xml:space="preserve"> </w:t>
      </w:r>
      <w:r w:rsidRPr="00C32018">
        <w:rPr>
          <w:rFonts w:ascii="Times New Roman" w:hAnsi="Times New Roman" w:cs="Times New Roman"/>
          <w:sz w:val="24"/>
          <w:szCs w:val="24"/>
        </w:rPr>
        <w:t>The general dominance statistics always sum to the value of the overall fit statistic and, because they represent parts of a whole, are widely considered the easiest of the dominance statistics to interpret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7A6F94">
        <w:rPr>
          <w:rFonts w:ascii="Times New Roman" w:hAnsi="Times New Roman" w:cs="Times New Roman"/>
          <w:sz w:val="24"/>
          <w:szCs w:val="24"/>
        </w:rPr>
        <w:instrText xml:space="preserve"> ADDIN EN.CITE &lt;EndNote&gt;&lt;Cite&gt;&lt;Author&gt;Luchman&lt;/Author&gt;&lt;Year&gt;2024&lt;/Year&gt;&lt;RecNum&gt;5225&lt;/RecNum&gt;&lt;DisplayText&gt;(2)&lt;/DisplayText&gt;&lt;record&gt;&lt;rec-number&gt;5225&lt;/rec-number&gt;&lt;foreign-keys&gt;&lt;key app="EN" db-id="s2strzfd1ae2sce2es9vwe5czs00afssxa9w" timestamp="1736222816"&gt;5225&lt;/key&gt;&lt;/foreign-keys&gt;&lt;ref-type name="Web Page"&gt;12&lt;/ref-type&gt;&lt;contributors&gt;&lt;authors&gt;&lt;author&gt;Joseph Luchman&lt;/author&gt;&lt;/authors&gt;&lt;/contributors&gt;&lt;titles&gt;&lt;title&gt;Conceptual Introduction to Dominance Analysis; Examples and Implementation with domir.&lt;/title&gt;&lt;/titles&gt;&lt;volume&gt;2025&lt;/volume&gt;&lt;number&gt;5 January&lt;/number&gt;&lt;dates&gt;&lt;year&gt;2024&lt;/year&gt;&lt;/dates&gt;&lt;urls&gt;&lt;related-urls&gt;&lt;url&gt;https://cran.r-project.org/web/packages/domir/vignettes/domir_basics.html&lt;/url&gt;&lt;/related-urls&gt;&lt;/urls&gt;&lt;/record&gt;&lt;/Cite&gt;&lt;/EndNote&gt;</w:instrText>
      </w:r>
      <w:r>
        <w:rPr>
          <w:rFonts w:ascii="Times New Roman" w:hAnsi="Times New Roman" w:cs="Times New Roman"/>
          <w:sz w:val="24"/>
          <w:szCs w:val="24"/>
        </w:rPr>
        <w:fldChar w:fldCharType="separate"/>
      </w:r>
      <w:r w:rsidR="007A6F94">
        <w:rPr>
          <w:rFonts w:ascii="Times New Roman" w:hAnsi="Times New Roman" w:cs="Times New Roman"/>
          <w:noProof/>
          <w:sz w:val="24"/>
          <w:szCs w:val="24"/>
        </w:rPr>
        <w:t>(2)</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25159C">
        <w:rPr>
          <w:rFonts w:ascii="Times New Roman" w:hAnsi="Times New Roman" w:cs="Times New Roman"/>
          <w:sz w:val="24"/>
          <w:szCs w:val="24"/>
        </w:rPr>
        <w:t>General dominance is computed as:</w:t>
      </w:r>
    </w:p>
    <w:p w14:paraId="494ACF79" w14:textId="77777777" w:rsidR="006F04B0" w:rsidRPr="005F1615" w:rsidRDefault="00717904" w:rsidP="006F04B0">
      <w:pPr>
        <w:spacing w:line="480" w:lineRule="auto"/>
        <w:jc w:val="both"/>
      </w:pPr>
      <m:oMathPara>
        <m:oMath>
          <m:sSub>
            <m:sSubPr>
              <m:ctrlPr>
                <w:rPr>
                  <w:rFonts w:ascii="Cambria Math" w:hAnsi="Cambria Math"/>
                  <w:i/>
                </w:rPr>
              </m:ctrlPr>
            </m:sSubPr>
            <m:e>
              <m:r>
                <w:rPr>
                  <w:rFonts w:ascii="Cambria Math" w:hAnsi="Cambria Math"/>
                </w:rPr>
                <m:t>C</m:t>
              </m:r>
            </m:e>
            <m:sub>
              <m:sSub>
                <m:sSubPr>
                  <m:ctrlPr>
                    <w:rPr>
                      <w:rFonts w:ascii="Cambria Math" w:hAnsi="Cambria Math"/>
                      <w:i/>
                    </w:rPr>
                  </m:ctrlPr>
                </m:sSubPr>
                <m:e>
                  <m:r>
                    <w:rPr>
                      <w:rFonts w:ascii="Cambria Math" w:hAnsi="Cambria Math"/>
                    </w:rPr>
                    <m:t>X</m:t>
                  </m:r>
                </m:e>
                <m:sub>
                  <m:r>
                    <w:rPr>
                      <w:rFonts w:ascii="Cambria Math" w:hAnsi="Cambria Math"/>
                    </w:rPr>
                    <m:t>v</m:t>
                  </m:r>
                </m:sub>
              </m:sSub>
            </m:sub>
          </m:sSub>
          <m:r>
            <w:rPr>
              <w:rFonts w:ascii="Cambria Math" w:hAnsi="Cambria Math"/>
            </w:rPr>
            <m:t>=</m:t>
          </m:r>
          <m:nary>
            <m:naryPr>
              <m:chr m:val="∑"/>
              <m:limLoc m:val="undOvr"/>
              <m:ctrlPr>
                <w:rPr>
                  <w:rFonts w:ascii="Cambria Math" w:hAnsi="Cambria Math"/>
                  <w:i/>
                </w:rPr>
              </m:ctrlPr>
            </m:naryPr>
            <m:sub>
              <m:r>
                <w:rPr>
                  <w:rFonts w:ascii="Cambria Math" w:hAnsi="Cambria Math"/>
                </w:rPr>
                <m:t>i</m:t>
              </m:r>
              <m:r>
                <w:rPr>
                  <w:rFonts w:ascii="Cambria Math" w:hAnsi="Cambria Math"/>
                </w:rPr>
                <m:t>=1</m:t>
              </m:r>
            </m:sub>
            <m:sup>
              <m:r>
                <w:rPr>
                  <w:rFonts w:ascii="Cambria Math" w:hAnsi="Cambria Math"/>
                </w:rPr>
                <m:t>p</m:t>
              </m:r>
            </m:sup>
            <m:e>
              <m:f>
                <m:fPr>
                  <m:ctrlPr>
                    <w:rPr>
                      <w:rFonts w:ascii="Cambria Math" w:hAnsi="Cambria Math"/>
                      <w:i/>
                    </w:rPr>
                  </m:ctrlPr>
                </m:fPr>
                <m:num>
                  <m:sSubSup>
                    <m:sSubSupPr>
                      <m:ctrlPr>
                        <w:rPr>
                          <w:rFonts w:ascii="Cambria Math" w:hAnsi="Cambria Math"/>
                          <w:i/>
                        </w:rPr>
                      </m:ctrlPr>
                    </m:sSubSupPr>
                    <m:e>
                      <m:r>
                        <w:rPr>
                          <w:rFonts w:ascii="Cambria Math" w:hAnsi="Cambria Math"/>
                        </w:rPr>
                        <m:t>C</m:t>
                      </m:r>
                    </m:e>
                    <m:sub>
                      <m:sSub>
                        <m:sSubPr>
                          <m:ctrlPr>
                            <w:rPr>
                              <w:rFonts w:ascii="Cambria Math" w:hAnsi="Cambria Math"/>
                              <w:i/>
                            </w:rPr>
                          </m:ctrlPr>
                        </m:sSubPr>
                        <m:e>
                          <m:r>
                            <w:rPr>
                              <w:rFonts w:ascii="Cambria Math" w:hAnsi="Cambria Math"/>
                            </w:rPr>
                            <m:t>X</m:t>
                          </m:r>
                        </m:e>
                        <m:sub>
                          <m:r>
                            <w:rPr>
                              <w:rFonts w:ascii="Cambria Math" w:hAnsi="Cambria Math"/>
                            </w:rPr>
                            <m:t>v</m:t>
                          </m:r>
                        </m:sub>
                      </m:sSub>
                    </m:sub>
                    <m:sup>
                      <m:r>
                        <w:rPr>
                          <w:rFonts w:ascii="Cambria Math" w:hAnsi="Cambria Math"/>
                        </w:rPr>
                        <m:t>i</m:t>
                      </m:r>
                    </m:sup>
                  </m:sSubSup>
                </m:num>
                <m:den>
                  <m:r>
                    <w:rPr>
                      <w:rFonts w:ascii="Cambria Math" w:hAnsi="Cambria Math"/>
                    </w:rPr>
                    <m:t>P</m:t>
                  </m:r>
                </m:den>
              </m:f>
            </m:e>
          </m:nary>
        </m:oMath>
      </m:oMathPara>
    </w:p>
    <w:p w14:paraId="56062521" w14:textId="77777777" w:rsidR="006F04B0" w:rsidRDefault="006F04B0" w:rsidP="006F04B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Where </w:t>
      </w:r>
      <m:oMath>
        <m:sSubSup>
          <m:sSubSupPr>
            <m:ctrlPr>
              <w:rPr>
                <w:rFonts w:ascii="Cambria Math" w:hAnsi="Cambria Math" w:cs="Times New Roman"/>
                <w:i/>
                <w:sz w:val="24"/>
                <w:szCs w:val="24"/>
              </w:rPr>
            </m:ctrlPr>
          </m:sSubSupPr>
          <m:e>
            <m:r>
              <w:rPr>
                <w:rFonts w:ascii="Cambria Math" w:hAnsi="Cambria Math" w:cs="Times New Roman"/>
                <w:sz w:val="24"/>
                <w:szCs w:val="24"/>
              </w:rPr>
              <m:t>C</m:t>
            </m:r>
          </m:e>
          <m: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v</m:t>
                </m:r>
              </m:sub>
            </m:sSub>
          </m:sub>
          <m:sup>
            <m:r>
              <w:rPr>
                <w:rFonts w:ascii="Cambria Math" w:hAnsi="Cambria Math" w:cs="Times New Roman"/>
                <w:sz w:val="24"/>
                <w:szCs w:val="24"/>
              </w:rPr>
              <m:t>i</m:t>
            </m:r>
          </m:sup>
        </m:sSubSup>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p-1</m:t>
                      </m:r>
                    </m:e>
                  </m:mr>
                  <m:mr>
                    <m:e>
                      <m:r>
                        <w:rPr>
                          <w:rFonts w:ascii="Cambria Math" w:hAnsi="Cambria Math" w:cs="Times New Roman"/>
                          <w:sz w:val="24"/>
                          <w:szCs w:val="24"/>
                        </w:rPr>
                        <m:t>i-1</m:t>
                      </m:r>
                    </m:e>
                  </m:mr>
                </m:m>
              </m:e>
            </m:d>
          </m:sup>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F</m:t>
                    </m:r>
                  </m:e>
                  <m: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v</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i</m:t>
                        </m:r>
                      </m:sub>
                    </m:sSub>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m:t>
                    </m:r>
                  </m:e>
                  <m:sub>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i</m:t>
                        </m:r>
                      </m:sub>
                    </m:sSub>
                  </m:sub>
                </m:sSub>
              </m:num>
              <m:den>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p-1</m:t>
                          </m:r>
                        </m:e>
                      </m:mr>
                      <m:mr>
                        <m:e>
                          <m:r>
                            <w:rPr>
                              <w:rFonts w:ascii="Cambria Math" w:hAnsi="Cambria Math" w:cs="Times New Roman"/>
                              <w:sz w:val="24"/>
                              <w:szCs w:val="24"/>
                            </w:rPr>
                            <m:t>i-1</m:t>
                          </m:r>
                        </m:e>
                      </m:mr>
                    </m:m>
                  </m:e>
                </m:d>
              </m:den>
            </m:f>
          </m:e>
        </m:nary>
      </m:oMath>
      <w:r>
        <w:rPr>
          <w:rFonts w:ascii="Times New Roman" w:hAnsi="Times New Roman" w:cs="Times New Roman"/>
          <w:sz w:val="24"/>
          <w:szCs w:val="24"/>
        </w:rPr>
        <w:t xml:space="preserve"> </w:t>
      </w:r>
      <w:r w:rsidRPr="005F1615">
        <w:rPr>
          <w:rFonts w:ascii="Times New Roman" w:hAnsi="Times New Roman" w:cs="Times New Roman"/>
          <w:sz w:val="24"/>
          <w:szCs w:val="24"/>
        </w:rPr>
        <w:t xml:space="preserve">are the conditional dominance statistics </w:t>
      </w:r>
      <w:r>
        <w:rPr>
          <w:rFonts w:ascii="Times New Roman" w:hAnsi="Times New Roman" w:cs="Times New Roman"/>
          <w:sz w:val="24"/>
          <w:szCs w:val="24"/>
        </w:rPr>
        <w:t xml:space="preserve">for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v</m:t>
            </m:r>
          </m:sub>
        </m:sSub>
      </m:oMath>
      <w:r w:rsidRPr="005F1615">
        <w:rPr>
          <w:rFonts w:ascii="Times New Roman" w:hAnsi="Times New Roman" w:cs="Times New Roman"/>
          <w:sz w:val="24"/>
          <w:szCs w:val="24"/>
        </w:rPr>
        <w:t>  with </w:t>
      </w:r>
      <m:oMath>
        <m:r>
          <w:rPr>
            <w:rFonts w:ascii="Cambria Math" w:hAnsi="Cambria Math" w:cs="Times New Roman"/>
            <w:sz w:val="24"/>
            <w:szCs w:val="24"/>
          </w:rPr>
          <m:t>i</m:t>
        </m:r>
      </m:oMath>
      <w:r w:rsidRPr="005F1615">
        <w:rPr>
          <w:rFonts w:ascii="Times New Roman" w:hAnsi="Times New Roman" w:cs="Times New Roman"/>
          <w:sz w:val="24"/>
          <w:szCs w:val="24"/>
        </w:rPr>
        <w:t xml:space="preserve"> IVs. </w:t>
      </w:r>
      <w:r>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i</m:t>
            </m:r>
          </m:sub>
        </m:sSub>
      </m:oMath>
      <w:r>
        <w:rPr>
          <w:rFonts w:ascii="Times New Roman" w:eastAsiaTheme="minorEastAsia" w:hAnsi="Times New Roman" w:cs="Times New Roman"/>
          <w:sz w:val="24"/>
          <w:szCs w:val="24"/>
        </w:rPr>
        <w:t xml:space="preserve"> </w:t>
      </w:r>
      <w:r w:rsidRPr="0001636C">
        <w:rPr>
          <w:rFonts w:ascii="Times New Roman" w:eastAsiaTheme="minorEastAsia" w:hAnsi="Times New Roman" w:cs="Times New Roman"/>
          <w:sz w:val="24"/>
          <w:szCs w:val="24"/>
        </w:rPr>
        <w:t>is a subset of IVs not including</w:t>
      </w:r>
      <w:r>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v</m:t>
            </m:r>
          </m:sub>
        </m:sSub>
      </m:oMath>
      <w:r w:rsidRPr="005F1615">
        <w:rPr>
          <w:rFonts w:ascii="Times New Roman" w:hAnsi="Times New Roman" w:cs="Times New Roman"/>
          <w:sz w:val="24"/>
          <w:szCs w:val="24"/>
        </w:rPr>
        <w:t>  </w:t>
      </w:r>
      <w:r>
        <w:rPr>
          <w:rFonts w:ascii="Times New Roman" w:hAnsi="Times New Roman" w:cs="Times New Roman"/>
          <w:sz w:val="24"/>
          <w:szCs w:val="24"/>
        </w:rPr>
        <w:t xml:space="preserve">and </w:t>
      </w:r>
      <m:oMath>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p-1</m:t>
                  </m:r>
                </m:e>
              </m:mr>
              <m:mr>
                <m:e>
                  <m:r>
                    <w:rPr>
                      <w:rFonts w:ascii="Cambria Math" w:hAnsi="Cambria Math" w:cs="Times New Roman"/>
                      <w:sz w:val="24"/>
                      <w:szCs w:val="24"/>
                    </w:rPr>
                    <m:t>i-1</m:t>
                  </m:r>
                </m:e>
              </m:mr>
            </m:m>
          </m:e>
        </m:d>
      </m:oMath>
      <w:r>
        <w:rPr>
          <w:rFonts w:ascii="Times New Roman" w:hAnsi="Times New Roman" w:cs="Times New Roman"/>
          <w:sz w:val="24"/>
          <w:szCs w:val="24"/>
        </w:rPr>
        <w:t xml:space="preserve">  is the number of distinct combinations produced by choosing the number of elements in the bottom value </w:t>
      </w:r>
      <m:oMath>
        <m:d>
          <m:dPr>
            <m:ctrlPr>
              <w:rPr>
                <w:rFonts w:ascii="Cambria Math" w:hAnsi="Cambria Math" w:cs="Times New Roman"/>
                <w:i/>
                <w:sz w:val="24"/>
                <w:szCs w:val="24"/>
              </w:rPr>
            </m:ctrlPr>
          </m:dPr>
          <m:e>
            <m:r>
              <w:rPr>
                <w:rFonts w:ascii="Cambria Math" w:hAnsi="Cambria Math" w:cs="Times New Roman"/>
                <w:sz w:val="24"/>
                <w:szCs w:val="24"/>
              </w:rPr>
              <m:t>i-1</m:t>
            </m:r>
          </m:e>
        </m:d>
      </m:oMath>
      <w:r>
        <w:rPr>
          <w:rFonts w:ascii="Times New Roman" w:eastAsiaTheme="minorEastAsia" w:hAnsi="Times New Roman" w:cs="Times New Roman"/>
          <w:sz w:val="24"/>
          <w:szCs w:val="24"/>
        </w:rPr>
        <w:t xml:space="preserve"> given that the number of elements in the top value </w:t>
      </w:r>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p-1</m:t>
            </m:r>
          </m:e>
        </m:d>
      </m:oMath>
      <w:r>
        <w:rPr>
          <w:rFonts w:ascii="Times New Roman" w:eastAsiaTheme="minorEastAsia" w:hAnsi="Times New Roman" w:cs="Times New Roman"/>
          <w:sz w:val="24"/>
          <w:szCs w:val="24"/>
        </w:rPr>
        <w:t xml:space="preserve"> (i.e., the value produced by choose </w:t>
      </w:r>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 xml:space="preserve">p-1, </m:t>
            </m:r>
            <m:r>
              <w:rPr>
                <w:rFonts w:ascii="Cambria Math" w:hAnsi="Cambria Math"/>
              </w:rPr>
              <m:t>i-1</m:t>
            </m:r>
          </m:e>
        </m:d>
      </m:oMath>
      <w:r>
        <w:rPr>
          <w:rFonts w:ascii="Times New Roman" w:eastAsiaTheme="minorEastAsia" w:hAnsi="Times New Roman" w:cs="Times New Roman"/>
          <w:sz w:val="24"/>
          <w:szCs w:val="24"/>
        </w:rPr>
        <w:t xml:space="preserve">). </w:t>
      </w:r>
      <w:r w:rsidRPr="005F1615">
        <w:rPr>
          <w:rFonts w:ascii="Times New Roman" w:hAnsi="Times New Roman" w:cs="Times New Roman"/>
          <w:sz w:val="24"/>
          <w:szCs w:val="24"/>
        </w:rPr>
        <w:t>Hence, the general dominance statistics are the arithmetic average of all the conditional dominance statistics for an IV</w:t>
      </w:r>
      <w:r>
        <w:rPr>
          <w:rFonts w:ascii="Times New Roman" w:hAnsi="Times New Roman" w:cs="Times New Roman"/>
          <w:sz w:val="24"/>
          <w:szCs w:val="24"/>
        </w:rPr>
        <w:t>.</w:t>
      </w:r>
    </w:p>
    <w:p w14:paraId="44CB4A77" w14:textId="77777777" w:rsidR="006F04B0" w:rsidRPr="00C32018" w:rsidRDefault="006F04B0" w:rsidP="006F04B0">
      <w:pPr>
        <w:spacing w:line="480" w:lineRule="auto"/>
        <w:jc w:val="both"/>
        <w:rPr>
          <w:rFonts w:ascii="Times New Roman" w:hAnsi="Times New Roman" w:cs="Times New Roman"/>
          <w:sz w:val="24"/>
          <w:szCs w:val="24"/>
        </w:rPr>
      </w:pPr>
      <w:r w:rsidRPr="00C15569">
        <w:rPr>
          <w:rFonts w:ascii="Times New Roman" w:hAnsi="Times New Roman" w:cs="Times New Roman"/>
          <w:sz w:val="24"/>
          <w:szCs w:val="24"/>
        </w:rPr>
        <w:t>The </w:t>
      </w:r>
      <w:r w:rsidRPr="005734A2">
        <w:rPr>
          <w:rFonts w:ascii="Times New Roman" w:hAnsi="Times New Roman" w:cs="Times New Roman"/>
          <w:sz w:val="24"/>
          <w:szCs w:val="24"/>
        </w:rPr>
        <w:t>Standardized</w:t>
      </w:r>
      <w:r w:rsidRPr="00C15569">
        <w:rPr>
          <w:rFonts w:ascii="Times New Roman" w:hAnsi="Times New Roman" w:cs="Times New Roman"/>
          <w:sz w:val="24"/>
          <w:szCs w:val="24"/>
        </w:rPr>
        <w:t> </w:t>
      </w:r>
      <w:r>
        <w:rPr>
          <w:rFonts w:ascii="Times New Roman" w:hAnsi="Times New Roman" w:cs="Times New Roman"/>
          <w:sz w:val="24"/>
          <w:szCs w:val="24"/>
        </w:rPr>
        <w:t>dominance</w:t>
      </w:r>
      <w:r w:rsidRPr="00C15569">
        <w:rPr>
          <w:rFonts w:ascii="Times New Roman" w:hAnsi="Times New Roman" w:cs="Times New Roman"/>
          <w:sz w:val="24"/>
          <w:szCs w:val="24"/>
        </w:rPr>
        <w:t xml:space="preserve"> statistics expresses the general dominance statistic value as a percentage of the overall fit statistic value and thus sums to 100%.</w:t>
      </w:r>
    </w:p>
    <w:p w14:paraId="45F48B26" w14:textId="77777777" w:rsidR="006F04B0" w:rsidRPr="006C5BEB" w:rsidRDefault="006F04B0" w:rsidP="00D50C57">
      <w:pPr>
        <w:rPr>
          <w:rFonts w:ascii="Times New Roman" w:hAnsi="Times New Roman" w:cs="Times New Roman"/>
          <w:b/>
          <w:bCs/>
          <w:sz w:val="28"/>
          <w:szCs w:val="28"/>
        </w:rPr>
      </w:pPr>
      <w:r w:rsidRPr="006C5BEB">
        <w:rPr>
          <w:rFonts w:ascii="Times New Roman" w:hAnsi="Times New Roman" w:cs="Times New Roman"/>
          <w:b/>
          <w:bCs/>
          <w:sz w:val="28"/>
          <w:szCs w:val="28"/>
        </w:rPr>
        <w:lastRenderedPageBreak/>
        <w:t>Inequality measures</w:t>
      </w:r>
    </w:p>
    <w:p w14:paraId="518B1B6D" w14:textId="77777777" w:rsidR="006F04B0" w:rsidRPr="006C5BEB" w:rsidRDefault="006F04B0" w:rsidP="00D50C57">
      <w:pPr>
        <w:rPr>
          <w:rFonts w:ascii="Times New Roman" w:hAnsi="Times New Roman" w:cs="Times New Roman"/>
          <w:b/>
          <w:bCs/>
          <w:sz w:val="24"/>
          <w:szCs w:val="24"/>
        </w:rPr>
      </w:pPr>
      <w:r w:rsidRPr="006C5BEB">
        <w:rPr>
          <w:rFonts w:ascii="Times New Roman" w:hAnsi="Times New Roman" w:cs="Times New Roman"/>
          <w:b/>
          <w:bCs/>
          <w:sz w:val="24"/>
          <w:szCs w:val="24"/>
        </w:rPr>
        <w:t>Measuring inequality for equity strata with two categories</w:t>
      </w:r>
    </w:p>
    <w:p w14:paraId="60A810A5" w14:textId="716202B4" w:rsidR="006F04B0" w:rsidRDefault="006F04B0" w:rsidP="006F04B0">
      <w:pPr>
        <w:spacing w:line="480" w:lineRule="auto"/>
        <w:jc w:val="both"/>
        <w:rPr>
          <w:rFonts w:ascii="Times New Roman" w:hAnsi="Times New Roman" w:cs="Times New Roman"/>
          <w:sz w:val="24"/>
          <w:szCs w:val="24"/>
        </w:rPr>
      </w:pPr>
      <w:r w:rsidRPr="00433984">
        <w:rPr>
          <w:rFonts w:ascii="Times New Roman" w:hAnsi="Times New Roman" w:cs="Times New Roman"/>
          <w:sz w:val="24"/>
          <w:szCs w:val="24"/>
        </w:rPr>
        <w:t>For equity strata with two categories the RD and</w:t>
      </w:r>
      <w:r>
        <w:rPr>
          <w:rFonts w:ascii="Times New Roman" w:hAnsi="Times New Roman" w:cs="Times New Roman"/>
          <w:sz w:val="24"/>
          <w:szCs w:val="24"/>
        </w:rPr>
        <w:t xml:space="preserve"> </w:t>
      </w:r>
      <w:r w:rsidRPr="00433984">
        <w:rPr>
          <w:rFonts w:ascii="Times New Roman" w:hAnsi="Times New Roman" w:cs="Times New Roman"/>
          <w:sz w:val="24"/>
          <w:szCs w:val="24"/>
        </w:rPr>
        <w:t>RR were calculated as follows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7A6F94">
        <w:rPr>
          <w:rFonts w:ascii="Times New Roman" w:hAnsi="Times New Roman" w:cs="Times New Roman"/>
          <w:sz w:val="24"/>
          <w:szCs w:val="24"/>
        </w:rPr>
        <w:instrText xml:space="preserve"> ADDIN EN.CITE &lt;EndNote&gt;&lt;Cite&gt;&lt;Author&gt;Schlotheuber&lt;/Author&gt;&lt;Year&gt;2022&lt;/Year&gt;&lt;RecNum&gt;5267&lt;/RecNum&gt;&lt;DisplayText&gt;(3)&lt;/DisplayText&gt;&lt;record&gt;&lt;rec-number&gt;5267&lt;/rec-number&gt;&lt;foreign-keys&gt;&lt;key app="EN" db-id="s2strzfd1ae2sce2es9vwe5czs00afssxa9w" timestamp="1739880116"&gt;5267&lt;/key&gt;&lt;/foreign-keys&gt;&lt;ref-type name="Journal Article"&gt;17&lt;/ref-type&gt;&lt;contributors&gt;&lt;authors&gt;&lt;author&gt;Schlotheuber, Anne&lt;/author&gt;&lt;author&gt;Hosseinpoor, Ahmad Reza&lt;/author&gt;&lt;/authors&gt;&lt;/contributors&gt;&lt;titles&gt;&lt;title&gt;Summary measures of health inequality: a review of existing measures and their application&lt;/title&gt;&lt;secondary-title&gt;International journal of environmental research and public health&lt;/secondary-title&gt;&lt;/titles&gt;&lt;periodical&gt;&lt;full-title&gt;International Journal of Environmental Research and Public Health&lt;/full-title&gt;&lt;/periodical&gt;&lt;pages&gt;3697&lt;/pages&gt;&lt;volume&gt;19&lt;/volume&gt;&lt;number&gt;6&lt;/number&gt;&lt;dates&gt;&lt;year&gt;2022&lt;/year&gt;&lt;/dates&gt;&lt;isbn&gt;1660-4601&lt;/isbn&gt;&lt;urls&gt;&lt;/urls&gt;&lt;/record&gt;&lt;/Cite&gt;&lt;/EndNote&gt;</w:instrText>
      </w:r>
      <w:r>
        <w:rPr>
          <w:rFonts w:ascii="Times New Roman" w:hAnsi="Times New Roman" w:cs="Times New Roman"/>
          <w:sz w:val="24"/>
          <w:szCs w:val="24"/>
        </w:rPr>
        <w:fldChar w:fldCharType="separate"/>
      </w:r>
      <w:r w:rsidR="007A6F94">
        <w:rPr>
          <w:rFonts w:ascii="Times New Roman" w:hAnsi="Times New Roman" w:cs="Times New Roman"/>
          <w:noProof/>
          <w:sz w:val="24"/>
          <w:szCs w:val="24"/>
        </w:rPr>
        <w:t>(3)</w:t>
      </w:r>
      <w:r>
        <w:rPr>
          <w:rFonts w:ascii="Times New Roman" w:hAnsi="Times New Roman" w:cs="Times New Roman"/>
          <w:sz w:val="24"/>
          <w:szCs w:val="24"/>
        </w:rPr>
        <w:fldChar w:fldCharType="end"/>
      </w:r>
      <w:r w:rsidRPr="00DE567B">
        <w:rPr>
          <w:rFonts w:ascii="Times New Roman" w:hAnsi="Times New Roman" w:cs="Times New Roman"/>
          <w:sz w:val="24"/>
          <w:szCs w:val="24"/>
        </w:rPr>
        <w:t>:</w:t>
      </w:r>
    </w:p>
    <w:p w14:paraId="2A9360EF" w14:textId="77777777" w:rsidR="006F04B0" w:rsidRPr="005E0AFB" w:rsidRDefault="006F04B0" w:rsidP="006F04B0">
      <w:pPr>
        <w:spacing w:line="48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RD=</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2,</m:t>
              </m:r>
            </m:sub>
          </m:sSub>
        </m:oMath>
      </m:oMathPara>
    </w:p>
    <w:p w14:paraId="72FA863D" w14:textId="77777777" w:rsidR="006F04B0" w:rsidRPr="00DE567B" w:rsidRDefault="006F04B0" w:rsidP="006F04B0">
      <w:pPr>
        <w:spacing w:line="480" w:lineRule="auto"/>
        <w:jc w:val="both"/>
        <w:rPr>
          <w:rFonts w:ascii="Times New Roman" w:hAnsi="Times New Roman" w:cs="Times New Roman"/>
          <w:sz w:val="24"/>
          <w:szCs w:val="24"/>
        </w:rPr>
      </w:pPr>
      <m:oMathPara>
        <m:oMath>
          <m:r>
            <w:rPr>
              <w:rFonts w:ascii="Cambria Math" w:hAnsi="Cambria Math" w:cs="Times New Roman"/>
              <w:sz w:val="24"/>
              <w:szCs w:val="24"/>
            </w:rPr>
            <m:t>RR=</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1</m:t>
                  </m:r>
                </m:sub>
              </m:sSub>
            </m:num>
            <m:den>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2</m:t>
                  </m:r>
                </m:sub>
              </m:sSub>
            </m:den>
          </m:f>
          <m:r>
            <w:rPr>
              <w:rFonts w:ascii="Cambria Math" w:hAnsi="Cambria Math" w:cs="Times New Roman"/>
              <w:sz w:val="24"/>
              <w:szCs w:val="24"/>
            </w:rPr>
            <m:t>,</m:t>
          </m:r>
        </m:oMath>
      </m:oMathPara>
    </w:p>
    <w:p w14:paraId="0FFCD510" w14:textId="3B6A5367" w:rsidR="006F04B0" w:rsidRDefault="006F04B0" w:rsidP="006F04B0">
      <w:pPr>
        <w:spacing w:line="480" w:lineRule="auto"/>
        <w:jc w:val="both"/>
        <w:rPr>
          <w:rFonts w:ascii="Times New Roman" w:hAnsi="Times New Roman" w:cs="Times New Roman"/>
          <w:sz w:val="24"/>
          <w:szCs w:val="24"/>
        </w:rPr>
      </w:pPr>
      <w:r w:rsidRPr="00DE567B">
        <w:rPr>
          <w:rFonts w:ascii="Times New Roman" w:hAnsi="Times New Roman" w:cs="Times New Roman"/>
          <w:sz w:val="24"/>
          <w:szCs w:val="24"/>
        </w:rPr>
        <w:t>where </w:t>
      </w:r>
      <w:r w:rsidRPr="003B751A">
        <w:rPr>
          <w:rFonts w:ascii="Times New Roman" w:hAnsi="Times New Roman" w:cs="Times New Roman"/>
          <w:i/>
          <w:iCs/>
          <w:sz w:val="24"/>
          <w:szCs w:val="24"/>
        </w:rPr>
        <w:t>Y</w:t>
      </w:r>
      <w:r w:rsidRPr="003B751A">
        <w:rPr>
          <w:rFonts w:ascii="Times New Roman" w:hAnsi="Times New Roman" w:cs="Times New Roman"/>
          <w:i/>
          <w:iCs/>
          <w:sz w:val="24"/>
          <w:szCs w:val="24"/>
          <w:vertAlign w:val="subscript"/>
        </w:rPr>
        <w:t>1</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and </w:t>
      </w:r>
      <w:r w:rsidRPr="003B751A">
        <w:rPr>
          <w:rFonts w:ascii="Times New Roman" w:hAnsi="Times New Roman" w:cs="Times New Roman"/>
          <w:i/>
          <w:iCs/>
          <w:sz w:val="24"/>
          <w:szCs w:val="24"/>
        </w:rPr>
        <w:t>Y</w:t>
      </w:r>
      <w:r w:rsidRPr="003B751A">
        <w:rPr>
          <w:rFonts w:ascii="Times New Roman" w:hAnsi="Times New Roman" w:cs="Times New Roman"/>
          <w:i/>
          <w:iCs/>
          <w:sz w:val="24"/>
          <w:szCs w:val="24"/>
          <w:vertAlign w:val="subscript"/>
        </w:rPr>
        <w:t>2</w:t>
      </w:r>
      <w:r>
        <w:rPr>
          <w:rFonts w:ascii="Times New Roman" w:hAnsi="Times New Roman" w:cs="Times New Roman"/>
          <w:sz w:val="24"/>
          <w:szCs w:val="24"/>
          <w:vertAlign w:val="subscript"/>
        </w:rPr>
        <w:t xml:space="preserve"> </w:t>
      </w:r>
      <w:r w:rsidRPr="006822EC">
        <w:rPr>
          <w:rFonts w:ascii="Times New Roman" w:hAnsi="Times New Roman" w:cs="Times New Roman"/>
          <w:sz w:val="24"/>
          <w:szCs w:val="24"/>
        </w:rPr>
        <w:t xml:space="preserve">indicate the estimates for subgroups 1 and 2. </w:t>
      </w:r>
      <w:r w:rsidR="004C5587">
        <w:rPr>
          <w:rFonts w:ascii="Times New Roman" w:hAnsi="Times New Roman" w:cs="Times New Roman"/>
          <w:sz w:val="24"/>
          <w:szCs w:val="24"/>
        </w:rPr>
        <w:t>S</w:t>
      </w:r>
      <w:r w:rsidRPr="006822EC">
        <w:rPr>
          <w:rFonts w:ascii="Times New Roman" w:hAnsi="Times New Roman" w:cs="Times New Roman"/>
          <w:sz w:val="24"/>
          <w:szCs w:val="24"/>
        </w:rPr>
        <w:t>election of the two subgroups depends on the characteristics of the inequality dimension and the purpose of the analysis</w:t>
      </w:r>
      <w:r>
        <w:rPr>
          <w:rFonts w:ascii="Times New Roman" w:hAnsi="Times New Roman" w:cs="Times New Roman"/>
          <w:sz w:val="24"/>
          <w:szCs w:val="24"/>
        </w:rPr>
        <w:t>.</w:t>
      </w:r>
      <w:r>
        <w:rPr>
          <w:rFonts w:ascii="Times New Roman" w:hAnsi="Times New Roman" w:cs="Times New Roman"/>
          <w:sz w:val="24"/>
          <w:szCs w:val="24"/>
          <w:vertAlign w:val="subscript"/>
        </w:rPr>
        <w:t xml:space="preserve"> </w:t>
      </w:r>
      <w:r w:rsidRPr="00DE567B">
        <w:rPr>
          <w:rFonts w:ascii="Times New Roman" w:hAnsi="Times New Roman" w:cs="Times New Roman"/>
          <w:sz w:val="24"/>
          <w:szCs w:val="24"/>
        </w:rPr>
        <w:t>For RD, the larger the absolute value, the higher the level of inequality</w:t>
      </w:r>
      <w:r>
        <w:rPr>
          <w:rFonts w:ascii="Times New Roman" w:hAnsi="Times New Roman" w:cs="Times New Roman"/>
          <w:sz w:val="24"/>
          <w:szCs w:val="24"/>
        </w:rPr>
        <w:t xml:space="preserve"> and </w:t>
      </w:r>
      <w:r w:rsidRPr="00DE567B">
        <w:rPr>
          <w:rFonts w:ascii="Times New Roman" w:hAnsi="Times New Roman" w:cs="Times New Roman"/>
          <w:sz w:val="24"/>
          <w:szCs w:val="24"/>
        </w:rPr>
        <w:t>RR takes only positive values</w:t>
      </w:r>
      <w:r>
        <w:rPr>
          <w:rFonts w:ascii="Times New Roman" w:hAnsi="Times New Roman" w:cs="Times New Roman"/>
          <w:sz w:val="24"/>
          <w:szCs w:val="24"/>
        </w:rPr>
        <w:t>,</w:t>
      </w:r>
      <w:r w:rsidRPr="00DE567B">
        <w:rPr>
          <w:rFonts w:ascii="Times New Roman" w:hAnsi="Times New Roman" w:cs="Times New Roman"/>
          <w:sz w:val="24"/>
          <w:szCs w:val="24"/>
        </w:rPr>
        <w:t xml:space="preserve"> </w:t>
      </w:r>
      <w:r>
        <w:rPr>
          <w:rFonts w:ascii="Times New Roman" w:hAnsi="Times New Roman" w:cs="Times New Roman"/>
          <w:sz w:val="24"/>
          <w:szCs w:val="24"/>
        </w:rPr>
        <w:t>t</w:t>
      </w:r>
      <w:r w:rsidRPr="00DE567B">
        <w:rPr>
          <w:rFonts w:ascii="Times New Roman" w:hAnsi="Times New Roman" w:cs="Times New Roman"/>
          <w:sz w:val="24"/>
          <w:szCs w:val="24"/>
        </w:rPr>
        <w:t xml:space="preserve">he further the value of RR from 1, the higher the level of inequality. </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7A6F94">
        <w:rPr>
          <w:rFonts w:ascii="Times New Roman" w:hAnsi="Times New Roman" w:cs="Times New Roman"/>
          <w:sz w:val="24"/>
          <w:szCs w:val="24"/>
        </w:rPr>
        <w:instrText xml:space="preserve"> ADDIN EN.CITE &lt;EndNote&gt;&lt;Cite&gt;&lt;Author&gt;Schlotheuber&lt;/Author&gt;&lt;Year&gt;2022&lt;/Year&gt;&lt;RecNum&gt;5267&lt;/RecNum&gt;&lt;DisplayText&gt;(3, 4)&lt;/DisplayText&gt;&lt;record&gt;&lt;rec-number&gt;5267&lt;/rec-number&gt;&lt;foreign-keys&gt;&lt;key app="EN" db-id="s2strzfd1ae2sce2es9vwe5czs00afssxa9w" timestamp="1739880116"&gt;5267&lt;/key&gt;&lt;/foreign-keys&gt;&lt;ref-type name="Journal Article"&gt;17&lt;/ref-type&gt;&lt;contributors&gt;&lt;authors&gt;&lt;author&gt;Schlotheuber, Anne&lt;/author&gt;&lt;author&gt;Hosseinpoor, Ahmad Reza&lt;/author&gt;&lt;/authors&gt;&lt;/contributors&gt;&lt;titles&gt;&lt;title&gt;Summary measures of health inequality: a review of existing measures and their application&lt;/title&gt;&lt;secondary-title&gt;International journal of environmental research and public health&lt;/secondary-title&gt;&lt;/titles&gt;&lt;periodical&gt;&lt;full-title&gt;International Journal of Environmental Research and Public Health&lt;/full-title&gt;&lt;/periodical&gt;&lt;pages&gt;3697&lt;/pages&gt;&lt;volume&gt;19&lt;/volume&gt;&lt;number&gt;6&lt;/number&gt;&lt;dates&gt;&lt;year&gt;2022&lt;/year&gt;&lt;/dates&gt;&lt;isbn&gt;1660-4601&lt;/isbn&gt;&lt;urls&gt;&lt;/urls&gt;&lt;/record&gt;&lt;/Cite&gt;&lt;Cite&gt;&lt;Author&gt;Hosseinpoor&lt;/Author&gt;&lt;Year&gt;2018&lt;/Year&gt;&lt;RecNum&gt;5152&lt;/RecNum&gt;&lt;record&gt;&lt;rec-number&gt;5152&lt;/rec-number&gt;&lt;foreign-keys&gt;&lt;key app="EN" db-id="s2strzfd1ae2sce2es9vwe5czs00afssxa9w" timestamp="1705909761"&gt;5152&lt;/key&gt;&lt;/foreign-keys&gt;&lt;ref-type name="Journal Article"&gt;17&lt;/ref-type&gt;&lt;contributors&gt;&lt;authors&gt;&lt;author&gt;Hosseinpoor, Ahmad Reza&lt;/author&gt;&lt;author&gt;Schlotheuber, Anne&lt;/author&gt;&lt;author&gt;Nambiar, Devaki&lt;/author&gt;&lt;author&gt;Ross, Zev&lt;/author&gt;&lt;/authors&gt;&lt;/contributors&gt;&lt;titles&gt;&lt;title&gt;Health Equity Assessment Toolkit Plus (HEAT Plus): software for exploring and comparing health inequalities using uploaded datasets&lt;/title&gt;&lt;secondary-title&gt;Global Health Action&lt;/secondary-title&gt;&lt;/titles&gt;&lt;periodical&gt;&lt;full-title&gt;Global Health Action&lt;/full-title&gt;&lt;/periodical&gt;&lt;pages&gt;20-30&lt;/pages&gt;&lt;volume&gt;11&lt;/volume&gt;&lt;number&gt;sup1&lt;/number&gt;&lt;dates&gt;&lt;year&gt;2018&lt;/year&gt;&lt;/dates&gt;&lt;isbn&gt;1654-9716&lt;/isbn&gt;&lt;urls&gt;&lt;/urls&gt;&lt;/record&gt;&lt;/Cite&gt;&lt;/EndNote&gt;</w:instrText>
      </w:r>
      <w:r>
        <w:rPr>
          <w:rFonts w:ascii="Times New Roman" w:hAnsi="Times New Roman" w:cs="Times New Roman"/>
          <w:sz w:val="24"/>
          <w:szCs w:val="24"/>
        </w:rPr>
        <w:fldChar w:fldCharType="separate"/>
      </w:r>
      <w:r w:rsidR="007A6F94">
        <w:rPr>
          <w:rFonts w:ascii="Times New Roman" w:hAnsi="Times New Roman" w:cs="Times New Roman"/>
          <w:noProof/>
          <w:sz w:val="24"/>
          <w:szCs w:val="24"/>
        </w:rPr>
        <w:t>(3, 4)</w:t>
      </w:r>
      <w:r>
        <w:rPr>
          <w:rFonts w:ascii="Times New Roman" w:hAnsi="Times New Roman" w:cs="Times New Roman"/>
          <w:sz w:val="24"/>
          <w:szCs w:val="24"/>
        </w:rPr>
        <w:fldChar w:fldCharType="end"/>
      </w:r>
      <w:r w:rsidRPr="00DE567B">
        <w:rPr>
          <w:rFonts w:ascii="Times New Roman" w:hAnsi="Times New Roman" w:cs="Times New Roman"/>
          <w:sz w:val="24"/>
          <w:szCs w:val="24"/>
        </w:rPr>
        <w:t>.</w:t>
      </w:r>
    </w:p>
    <w:p w14:paraId="718686E0" w14:textId="77777777" w:rsidR="006F04B0" w:rsidRPr="002E0F4E" w:rsidRDefault="006F04B0" w:rsidP="00D50C57">
      <w:pPr>
        <w:rPr>
          <w:rFonts w:ascii="Times New Roman" w:hAnsi="Times New Roman" w:cs="Times New Roman"/>
          <w:b/>
          <w:bCs/>
          <w:sz w:val="24"/>
          <w:szCs w:val="24"/>
        </w:rPr>
      </w:pPr>
      <w:r w:rsidRPr="002E0F4E">
        <w:rPr>
          <w:rFonts w:ascii="Times New Roman" w:hAnsi="Times New Roman" w:cs="Times New Roman"/>
          <w:b/>
          <w:bCs/>
          <w:sz w:val="24"/>
          <w:szCs w:val="24"/>
        </w:rPr>
        <w:t>Measuring inequality for ordered equity strata of more than two categories</w:t>
      </w:r>
    </w:p>
    <w:p w14:paraId="50F124D4" w14:textId="0768F0CC" w:rsidR="006F04B0" w:rsidRPr="00DE567B" w:rsidRDefault="006F04B0" w:rsidP="006F04B0">
      <w:pPr>
        <w:spacing w:line="480" w:lineRule="auto"/>
        <w:jc w:val="both"/>
        <w:rPr>
          <w:rFonts w:ascii="Times New Roman" w:hAnsi="Times New Roman" w:cs="Times New Roman"/>
          <w:sz w:val="24"/>
          <w:szCs w:val="24"/>
        </w:rPr>
      </w:pPr>
      <w:r w:rsidRPr="00DE567B">
        <w:rPr>
          <w:rFonts w:ascii="Times New Roman" w:hAnsi="Times New Roman" w:cs="Times New Roman"/>
          <w:sz w:val="24"/>
          <w:szCs w:val="24"/>
        </w:rPr>
        <w:t xml:space="preserve">The concentration curve is a graphical representation of inequality in maternal health care use that allows comparison of the degree of inequality across </w:t>
      </w:r>
      <w:r>
        <w:rPr>
          <w:rFonts w:ascii="Times New Roman" w:hAnsi="Times New Roman" w:cs="Times New Roman"/>
          <w:sz w:val="24"/>
          <w:szCs w:val="24"/>
        </w:rPr>
        <w:t>subgroups</w:t>
      </w:r>
      <w:r w:rsidRPr="00DE567B">
        <w:rPr>
          <w:rFonts w:ascii="Times New Roman" w:hAnsi="Times New Roman" w:cs="Times New Roman"/>
          <w:sz w:val="24"/>
          <w:szCs w:val="24"/>
        </w:rPr>
        <w:t>. The concentration curve compares the cumulative proportion of maternal health care use indicators to the cumulative proportion of people ranked by various equity strata (such as wealth quintile and education). The line from the origin indicates perfect equality. The degree of inequality increases with the concentration curve's distance from the line of perfect equality</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7A6F94">
        <w:rPr>
          <w:rFonts w:ascii="Times New Roman" w:hAnsi="Times New Roman" w:cs="Times New Roman"/>
          <w:sz w:val="24"/>
          <w:szCs w:val="24"/>
        </w:rPr>
        <w:instrText xml:space="preserve"> ADDIN EN.CITE &lt;EndNote&gt;&lt;Cite&gt;&lt;Author&gt;Pulok&lt;/Author&gt;&lt;Year&gt;2018&lt;/Year&gt;&lt;RecNum&gt;5195&lt;/RecNum&gt;&lt;DisplayText&gt;(5, 6)&lt;/DisplayText&gt;&lt;record&gt;&lt;rec-number&gt;5195&lt;/rec-number&gt;&lt;foreign-keys&gt;&lt;key app="EN" db-id="s2strzfd1ae2sce2es9vwe5czs00afssxa9w" timestamp="1731559938"&gt;5195&lt;/key&gt;&lt;/foreign-keys&gt;&lt;ref-type name="Journal Article"&gt;17&lt;/ref-type&gt;&lt;contributors&gt;&lt;authors&gt;&lt;author&gt;Pulok, Mohammad Habibullah&lt;/author&gt;&lt;author&gt;Uddin, Jalal&lt;/author&gt;&lt;author&gt;Enemark, Ulrika&lt;/author&gt;&lt;author&gt;Hossin, Muhammad Zakir&lt;/author&gt;&lt;/authors&gt;&lt;/contributors&gt;&lt;titles&gt;&lt;title&gt;Socioeconomic inequality in maternal healthcare: An analysis of regional variation in Bangladesh&lt;/title&gt;&lt;secondary-title&gt;Health &amp;amp; place&lt;/secondary-title&gt;&lt;/titles&gt;&lt;periodical&gt;&lt;full-title&gt;Health &amp;amp; place&lt;/full-title&gt;&lt;/periodical&gt;&lt;pages&gt;205-214&lt;/pages&gt;&lt;volume&gt;52&lt;/volume&gt;&lt;dates&gt;&lt;year&gt;2018&lt;/year&gt;&lt;/dates&gt;&lt;isbn&gt;1353-8292&lt;/isbn&gt;&lt;urls&gt;&lt;/urls&gt;&lt;/record&gt;&lt;/Cite&gt;&lt;Cite&gt;&lt;Author&gt;Bintabara&lt;/Author&gt;&lt;Year&gt;2021&lt;/Year&gt;&lt;RecNum&gt;5196&lt;/RecNum&gt;&lt;record&gt;&lt;rec-number&gt;5196&lt;/rec-number&gt;&lt;foreign-keys&gt;&lt;key app="EN" db-id="s2strzfd1ae2sce2es9vwe5czs00afssxa9w" timestamp="1731560000"&gt;5196&lt;/key&gt;&lt;/foreign-keys&gt;&lt;ref-type name="Journal Article"&gt;17&lt;/ref-type&gt;&lt;contributors&gt;&lt;authors&gt;&lt;author&gt;Bintabara, Deogratius&lt;/author&gt;&lt;/authors&gt;&lt;/contributors&gt;&lt;titles&gt;&lt;title&gt;Addressing the huge poor–rich gap of inequalities in accessing safe childbirth care: A first step to achieving universal maternal health coverage in Tanzania&lt;/title&gt;&lt;secondary-title&gt;Plos one&lt;/secondary-title&gt;&lt;/titles&gt;&lt;periodical&gt;&lt;full-title&gt;PloS one&lt;/full-title&gt;&lt;/periodical&gt;&lt;pages&gt;e0246995&lt;/pages&gt;&lt;volume&gt;16&lt;/volume&gt;&lt;number&gt;2&lt;/number&gt;&lt;dates&gt;&lt;year&gt;2021&lt;/year&gt;&lt;/dates&gt;&lt;isbn&gt;1932-6203&lt;/isbn&gt;&lt;urls&gt;&lt;/urls&gt;&lt;/record&gt;&lt;/Cite&gt;&lt;/EndNote&gt;</w:instrText>
      </w:r>
      <w:r>
        <w:rPr>
          <w:rFonts w:ascii="Times New Roman" w:hAnsi="Times New Roman" w:cs="Times New Roman"/>
          <w:sz w:val="24"/>
          <w:szCs w:val="24"/>
        </w:rPr>
        <w:fldChar w:fldCharType="separate"/>
      </w:r>
      <w:r w:rsidR="007A6F94">
        <w:rPr>
          <w:rFonts w:ascii="Times New Roman" w:hAnsi="Times New Roman" w:cs="Times New Roman"/>
          <w:noProof/>
          <w:sz w:val="24"/>
          <w:szCs w:val="24"/>
        </w:rPr>
        <w:t>(5, 6)</w:t>
      </w:r>
      <w:r>
        <w:rPr>
          <w:rFonts w:ascii="Times New Roman" w:hAnsi="Times New Roman" w:cs="Times New Roman"/>
          <w:sz w:val="24"/>
          <w:szCs w:val="24"/>
        </w:rPr>
        <w:fldChar w:fldCharType="end"/>
      </w:r>
      <w:r w:rsidRPr="00DE567B">
        <w:rPr>
          <w:rFonts w:ascii="Times New Roman" w:hAnsi="Times New Roman" w:cs="Times New Roman"/>
          <w:sz w:val="24"/>
          <w:szCs w:val="24"/>
        </w:rPr>
        <w:t>.</w:t>
      </w:r>
      <w:r>
        <w:rPr>
          <w:rFonts w:ascii="Times New Roman" w:hAnsi="Times New Roman" w:cs="Times New Roman"/>
          <w:sz w:val="24"/>
          <w:szCs w:val="24"/>
        </w:rPr>
        <w:t xml:space="preserve"> </w:t>
      </w:r>
      <w:r w:rsidRPr="00DE567B">
        <w:rPr>
          <w:rFonts w:ascii="Times New Roman" w:hAnsi="Times New Roman" w:cs="Times New Roman"/>
          <w:sz w:val="24"/>
          <w:szCs w:val="24"/>
        </w:rPr>
        <w:t xml:space="preserve">RCI, and </w:t>
      </w:r>
      <w:r>
        <w:rPr>
          <w:rFonts w:ascii="Times New Roman" w:hAnsi="Times New Roman" w:cs="Times New Roman"/>
          <w:sz w:val="24"/>
          <w:szCs w:val="24"/>
        </w:rPr>
        <w:t>R</w:t>
      </w:r>
      <w:r w:rsidRPr="00DE567B">
        <w:rPr>
          <w:rFonts w:ascii="Times New Roman" w:hAnsi="Times New Roman" w:cs="Times New Roman"/>
          <w:sz w:val="24"/>
          <w:szCs w:val="24"/>
        </w:rPr>
        <w:t xml:space="preserve">II were employed to measure the magnitude of inequality in maternal </w:t>
      </w:r>
      <w:r>
        <w:rPr>
          <w:rFonts w:ascii="Times New Roman" w:hAnsi="Times New Roman" w:cs="Times New Roman"/>
          <w:sz w:val="24"/>
          <w:szCs w:val="24"/>
        </w:rPr>
        <w:t>healthcare</w:t>
      </w:r>
      <w:r w:rsidRPr="00DE567B">
        <w:rPr>
          <w:rFonts w:ascii="Times New Roman" w:hAnsi="Times New Roman" w:cs="Times New Roman"/>
          <w:sz w:val="24"/>
          <w:szCs w:val="24"/>
        </w:rPr>
        <w:t xml:space="preserve"> use for common equity strata</w:t>
      </w:r>
      <w:r>
        <w:rPr>
          <w:rFonts w:ascii="Times New Roman" w:hAnsi="Times New Roman" w:cs="Times New Roman"/>
          <w:sz w:val="24"/>
          <w:szCs w:val="24"/>
        </w:rPr>
        <w:t xml:space="preserve"> with more than two ordered categories</w:t>
      </w:r>
      <w:r w:rsidRPr="00DE567B">
        <w:rPr>
          <w:rFonts w:ascii="Times New Roman" w:hAnsi="Times New Roman" w:cs="Times New Roman"/>
          <w:sz w:val="24"/>
          <w:szCs w:val="24"/>
        </w:rPr>
        <w:t xml:space="preserve">. </w:t>
      </w:r>
    </w:p>
    <w:p w14:paraId="4E1EB0C2" w14:textId="6A7816EB" w:rsidR="006F04B0" w:rsidRDefault="006F04B0" w:rsidP="006F04B0">
      <w:pPr>
        <w:spacing w:line="480" w:lineRule="auto"/>
        <w:jc w:val="both"/>
        <w:rPr>
          <w:rFonts w:ascii="Times New Roman" w:hAnsi="Times New Roman" w:cs="Times New Roman"/>
          <w:sz w:val="24"/>
          <w:szCs w:val="24"/>
        </w:rPr>
      </w:pPr>
      <w:r w:rsidRPr="00DE567B">
        <w:rPr>
          <w:rFonts w:ascii="Times New Roman" w:hAnsi="Times New Roman" w:cs="Times New Roman"/>
          <w:sz w:val="24"/>
          <w:szCs w:val="24"/>
        </w:rPr>
        <w:t xml:space="preserve">The RCI is based on the relative concentration curve, </w:t>
      </w:r>
      <w:r>
        <w:rPr>
          <w:rFonts w:ascii="Times New Roman" w:hAnsi="Times New Roman" w:cs="Times New Roman"/>
          <w:sz w:val="24"/>
          <w:szCs w:val="24"/>
        </w:rPr>
        <w:t xml:space="preserve">the </w:t>
      </w:r>
      <w:r w:rsidRPr="00DA3EEA">
        <w:rPr>
          <w:rFonts w:ascii="Times New Roman" w:hAnsi="Times New Roman" w:cs="Times New Roman"/>
          <w:sz w:val="24"/>
          <w:szCs w:val="24"/>
        </w:rPr>
        <w:t xml:space="preserve">measure of inequality that shows the gradient across population subgroups, on a relative scale. </w:t>
      </w:r>
      <w:r w:rsidRPr="00DE567B">
        <w:rPr>
          <w:rFonts w:ascii="Times New Roman" w:hAnsi="Times New Roman" w:cs="Times New Roman"/>
          <w:sz w:val="24"/>
          <w:szCs w:val="24"/>
        </w:rPr>
        <w:t>If the concentration curve is above (below) the line of equality, the RCI is negative (positive), indicating that the use of maternal healthcare services is concentrated among underprivileged (privileged) groups. The RCI ranges from − 1 to 1, with 0 denoting "</w:t>
      </w:r>
      <w:r>
        <w:rPr>
          <w:rFonts w:ascii="Times New Roman" w:hAnsi="Times New Roman" w:cs="Times New Roman"/>
          <w:sz w:val="24"/>
          <w:szCs w:val="24"/>
        </w:rPr>
        <w:t>no</w:t>
      </w:r>
      <w:r w:rsidRPr="00DE567B">
        <w:rPr>
          <w:rFonts w:ascii="Times New Roman" w:hAnsi="Times New Roman" w:cs="Times New Roman"/>
          <w:sz w:val="24"/>
          <w:szCs w:val="24"/>
        </w:rPr>
        <w:t xml:space="preserve"> equality”.</w:t>
      </w:r>
      <w:r>
        <w:rPr>
          <w:rFonts w:ascii="Times New Roman" w:hAnsi="Times New Roman" w:cs="Times New Roman"/>
          <w:sz w:val="24"/>
          <w:szCs w:val="24"/>
        </w:rPr>
        <w:t xml:space="preserve"> </w:t>
      </w:r>
      <w:r w:rsidRPr="00C72524">
        <w:rPr>
          <w:rFonts w:ascii="Times New Roman" w:hAnsi="Times New Roman" w:cs="Times New Roman"/>
          <w:sz w:val="24"/>
          <w:szCs w:val="24"/>
        </w:rPr>
        <w:t xml:space="preserve">Positive values indicate a concentration of the indicator among the advantaged, while negative values indicate a concentration of the indicator </w:t>
      </w:r>
      <w:r w:rsidRPr="00C72524">
        <w:rPr>
          <w:rFonts w:ascii="Times New Roman" w:hAnsi="Times New Roman" w:cs="Times New Roman"/>
          <w:sz w:val="24"/>
          <w:szCs w:val="24"/>
        </w:rPr>
        <w:lastRenderedPageBreak/>
        <w:t>among the disadvantaged. The greater the absolute value of RCI, the higher the level of inequality</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7A6F94">
        <w:rPr>
          <w:rFonts w:ascii="Times New Roman" w:hAnsi="Times New Roman" w:cs="Times New Roman"/>
          <w:sz w:val="24"/>
          <w:szCs w:val="24"/>
        </w:rPr>
        <w:instrText xml:space="preserve"> ADDIN EN.CITE &lt;EndNote&gt;&lt;Cite&gt;&lt;Author&gt;Schlotheuber&lt;/Author&gt;&lt;Year&gt;2022&lt;/Year&gt;&lt;RecNum&gt;5223&lt;/RecNum&gt;&lt;DisplayText&gt;(3)&lt;/DisplayText&gt;&lt;record&gt;&lt;rec-number&gt;5223&lt;/rec-number&gt;&lt;foreign-keys&gt;&lt;key app="EN" db-id="s2strzfd1ae2sce2es9vwe5czs00afssxa9w" timestamp="1735834958"&gt;5223&lt;/key&gt;&lt;/foreign-keys&gt;&lt;ref-type name="Journal Article"&gt;17&lt;/ref-type&gt;&lt;contributors&gt;&lt;authors&gt;&lt;author&gt;Schlotheuber, Anne&lt;/author&gt;&lt;author&gt;Hosseinpoor, Ahmad Reza&lt;/author&gt;&lt;/authors&gt;&lt;/contributors&gt;&lt;titles&gt;&lt;title&gt;Summary measures of health inequality: a review of existing measures and their application&lt;/title&gt;&lt;secondary-title&gt;International journal of environmental research and public health&lt;/secondary-title&gt;&lt;/titles&gt;&lt;periodical&gt;&lt;full-title&gt;International Journal of Environmental Research and Public Health&lt;/full-title&gt;&lt;/periodical&gt;&lt;pages&gt;3697&lt;/pages&gt;&lt;volume&gt;19&lt;/volume&gt;&lt;number&gt;6&lt;/number&gt;&lt;dates&gt;&lt;year&gt;2022&lt;/year&gt;&lt;/dates&gt;&lt;isbn&gt;1660-4601&lt;/isbn&gt;&lt;urls&gt;&lt;/urls&gt;&lt;/record&gt;&lt;/Cite&gt;&lt;/EndNote&gt;</w:instrText>
      </w:r>
      <w:r>
        <w:rPr>
          <w:rFonts w:ascii="Times New Roman" w:hAnsi="Times New Roman" w:cs="Times New Roman"/>
          <w:sz w:val="24"/>
          <w:szCs w:val="24"/>
        </w:rPr>
        <w:fldChar w:fldCharType="separate"/>
      </w:r>
      <w:r w:rsidR="007A6F94">
        <w:rPr>
          <w:rFonts w:ascii="Times New Roman" w:hAnsi="Times New Roman" w:cs="Times New Roman"/>
          <w:noProof/>
          <w:sz w:val="24"/>
          <w:szCs w:val="24"/>
        </w:rPr>
        <w:t>(3)</w:t>
      </w:r>
      <w:r>
        <w:rPr>
          <w:rFonts w:ascii="Times New Roman" w:hAnsi="Times New Roman" w:cs="Times New Roman"/>
          <w:sz w:val="24"/>
          <w:szCs w:val="24"/>
        </w:rPr>
        <w:fldChar w:fldCharType="end"/>
      </w:r>
      <w:r w:rsidRPr="00C72524">
        <w:rPr>
          <w:rFonts w:ascii="Times New Roman" w:hAnsi="Times New Roman" w:cs="Times New Roman"/>
          <w:sz w:val="24"/>
          <w:szCs w:val="24"/>
        </w:rPr>
        <w:t>.</w:t>
      </w:r>
      <w:r w:rsidRPr="00DE567B">
        <w:rPr>
          <w:rFonts w:ascii="Times New Roman" w:hAnsi="Times New Roman" w:cs="Times New Roman"/>
          <w:sz w:val="24"/>
          <w:szCs w:val="24"/>
        </w:rPr>
        <w:t xml:space="preserve"> The RCI can be calculated </w:t>
      </w:r>
      <w:r>
        <w:rPr>
          <w:rFonts w:ascii="Times New Roman" w:hAnsi="Times New Roman" w:cs="Times New Roman"/>
          <w:sz w:val="24"/>
          <w:szCs w:val="24"/>
        </w:rPr>
        <w:t xml:space="preserve">by </w:t>
      </w:r>
      <w:r w:rsidRPr="00DA3EEA">
        <w:rPr>
          <w:rFonts w:ascii="Times New Roman" w:hAnsi="Times New Roman" w:cs="Times New Roman"/>
          <w:sz w:val="24"/>
          <w:szCs w:val="24"/>
        </w:rPr>
        <w:t>dividing the absolute concentration index (ACI) by the setting average</w:t>
      </w:r>
      <w:r>
        <w:rPr>
          <w:rFonts w:ascii="Times New Roman" w:hAnsi="Times New Roman" w:cs="Times New Roman"/>
          <w:sz w:val="24"/>
          <w:szCs w:val="24"/>
        </w:rPr>
        <w:t xml:space="preserve"> µ</w:t>
      </w:r>
      <w:r w:rsidRPr="00DA3EEA">
        <w:rPr>
          <w:rFonts w:ascii="Times New Roman" w:hAnsi="Times New Roman" w:cs="Times New Roman"/>
          <w:sz w:val="24"/>
          <w:szCs w:val="24"/>
        </w:rPr>
        <w:t> </w:t>
      </w:r>
      <w:r w:rsidRPr="00DE567B">
        <w:rPr>
          <w:rFonts w:ascii="Times New Roman" w:hAnsi="Times New Roman" w:cs="Times New Roman"/>
          <w:sz w:val="24"/>
          <w:szCs w:val="24"/>
        </w:rPr>
        <w:t xml:space="preserve">as follows </w:t>
      </w:r>
      <w:r>
        <w:rPr>
          <w:rFonts w:ascii="Times New Roman" w:hAnsi="Times New Roman" w:cs="Times New Roman"/>
          <w:sz w:val="24"/>
          <w:szCs w:val="24"/>
        </w:rPr>
        <w:fldChar w:fldCharType="begin"/>
      </w:r>
      <w:r w:rsidR="007A6F94">
        <w:rPr>
          <w:rFonts w:ascii="Times New Roman" w:hAnsi="Times New Roman" w:cs="Times New Roman"/>
          <w:sz w:val="24"/>
          <w:szCs w:val="24"/>
        </w:rPr>
        <w:instrText xml:space="preserve"> ADDIN EN.CITE &lt;EndNote&gt;&lt;Cite&gt;&lt;Author&gt;Schlotheuber&lt;/Author&gt;&lt;Year&gt;2022&lt;/Year&gt;&lt;RecNum&gt;5223&lt;/RecNum&gt;&lt;DisplayText&gt;(3)&lt;/DisplayText&gt;&lt;record&gt;&lt;rec-number&gt;5223&lt;/rec-number&gt;&lt;foreign-keys&gt;&lt;key app="EN" db-id="s2strzfd1ae2sce2es9vwe5czs00afssxa9w" timestamp="1735834958"&gt;5223&lt;/key&gt;&lt;/foreign-keys&gt;&lt;ref-type name="Journal Article"&gt;17&lt;/ref-type&gt;&lt;contributors&gt;&lt;authors&gt;&lt;author&gt;Schlotheuber, Anne&lt;/author&gt;&lt;author&gt;Hosseinpoor, Ahmad Reza&lt;/author&gt;&lt;/authors&gt;&lt;/contributors&gt;&lt;titles&gt;&lt;title&gt;Summary measures of health inequality: a review of existing measures and their application&lt;/title&gt;&lt;secondary-title&gt;International journal of environmental research and public health&lt;/secondary-title&gt;&lt;/titles&gt;&lt;periodical&gt;&lt;full-title&gt;International Journal of Environmental Research and Public Health&lt;/full-title&gt;&lt;/periodical&gt;&lt;pages&gt;3697&lt;/pages&gt;&lt;volume&gt;19&lt;/volume&gt;&lt;number&gt;6&lt;/number&gt;&lt;dates&gt;&lt;year&gt;2022&lt;/year&gt;&lt;/dates&gt;&lt;isbn&gt;1660-4601&lt;/isbn&gt;&lt;urls&gt;&lt;/urls&gt;&lt;/record&gt;&lt;/Cite&gt;&lt;/EndNote&gt;</w:instrText>
      </w:r>
      <w:r>
        <w:rPr>
          <w:rFonts w:ascii="Times New Roman" w:hAnsi="Times New Roman" w:cs="Times New Roman"/>
          <w:sz w:val="24"/>
          <w:szCs w:val="24"/>
        </w:rPr>
        <w:fldChar w:fldCharType="separate"/>
      </w:r>
      <w:r w:rsidR="007A6F94">
        <w:rPr>
          <w:rFonts w:ascii="Times New Roman" w:hAnsi="Times New Roman" w:cs="Times New Roman"/>
          <w:noProof/>
          <w:sz w:val="24"/>
          <w:szCs w:val="24"/>
        </w:rPr>
        <w:t>(3)</w:t>
      </w:r>
      <w:r>
        <w:rPr>
          <w:rFonts w:ascii="Times New Roman" w:hAnsi="Times New Roman" w:cs="Times New Roman"/>
          <w:sz w:val="24"/>
          <w:szCs w:val="24"/>
        </w:rPr>
        <w:fldChar w:fldCharType="end"/>
      </w:r>
      <w:r w:rsidRPr="00DE567B">
        <w:rPr>
          <w:rFonts w:ascii="Times New Roman" w:hAnsi="Times New Roman" w:cs="Times New Roman"/>
          <w:sz w:val="24"/>
          <w:szCs w:val="24"/>
        </w:rPr>
        <w:t>:</w:t>
      </w:r>
    </w:p>
    <w:p w14:paraId="0A6FD0DB" w14:textId="77777777" w:rsidR="006F04B0" w:rsidRDefault="006F04B0" w:rsidP="006F04B0">
      <w:pPr>
        <w:spacing w:line="480" w:lineRule="auto"/>
        <w:jc w:val="center"/>
        <w:rPr>
          <w:rFonts w:ascii="Times New Roman" w:eastAsiaTheme="minorEastAsia" w:hAnsi="Times New Roman" w:cs="Times New Roman"/>
          <w:sz w:val="24"/>
          <w:szCs w:val="24"/>
        </w:rPr>
      </w:pPr>
      <m:oMath>
        <m:r>
          <w:rPr>
            <w:rFonts w:ascii="Cambria Math" w:hAnsi="Cambria Math" w:cs="Times New Roman"/>
            <w:sz w:val="24"/>
            <w:szCs w:val="24"/>
          </w:rPr>
          <m:t>RCI=</m:t>
        </m:r>
        <m:f>
          <m:fPr>
            <m:ctrlPr>
              <w:rPr>
                <w:rFonts w:ascii="Cambria Math" w:hAnsi="Cambria Math" w:cs="Times New Roman"/>
                <w:i/>
                <w:sz w:val="24"/>
                <w:szCs w:val="24"/>
              </w:rPr>
            </m:ctrlPr>
          </m:fPr>
          <m:num>
            <m:r>
              <w:rPr>
                <w:rFonts w:ascii="Cambria Math" w:hAnsi="Cambria Math" w:cs="Times New Roman"/>
                <w:sz w:val="24"/>
                <w:szCs w:val="24"/>
              </w:rPr>
              <m:t>ACI</m:t>
            </m:r>
          </m:num>
          <m:den>
            <m:r>
              <w:rPr>
                <w:rFonts w:ascii="Cambria Math" w:hAnsi="Cambria Math" w:cs="Times New Roman"/>
                <w:sz w:val="24"/>
                <w:szCs w:val="24"/>
              </w:rPr>
              <m:t>μ</m:t>
            </m:r>
          </m:den>
        </m:f>
      </m:oMath>
      <w:r>
        <w:rPr>
          <w:rFonts w:ascii="Times New Roman" w:eastAsiaTheme="minorEastAsia" w:hAnsi="Times New Roman" w:cs="Times New Roman"/>
          <w:sz w:val="24"/>
          <w:szCs w:val="24"/>
        </w:rPr>
        <w:t xml:space="preserve">, </w:t>
      </w:r>
    </w:p>
    <w:p w14:paraId="7EAC14E2" w14:textId="77777777" w:rsidR="006F04B0" w:rsidRPr="005748B2" w:rsidRDefault="006F04B0" w:rsidP="006F04B0">
      <w:pPr>
        <w:spacing w:line="480" w:lineRule="auto"/>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Where</w:t>
      </w:r>
      <w:proofErr w:type="gramEnd"/>
      <w:r>
        <w:rPr>
          <w:rFonts w:ascii="Times New Roman" w:eastAsiaTheme="minorEastAsia" w:hAnsi="Times New Roman" w:cs="Times New Roman"/>
          <w:sz w:val="24"/>
          <w:szCs w:val="24"/>
        </w:rPr>
        <w:t>,</w:t>
      </w:r>
    </w:p>
    <w:p w14:paraId="2AAA0C34" w14:textId="77777777" w:rsidR="006F04B0" w:rsidRDefault="006F04B0" w:rsidP="006F04B0">
      <w:pPr>
        <w:spacing w:line="480" w:lineRule="auto"/>
        <w:jc w:val="both"/>
        <w:rPr>
          <w:rFonts w:ascii="Times New Roman" w:hAnsi="Times New Roman" w:cs="Times New Roman"/>
          <w:sz w:val="24"/>
          <w:szCs w:val="24"/>
        </w:rPr>
      </w:pPr>
      <m:oMathPara>
        <m:oMath>
          <m:r>
            <w:rPr>
              <w:rFonts w:ascii="Cambria Math" w:hAnsi="Cambria Math" w:cs="Times New Roman"/>
              <w:sz w:val="24"/>
              <w:szCs w:val="24"/>
            </w:rPr>
            <m:t>ACI=</m:t>
          </m:r>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j</m:t>
              </m:r>
            </m:sub>
            <m:sup/>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j</m:t>
                  </m:r>
                </m:sub>
              </m:sSub>
              <m:d>
                <m:dPr>
                  <m:ctrlPr>
                    <w:rPr>
                      <w:rFonts w:ascii="Cambria Math" w:hAnsi="Cambria Math" w:cs="Times New Roman"/>
                      <w:i/>
                      <w:sz w:val="24"/>
                      <w:szCs w:val="24"/>
                    </w:rPr>
                  </m:ctrlPr>
                </m:dPr>
                <m:e>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j</m:t>
                      </m:r>
                    </m:sub>
                  </m:sSub>
                  <m:r>
                    <w:rPr>
                      <w:rFonts w:ascii="Cambria Math" w:hAnsi="Cambria Math" w:cs="Times New Roman"/>
                      <w:sz w:val="24"/>
                      <w:szCs w:val="24"/>
                    </w:rPr>
                    <m:t>-1</m:t>
                  </m:r>
                </m:e>
              </m:d>
            </m:e>
          </m:nary>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j</m:t>
              </m:r>
            </m:sub>
          </m:sSub>
        </m:oMath>
      </m:oMathPara>
    </w:p>
    <w:p w14:paraId="58A2E228" w14:textId="77777777" w:rsidR="006F04B0" w:rsidRPr="00DA3EEA" w:rsidRDefault="006F04B0" w:rsidP="006F04B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Here, </w:t>
      </w:r>
      <w:r w:rsidRPr="005748B2">
        <w:rPr>
          <w:rFonts w:ascii="Times New Roman" w:hAnsi="Times New Roman" w:cs="Times New Roman"/>
          <w:sz w:val="24"/>
          <w:szCs w:val="24"/>
        </w:rPr>
        <w:t>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j</m:t>
            </m:r>
          </m:sub>
        </m:sSub>
        <m:r>
          <w:rPr>
            <w:rFonts w:ascii="Cambria Math" w:hAnsi="Cambria Math" w:cs="Times New Roman"/>
            <w:sz w:val="24"/>
            <w:szCs w:val="24"/>
          </w:rPr>
          <m:t xml:space="preserve"> </m:t>
        </m:r>
      </m:oMath>
      <w:r w:rsidRPr="005748B2">
        <w:rPr>
          <w:rFonts w:ascii="Times New Roman" w:hAnsi="Times New Roman" w:cs="Times New Roman"/>
          <w:sz w:val="24"/>
          <w:szCs w:val="24"/>
        </w:rPr>
        <w:t>indicates the estimate for subgroup </w:t>
      </w:r>
      <w:r w:rsidRPr="005748B2">
        <w:rPr>
          <w:rFonts w:ascii="Times New Roman" w:hAnsi="Times New Roman" w:cs="Times New Roman"/>
          <w:i/>
          <w:iCs/>
          <w:sz w:val="24"/>
          <w:szCs w:val="24"/>
        </w:rPr>
        <w:t>j</w:t>
      </w:r>
      <w:r w:rsidRPr="005748B2">
        <w:rPr>
          <w:rFonts w:ascii="Times New Roman" w:hAnsi="Times New Roman" w:cs="Times New Roman"/>
          <w:sz w:val="24"/>
          <w:szCs w:val="24"/>
        </w:rPr>
        <w:t>,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j</m:t>
            </m:r>
          </m:sub>
        </m:sSub>
      </m:oMath>
      <w:r w:rsidRPr="005748B2">
        <w:rPr>
          <w:rFonts w:ascii="Times New Roman" w:hAnsi="Times New Roman" w:cs="Times New Roman"/>
          <w:sz w:val="24"/>
          <w:szCs w:val="24"/>
        </w:rPr>
        <w:t> the population share of subgroup </w:t>
      </w:r>
      <w:r w:rsidRPr="005748B2">
        <w:rPr>
          <w:rFonts w:ascii="Times New Roman" w:hAnsi="Times New Roman" w:cs="Times New Roman"/>
          <w:i/>
          <w:iCs/>
          <w:sz w:val="24"/>
          <w:szCs w:val="24"/>
        </w:rPr>
        <w:t>j</w:t>
      </w:r>
      <w:r w:rsidRPr="005748B2">
        <w:rPr>
          <w:rFonts w:ascii="Times New Roman" w:hAnsi="Times New Roman" w:cs="Times New Roman"/>
          <w:sz w:val="24"/>
          <w:szCs w:val="24"/>
        </w:rPr>
        <w:t> and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j</m:t>
            </m:r>
          </m:sub>
        </m:sSub>
      </m:oMath>
      <w:r w:rsidRPr="005748B2">
        <w:rPr>
          <w:rFonts w:ascii="Times New Roman" w:hAnsi="Times New Roman" w:cs="Times New Roman"/>
          <w:sz w:val="24"/>
          <w:szCs w:val="24"/>
        </w:rPr>
        <w:t> the relative rank of subgroup </w:t>
      </w:r>
      <w:r w:rsidRPr="005748B2">
        <w:rPr>
          <w:rFonts w:ascii="Times New Roman" w:hAnsi="Times New Roman" w:cs="Times New Roman"/>
          <w:i/>
          <w:iCs/>
          <w:sz w:val="24"/>
          <w:szCs w:val="24"/>
        </w:rPr>
        <w:t>j</w:t>
      </w:r>
      <w:r w:rsidRPr="005748B2">
        <w:rPr>
          <w:rFonts w:ascii="Times New Roman" w:hAnsi="Times New Roman" w:cs="Times New Roman"/>
          <w:sz w:val="24"/>
          <w:szCs w:val="24"/>
        </w:rPr>
        <w:t>.</w:t>
      </w:r>
      <w:r>
        <w:rPr>
          <w:rFonts w:ascii="Times New Roman" w:hAnsi="Times New Roman" w:cs="Times New Roman"/>
          <w:sz w:val="24"/>
          <w:szCs w:val="24"/>
        </w:rPr>
        <w:t xml:space="preserve"> </w:t>
      </w:r>
    </w:p>
    <w:p w14:paraId="7BCB0C5E" w14:textId="77777777" w:rsidR="006F04B0" w:rsidRDefault="006F04B0" w:rsidP="006F04B0">
      <w:pPr>
        <w:spacing w:line="480" w:lineRule="auto"/>
        <w:jc w:val="both"/>
        <w:rPr>
          <w:rFonts w:ascii="Times New Roman" w:hAnsi="Times New Roman" w:cs="Times New Roman"/>
          <w:sz w:val="24"/>
          <w:szCs w:val="24"/>
        </w:rPr>
      </w:pPr>
      <w:r w:rsidRPr="00C72524">
        <w:rPr>
          <w:rFonts w:ascii="Times New Roman" w:hAnsi="Times New Roman" w:cs="Times New Roman"/>
          <w:sz w:val="24"/>
          <w:szCs w:val="24"/>
        </w:rPr>
        <w:t xml:space="preserve">The RII is a relative measure of inequality that represents the ratio of estimated indicator values of the </w:t>
      </w:r>
      <w:r>
        <w:rPr>
          <w:rFonts w:ascii="Times New Roman" w:hAnsi="Times New Roman" w:cs="Times New Roman"/>
          <w:sz w:val="24"/>
          <w:szCs w:val="24"/>
        </w:rPr>
        <w:t>most advantaged</w:t>
      </w:r>
      <w:r w:rsidRPr="00C72524">
        <w:rPr>
          <w:rFonts w:ascii="Times New Roman" w:hAnsi="Times New Roman" w:cs="Times New Roman"/>
          <w:sz w:val="24"/>
          <w:szCs w:val="24"/>
        </w:rPr>
        <w:t xml:space="preserve"> to the </w:t>
      </w:r>
      <w:r>
        <w:rPr>
          <w:rFonts w:ascii="Times New Roman" w:hAnsi="Times New Roman" w:cs="Times New Roman"/>
          <w:sz w:val="24"/>
          <w:szCs w:val="24"/>
        </w:rPr>
        <w:t>most disadvantaged</w:t>
      </w:r>
      <w:r w:rsidRPr="00C72524">
        <w:rPr>
          <w:rFonts w:ascii="Times New Roman" w:hAnsi="Times New Roman" w:cs="Times New Roman"/>
          <w:sz w:val="24"/>
          <w:szCs w:val="24"/>
        </w:rPr>
        <w:t xml:space="preserve"> subgroup while </w:t>
      </w:r>
      <w:proofErr w:type="gramStart"/>
      <w:r w:rsidRPr="00C72524">
        <w:rPr>
          <w:rFonts w:ascii="Times New Roman" w:hAnsi="Times New Roman" w:cs="Times New Roman"/>
          <w:sz w:val="24"/>
          <w:szCs w:val="24"/>
        </w:rPr>
        <w:t>taking into account</w:t>
      </w:r>
      <w:proofErr w:type="gramEnd"/>
      <w:r w:rsidRPr="00C72524">
        <w:rPr>
          <w:rFonts w:ascii="Times New Roman" w:hAnsi="Times New Roman" w:cs="Times New Roman"/>
          <w:sz w:val="24"/>
          <w:szCs w:val="24"/>
        </w:rPr>
        <w:t xml:space="preserve"> the situation in all other subgroups—using an appropriate regression model. To calculate RII, a weighted sample of the whole population is ranked from the </w:t>
      </w:r>
      <w:r>
        <w:rPr>
          <w:rFonts w:ascii="Times New Roman" w:hAnsi="Times New Roman" w:cs="Times New Roman"/>
          <w:sz w:val="24"/>
          <w:szCs w:val="24"/>
        </w:rPr>
        <w:t>most disadvantaged</w:t>
      </w:r>
      <w:r w:rsidRPr="00C72524">
        <w:rPr>
          <w:rFonts w:ascii="Times New Roman" w:hAnsi="Times New Roman" w:cs="Times New Roman"/>
          <w:sz w:val="24"/>
          <w:szCs w:val="24"/>
        </w:rPr>
        <w:t xml:space="preserve"> subgroup (at rank 0) to the </w:t>
      </w:r>
      <w:r>
        <w:rPr>
          <w:rFonts w:ascii="Times New Roman" w:hAnsi="Times New Roman" w:cs="Times New Roman"/>
          <w:sz w:val="24"/>
          <w:szCs w:val="24"/>
        </w:rPr>
        <w:t>most advantaged</w:t>
      </w:r>
      <w:r w:rsidRPr="00C72524">
        <w:rPr>
          <w:rFonts w:ascii="Times New Roman" w:hAnsi="Times New Roman" w:cs="Times New Roman"/>
          <w:sz w:val="24"/>
          <w:szCs w:val="24"/>
        </w:rPr>
        <w:t xml:space="preserve"> subgroup (at rank 1). This ranking is weighted, accounting for the proportional distribution of the population within each subgroup. </w:t>
      </w:r>
      <w:r>
        <w:rPr>
          <w:rFonts w:ascii="Times New Roman" w:hAnsi="Times New Roman" w:cs="Times New Roman"/>
          <w:sz w:val="24"/>
          <w:szCs w:val="24"/>
        </w:rPr>
        <w:t>T</w:t>
      </w:r>
      <w:r w:rsidRPr="00C72524">
        <w:rPr>
          <w:rFonts w:ascii="Times New Roman" w:hAnsi="Times New Roman" w:cs="Times New Roman"/>
          <w:sz w:val="24"/>
          <w:szCs w:val="24"/>
        </w:rPr>
        <w:t>he ratio of the estimated values at rank 1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oMath>
      <w:r w:rsidRPr="00C72524">
        <w:rPr>
          <w:rFonts w:ascii="Times New Roman" w:hAnsi="Times New Roman" w:cs="Times New Roman"/>
          <w:sz w:val="24"/>
          <w:szCs w:val="24"/>
        </w:rPr>
        <w:t>) to rank 0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0</m:t>
            </m:r>
          </m:sub>
        </m:sSub>
      </m:oMath>
      <w:r w:rsidRPr="00C72524">
        <w:rPr>
          <w:rFonts w:ascii="Times New Roman" w:hAnsi="Times New Roman" w:cs="Times New Roman"/>
          <w:sz w:val="24"/>
          <w:szCs w:val="24"/>
        </w:rPr>
        <w:t>) (covering the entire distribution) generates the RII value:</w:t>
      </w:r>
    </w:p>
    <w:p w14:paraId="37A66B4F" w14:textId="77777777" w:rsidR="006F04B0" w:rsidRDefault="006F04B0" w:rsidP="006F04B0">
      <w:pPr>
        <w:spacing w:line="480" w:lineRule="auto"/>
        <w:jc w:val="both"/>
        <w:rPr>
          <w:rFonts w:ascii="Times New Roman" w:hAnsi="Times New Roman" w:cs="Times New Roman"/>
          <w:sz w:val="24"/>
          <w:szCs w:val="24"/>
        </w:rPr>
      </w:pPr>
      <m:oMathPara>
        <m:oMath>
          <m:r>
            <w:rPr>
              <w:rFonts w:ascii="Cambria Math" w:hAnsi="Cambria Math" w:cs="Times New Roman"/>
              <w:sz w:val="24"/>
              <w:szCs w:val="24"/>
            </w:rPr>
            <m:t>RII=</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num>
            <m:den>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0</m:t>
                  </m:r>
                </m:sub>
              </m:sSub>
            </m:den>
          </m:f>
        </m:oMath>
      </m:oMathPara>
    </w:p>
    <w:p w14:paraId="066F849A" w14:textId="68D04C09" w:rsidR="006F04B0" w:rsidRDefault="006F04B0" w:rsidP="006F04B0">
      <w:pPr>
        <w:spacing w:line="480" w:lineRule="auto"/>
        <w:jc w:val="both"/>
        <w:rPr>
          <w:rFonts w:ascii="Times New Roman" w:hAnsi="Times New Roman" w:cs="Times New Roman"/>
          <w:sz w:val="24"/>
          <w:szCs w:val="24"/>
        </w:rPr>
      </w:pPr>
      <w:r w:rsidRPr="00C72524">
        <w:rPr>
          <w:rFonts w:ascii="Times New Roman" w:hAnsi="Times New Roman" w:cs="Times New Roman"/>
          <w:sz w:val="24"/>
          <w:szCs w:val="24"/>
        </w:rPr>
        <w:t>RII assumes only positive values</w:t>
      </w:r>
      <w:r>
        <w:rPr>
          <w:rFonts w:ascii="Times New Roman" w:hAnsi="Times New Roman" w:cs="Times New Roman"/>
          <w:sz w:val="24"/>
          <w:szCs w:val="24"/>
        </w:rPr>
        <w:t xml:space="preserve">. </w:t>
      </w:r>
      <w:r w:rsidRPr="00C72524">
        <w:rPr>
          <w:rFonts w:ascii="Times New Roman" w:hAnsi="Times New Roman" w:cs="Times New Roman"/>
          <w:sz w:val="24"/>
          <w:szCs w:val="24"/>
        </w:rPr>
        <w:t>If there is equality, RII assumes the value of one</w:t>
      </w:r>
      <w:r>
        <w:rPr>
          <w:rFonts w:ascii="Times New Roman" w:hAnsi="Times New Roman" w:cs="Times New Roman"/>
          <w:sz w:val="24"/>
          <w:szCs w:val="24"/>
        </w:rPr>
        <w:t>.</w:t>
      </w:r>
      <w:r w:rsidRPr="00C72524">
        <w:rPr>
          <w:rFonts w:ascii="Times New Roman" w:hAnsi="Times New Roman" w:cs="Times New Roman"/>
          <w:sz w:val="24"/>
          <w:szCs w:val="24"/>
        </w:rPr>
        <w:t xml:space="preserve"> The further the value of RII from one, the higher the level of inequality. Values larger than one indicate a concentration of the indicator among the advantaged and values smaller than one indicate a concentration of the indicator among the disadvantaged</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7A6F94">
        <w:rPr>
          <w:rFonts w:ascii="Times New Roman" w:hAnsi="Times New Roman" w:cs="Times New Roman"/>
          <w:sz w:val="24"/>
          <w:szCs w:val="24"/>
        </w:rPr>
        <w:instrText xml:space="preserve"> ADDIN EN.CITE &lt;EndNote&gt;&lt;Cite&gt;&lt;Author&gt;Schlotheuber&lt;/Author&gt;&lt;Year&gt;2022&lt;/Year&gt;&lt;RecNum&gt;5223&lt;/RecNum&gt;&lt;DisplayText&gt;(3)&lt;/DisplayText&gt;&lt;record&gt;&lt;rec-number&gt;5223&lt;/rec-number&gt;&lt;foreign-keys&gt;&lt;key app="EN" db-id="s2strzfd1ae2sce2es9vwe5czs00afssxa9w" timestamp="1735834958"&gt;5223&lt;/key&gt;&lt;/foreign-keys&gt;&lt;ref-type name="Journal Article"&gt;17&lt;/ref-type&gt;&lt;contributors&gt;&lt;authors&gt;&lt;author&gt;Schlotheuber, Anne&lt;/author&gt;&lt;author&gt;Hosseinpoor, Ahmad Reza&lt;/author&gt;&lt;/authors&gt;&lt;/contributors&gt;&lt;titles&gt;&lt;title&gt;Summary measures of health inequality: a review of existing measures and their application&lt;/title&gt;&lt;secondary-title&gt;International journal of environmental research and public health&lt;/secondary-title&gt;&lt;/titles&gt;&lt;periodical&gt;&lt;full-title&gt;International Journal of Environmental Research and Public Health&lt;/full-title&gt;&lt;/periodical&gt;&lt;pages&gt;3697&lt;/pages&gt;&lt;volume&gt;19&lt;/volume&gt;&lt;number&gt;6&lt;/number&gt;&lt;dates&gt;&lt;year&gt;2022&lt;/year&gt;&lt;/dates&gt;&lt;isbn&gt;1660-4601&lt;/isbn&gt;&lt;urls&gt;&lt;/urls&gt;&lt;/record&gt;&lt;/Cite&gt;&lt;/EndNote&gt;</w:instrText>
      </w:r>
      <w:r>
        <w:rPr>
          <w:rFonts w:ascii="Times New Roman" w:hAnsi="Times New Roman" w:cs="Times New Roman"/>
          <w:sz w:val="24"/>
          <w:szCs w:val="24"/>
        </w:rPr>
        <w:fldChar w:fldCharType="separate"/>
      </w:r>
      <w:r w:rsidR="007A6F94">
        <w:rPr>
          <w:rFonts w:ascii="Times New Roman" w:hAnsi="Times New Roman" w:cs="Times New Roman"/>
          <w:noProof/>
          <w:sz w:val="24"/>
          <w:szCs w:val="24"/>
        </w:rPr>
        <w:t>(3)</w:t>
      </w:r>
      <w:r>
        <w:rPr>
          <w:rFonts w:ascii="Times New Roman" w:hAnsi="Times New Roman" w:cs="Times New Roman"/>
          <w:sz w:val="24"/>
          <w:szCs w:val="24"/>
        </w:rPr>
        <w:fldChar w:fldCharType="end"/>
      </w:r>
      <w:r w:rsidRPr="00C72524">
        <w:rPr>
          <w:rFonts w:ascii="Times New Roman" w:hAnsi="Times New Roman" w:cs="Times New Roman"/>
          <w:sz w:val="24"/>
          <w:szCs w:val="24"/>
        </w:rPr>
        <w:t>. </w:t>
      </w:r>
    </w:p>
    <w:p w14:paraId="0AD3D756" w14:textId="77777777" w:rsidR="006C5BEB" w:rsidRDefault="006C5BEB">
      <w:pPr>
        <w:rPr>
          <w:rFonts w:ascii="Times New Roman" w:hAnsi="Times New Roman" w:cs="Times New Roman"/>
          <w:i/>
          <w:iCs/>
          <w:sz w:val="24"/>
          <w:szCs w:val="24"/>
        </w:rPr>
      </w:pPr>
    </w:p>
    <w:p w14:paraId="11CBEEBB" w14:textId="77777777" w:rsidR="006C5BEB" w:rsidRDefault="006C5BEB">
      <w:pPr>
        <w:rPr>
          <w:rFonts w:ascii="Times New Roman" w:hAnsi="Times New Roman" w:cs="Times New Roman"/>
          <w:i/>
          <w:iCs/>
          <w:sz w:val="24"/>
          <w:szCs w:val="24"/>
        </w:rPr>
      </w:pPr>
    </w:p>
    <w:p w14:paraId="410FE9D8" w14:textId="77777777" w:rsidR="00BB3901" w:rsidRPr="00BB3901" w:rsidRDefault="006C5BEB" w:rsidP="00BB3901">
      <w:pPr>
        <w:pStyle w:val="EndNoteBibliographyTitle"/>
      </w:pPr>
      <w:r>
        <w:lastRenderedPageBreak/>
        <w:fldChar w:fldCharType="begin"/>
      </w:r>
      <w:r>
        <w:instrText xml:space="preserve"> ADDIN EN.REFLIST </w:instrText>
      </w:r>
      <w:r>
        <w:fldChar w:fldCharType="separate"/>
      </w:r>
      <w:r w:rsidR="00BB3901" w:rsidRPr="00BB3901">
        <w:t>Reference</w:t>
      </w:r>
    </w:p>
    <w:p w14:paraId="5BB518BE" w14:textId="77777777" w:rsidR="00BB3901" w:rsidRPr="00BB3901" w:rsidRDefault="00BB3901" w:rsidP="00BB3901">
      <w:pPr>
        <w:pStyle w:val="EndNoteBibliographyTitle"/>
      </w:pPr>
    </w:p>
    <w:p w14:paraId="3007C54E" w14:textId="77777777" w:rsidR="00BB3901" w:rsidRPr="00BB3901" w:rsidRDefault="00BB3901" w:rsidP="00BB3901">
      <w:pPr>
        <w:pStyle w:val="EndNoteBibliography"/>
        <w:spacing w:after="0"/>
      </w:pPr>
      <w:r w:rsidRPr="00BB3901">
        <w:t>1.</w:t>
      </w:r>
      <w:r w:rsidRPr="00BB3901">
        <w:tab/>
        <w:t>Budescu DV. Dominance analysis: a new approach to the problem of relative importance of predictors in multiple regression. Psychological bulletin. 1993;114(3):542.</w:t>
      </w:r>
    </w:p>
    <w:p w14:paraId="39F1F83D" w14:textId="48061089" w:rsidR="00BB3901" w:rsidRPr="00BB3901" w:rsidRDefault="00BB3901" w:rsidP="00BB3901">
      <w:pPr>
        <w:pStyle w:val="EndNoteBibliography"/>
        <w:spacing w:after="0"/>
      </w:pPr>
      <w:r w:rsidRPr="00BB3901">
        <w:t>2.</w:t>
      </w:r>
      <w:r w:rsidRPr="00BB3901">
        <w:tab/>
        <w:t xml:space="preserve">Luchman J. Conceptual Introduction to Dominance Analysis; Examples and Implementation with domir. 2024 [Available from: </w:t>
      </w:r>
      <w:hyperlink r:id="rId6" w:history="1">
        <w:r w:rsidRPr="00BB3901">
          <w:rPr>
            <w:rStyle w:val="Hyperlink"/>
          </w:rPr>
          <w:t>https://cran.r-project.org/web/packages/domir/vignettes/domir_basics.html</w:t>
        </w:r>
      </w:hyperlink>
      <w:r w:rsidRPr="00BB3901">
        <w:t>.</w:t>
      </w:r>
    </w:p>
    <w:p w14:paraId="1BF1093A" w14:textId="77777777" w:rsidR="00BB3901" w:rsidRPr="00BB3901" w:rsidRDefault="00BB3901" w:rsidP="00BB3901">
      <w:pPr>
        <w:pStyle w:val="EndNoteBibliography"/>
        <w:spacing w:after="0"/>
      </w:pPr>
      <w:r w:rsidRPr="00BB3901">
        <w:t>3.</w:t>
      </w:r>
      <w:r w:rsidRPr="00BB3901">
        <w:tab/>
        <w:t>Schlotheuber A, Hosseinpoor AR. Summary measures of health inequality: a review of existing measures and their application. International journal of environmental research and public health. 2022;19(6):3697.</w:t>
      </w:r>
    </w:p>
    <w:p w14:paraId="595371AF" w14:textId="77777777" w:rsidR="00BB3901" w:rsidRPr="00BB3901" w:rsidRDefault="00BB3901" w:rsidP="00BB3901">
      <w:pPr>
        <w:pStyle w:val="EndNoteBibliography"/>
        <w:spacing w:after="0"/>
      </w:pPr>
      <w:r w:rsidRPr="00BB3901">
        <w:t>4.</w:t>
      </w:r>
      <w:r w:rsidRPr="00BB3901">
        <w:tab/>
        <w:t>Hosseinpoor AR, Schlotheuber A, Nambiar D, Ross Z. Health Equity Assessment Toolkit Plus (HEAT Plus): software for exploring and comparing health inequalities using uploaded datasets. Global Health Action. 2018;11(sup1):20–30.</w:t>
      </w:r>
    </w:p>
    <w:p w14:paraId="5521E55D" w14:textId="77777777" w:rsidR="00BB3901" w:rsidRPr="00BB3901" w:rsidRDefault="00BB3901" w:rsidP="00BB3901">
      <w:pPr>
        <w:pStyle w:val="EndNoteBibliography"/>
        <w:spacing w:after="0"/>
      </w:pPr>
      <w:r w:rsidRPr="00BB3901">
        <w:t>5.</w:t>
      </w:r>
      <w:r w:rsidRPr="00BB3901">
        <w:tab/>
        <w:t>Pulok MH, Uddin J, Enemark U, Hossin MZ. Socioeconomic inequality in maternal healthcare: An analysis of regional variation in Bangladesh. Health &amp; place. 2018;52:205–14.</w:t>
      </w:r>
    </w:p>
    <w:p w14:paraId="3CF6F6D0" w14:textId="77777777" w:rsidR="00BB3901" w:rsidRPr="00BB3901" w:rsidRDefault="00BB3901" w:rsidP="00BB3901">
      <w:pPr>
        <w:pStyle w:val="EndNoteBibliography"/>
      </w:pPr>
      <w:r w:rsidRPr="00BB3901">
        <w:t>6.</w:t>
      </w:r>
      <w:r w:rsidRPr="00BB3901">
        <w:tab/>
        <w:t>Bintabara D. Addressing the huge poor–rich gap of inequalities in accessing safe childbirth care: A first step to achieving universal maternal health coverage in Tanzania. Plos one. 2021;16(2):e0246995.</w:t>
      </w:r>
    </w:p>
    <w:p w14:paraId="5E7F6702" w14:textId="26F91713" w:rsidR="006F04B0" w:rsidRPr="00A23E2B" w:rsidRDefault="006C5BEB">
      <w:pPr>
        <w:rPr>
          <w:rFonts w:ascii="Times New Roman" w:hAnsi="Times New Roman" w:cs="Times New Roman"/>
          <w:i/>
          <w:iCs/>
          <w:sz w:val="24"/>
          <w:szCs w:val="24"/>
        </w:rPr>
      </w:pPr>
      <w:r>
        <w:rPr>
          <w:rFonts w:ascii="Times New Roman" w:hAnsi="Times New Roman" w:cs="Times New Roman"/>
          <w:i/>
          <w:iCs/>
          <w:sz w:val="24"/>
          <w:szCs w:val="24"/>
        </w:rPr>
        <w:fldChar w:fldCharType="end"/>
      </w:r>
    </w:p>
    <w:sectPr w:rsidR="006F04B0" w:rsidRPr="00A23E2B">
      <w:headerReference w:type="even" r:id="rId7"/>
      <w:footerReference w:type="default" r:id="rId8"/>
      <w:head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C4BF1" w14:textId="77777777" w:rsidR="000C4808" w:rsidRDefault="000C4808" w:rsidP="008B04C0">
      <w:pPr>
        <w:spacing w:after="0" w:line="240" w:lineRule="auto"/>
      </w:pPr>
      <w:r>
        <w:separator/>
      </w:r>
    </w:p>
  </w:endnote>
  <w:endnote w:type="continuationSeparator" w:id="0">
    <w:p w14:paraId="5D817243" w14:textId="77777777" w:rsidR="000C4808" w:rsidRDefault="000C4808" w:rsidP="008B0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3801523"/>
      <w:docPartObj>
        <w:docPartGallery w:val="Page Numbers (Bottom of Page)"/>
        <w:docPartUnique/>
      </w:docPartObj>
    </w:sdtPr>
    <w:sdtEndPr>
      <w:rPr>
        <w:noProof/>
      </w:rPr>
    </w:sdtEndPr>
    <w:sdtContent>
      <w:p w14:paraId="10AE79EA" w14:textId="42B29268" w:rsidR="008B04C0" w:rsidRDefault="008B04C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CF4B8E" w14:textId="77777777" w:rsidR="008B04C0" w:rsidRDefault="008B04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493C3" w14:textId="77777777" w:rsidR="000C4808" w:rsidRDefault="000C4808" w:rsidP="008B04C0">
      <w:pPr>
        <w:spacing w:after="0" w:line="240" w:lineRule="auto"/>
      </w:pPr>
      <w:r>
        <w:separator/>
      </w:r>
    </w:p>
  </w:footnote>
  <w:footnote w:type="continuationSeparator" w:id="0">
    <w:p w14:paraId="0A909889" w14:textId="77777777" w:rsidR="000C4808" w:rsidRDefault="000C4808" w:rsidP="008B04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021AB" w14:textId="5ECB10CE" w:rsidR="00B043DC" w:rsidRDefault="00B043DC">
    <w:pPr>
      <w:pStyle w:val="Header"/>
    </w:pPr>
    <w:r>
      <w:rPr>
        <w:noProof/>
      </w:rPr>
      <mc:AlternateContent>
        <mc:Choice Requires="wps">
          <w:drawing>
            <wp:anchor distT="0" distB="0" distL="0" distR="0" simplePos="0" relativeHeight="251658240" behindDoc="0" locked="0" layoutInCell="1" allowOverlap="1" wp14:anchorId="2F50A7D9" wp14:editId="3B903359">
              <wp:simplePos x="635" y="635"/>
              <wp:positionH relativeFrom="page">
                <wp:align>left</wp:align>
              </wp:positionH>
              <wp:positionV relativeFrom="page">
                <wp:align>top</wp:align>
              </wp:positionV>
              <wp:extent cx="762635" cy="391160"/>
              <wp:effectExtent l="0" t="0" r="18415" b="8890"/>
              <wp:wrapNone/>
              <wp:docPr id="1265942369" name="Text Box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2635" cy="391160"/>
                      </a:xfrm>
                      <a:prstGeom prst="rect">
                        <a:avLst/>
                      </a:prstGeom>
                      <a:noFill/>
                      <a:ln>
                        <a:noFill/>
                      </a:ln>
                    </wps:spPr>
                    <wps:txbx>
                      <w:txbxContent>
                        <w:p w14:paraId="4C206354" w14:textId="118F7871" w:rsidR="00B043DC" w:rsidRPr="00B043DC" w:rsidRDefault="00B043DC" w:rsidP="00B043DC">
                          <w:pPr>
                            <w:spacing w:after="0"/>
                            <w:rPr>
                              <w:rFonts w:ascii="Aptos" w:eastAsia="Aptos" w:hAnsi="Aptos" w:cs="Aptos"/>
                              <w:noProof/>
                              <w:color w:val="000000"/>
                              <w:sz w:val="24"/>
                              <w:szCs w:val="24"/>
                            </w:rPr>
                          </w:pPr>
                          <w:r w:rsidRPr="00B043DC">
                            <w:rPr>
                              <w:rFonts w:ascii="Aptos" w:eastAsia="Aptos" w:hAnsi="Aptos" w:cs="Aptos"/>
                              <w:noProof/>
                              <w:color w:val="000000"/>
                              <w:sz w:val="24"/>
                              <w:szCs w:val="24"/>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F50A7D9" id="_x0000_t202" coordsize="21600,21600" o:spt="202" path="m,l,21600r21600,l21600,xe">
              <v:stroke joinstyle="miter"/>
              <v:path gradientshapeok="t" o:connecttype="rect"/>
            </v:shapetype>
            <v:shape id="Text Box 2" o:spid="_x0000_s1026" type="#_x0000_t202" alt="Internal" style="position:absolute;margin-left:0;margin-top:0;width:60.05pt;height:30.8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SFRDwIAABoEAAAOAAAAZHJzL2Uyb0RvYy54bWysU0uP0zAQviPxHyzfaZIuLWzUdFV2VYRU&#10;7a7URXt2HbuJZHss221Sfj1jJ21h4YS4OPPKPL75ZnHXa0WOwvkWTEWLSU6JMBzq1uwr+v1l/eEz&#10;JT4wUzMFRlT0JDy9W75/t+hsKabQgKqFI5jE+LKzFW1CsGWWed4IzfwErDDolOA0C6i6fVY71mF2&#10;rbJpns+zDlxtHXDhPVofBiddpvxSCh6epPQiEFVR7C2k16V3F99suWDl3jHbtHxsg/1DF5q1Bote&#10;Uj2wwMjBtX+k0i134EGGCQedgZQtF2kGnKbI30yzbZgVaRYEx9sLTP7/peWPx619diT0X6DHBUZA&#10;OutLj8Y4Ty+djl/slKAfITxdYBN9IByNn+bT+c2MEo6um9uimCdYs+vP1vnwVYAmUaiow60ksNhx&#10;4wMWxNBzSKxlYN0qlTajzG8GDIyW7NphlEK/68e2d1CfcBoHw6K95esWa26YD8/M4WZxAGRreMJH&#10;KugqCqNESQPux9/sMR4BRy8lHTKlogapTIn6ZnAR09nHPI/MSlpxm8+i5pKGwu4smIO+ByRhgfdg&#10;eRJjXFBnUTrQr0jmVayGLmY41qxoOIv3YeAtHgMXq1UKQhJZFjZma3lMHcGKSL70r8zZEe6Ae3qE&#10;M5dY+Qb1ITb+6e3qEBD7tJII7IDmiDcSMG1qPJbI8F/1FHU96eVPAAAA//8DAFBLAwQUAAYACAAA&#10;ACEAinemxNsAAAAEAQAADwAAAGRycy9kb3ducmV2LnhtbEyPT0vDQBDF70K/wzIFb3Y3RYPEbIoU&#10;CgoWsRa9brOTP5idDdlJE7+9Wy96GXi8x3u/yTez68QZh9B60pCsFAik0tuWag3H993NPYjAhqzp&#10;PKGGbwywKRZXucmsn+gNzweuRSyhkBkNDXOfSRnKBp0JK98jRa/ygzMc5VBLO5gplrtOrpVKpTMt&#10;xYXG9LhtsPw6jE7D02345LGq7sL+ZT+p58kdx9cPra+X8+MDCMaZ/8JwwY/oUESmkx/JBtFpiI/w&#10;7714a5WAOGlIkxRkkcv/8MUPAAAA//8DAFBLAQItABQABgAIAAAAIQC2gziS/gAAAOEBAAATAAAA&#10;AAAAAAAAAAAAAAAAAABbQ29udGVudF9UeXBlc10ueG1sUEsBAi0AFAAGAAgAAAAhADj9If/WAAAA&#10;lAEAAAsAAAAAAAAAAAAAAAAALwEAAF9yZWxzLy5yZWxzUEsBAi0AFAAGAAgAAAAhAGyBIVEPAgAA&#10;GgQAAA4AAAAAAAAAAAAAAAAALgIAAGRycy9lMm9Eb2MueG1sUEsBAi0AFAAGAAgAAAAhAIp3psTb&#10;AAAABAEAAA8AAAAAAAAAAAAAAAAAaQQAAGRycy9kb3ducmV2LnhtbFBLBQYAAAAABAAEAPMAAABx&#10;BQAAAAA=&#10;" filled="f" stroked="f">
              <v:textbox style="mso-fit-shape-to-text:t" inset="20pt,15pt,0,0">
                <w:txbxContent>
                  <w:p w14:paraId="4C206354" w14:textId="118F7871" w:rsidR="00B043DC" w:rsidRPr="00B043DC" w:rsidRDefault="00B043DC" w:rsidP="00B043DC">
                    <w:pPr>
                      <w:spacing w:after="0"/>
                      <w:rPr>
                        <w:rFonts w:ascii="Aptos" w:eastAsia="Aptos" w:hAnsi="Aptos" w:cs="Aptos"/>
                        <w:noProof/>
                        <w:color w:val="000000"/>
                        <w:sz w:val="24"/>
                        <w:szCs w:val="24"/>
                      </w:rPr>
                    </w:pPr>
                    <w:r w:rsidRPr="00B043DC">
                      <w:rPr>
                        <w:rFonts w:ascii="Aptos" w:eastAsia="Aptos" w:hAnsi="Aptos" w:cs="Aptos"/>
                        <w:noProof/>
                        <w:color w:val="000000"/>
                        <w:sz w:val="24"/>
                        <w:szCs w:val="24"/>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330B8" w14:textId="7C3A1530" w:rsidR="00B043DC" w:rsidRDefault="00B043DC">
    <w:pPr>
      <w:pStyle w:val="Header"/>
    </w:pPr>
    <w:r>
      <w:rPr>
        <w:noProof/>
      </w:rPr>
      <mc:AlternateContent>
        <mc:Choice Requires="wps">
          <w:drawing>
            <wp:anchor distT="0" distB="0" distL="0" distR="0" simplePos="0" relativeHeight="251658241" behindDoc="0" locked="0" layoutInCell="1" allowOverlap="1" wp14:anchorId="5B4BE033" wp14:editId="4C5C4A37">
              <wp:simplePos x="635" y="635"/>
              <wp:positionH relativeFrom="page">
                <wp:align>left</wp:align>
              </wp:positionH>
              <wp:positionV relativeFrom="page">
                <wp:align>top</wp:align>
              </wp:positionV>
              <wp:extent cx="762635" cy="391160"/>
              <wp:effectExtent l="0" t="0" r="18415" b="8890"/>
              <wp:wrapNone/>
              <wp:docPr id="435576696" name="Text Box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2635" cy="391160"/>
                      </a:xfrm>
                      <a:prstGeom prst="rect">
                        <a:avLst/>
                      </a:prstGeom>
                      <a:noFill/>
                      <a:ln>
                        <a:noFill/>
                      </a:ln>
                    </wps:spPr>
                    <wps:txbx>
                      <w:txbxContent>
                        <w:p w14:paraId="7D592D80" w14:textId="61338860" w:rsidR="00B043DC" w:rsidRPr="00B043DC" w:rsidRDefault="00B043DC" w:rsidP="00B043DC">
                          <w:pPr>
                            <w:spacing w:after="0"/>
                            <w:rPr>
                              <w:rFonts w:ascii="Aptos" w:eastAsia="Aptos" w:hAnsi="Aptos" w:cs="Aptos"/>
                              <w:noProof/>
                              <w:color w:val="000000"/>
                              <w:sz w:val="24"/>
                              <w:szCs w:val="24"/>
                            </w:rPr>
                          </w:pPr>
                          <w:r w:rsidRPr="00B043DC">
                            <w:rPr>
                              <w:rFonts w:ascii="Aptos" w:eastAsia="Aptos" w:hAnsi="Aptos" w:cs="Aptos"/>
                              <w:noProof/>
                              <w:color w:val="000000"/>
                              <w:sz w:val="24"/>
                              <w:szCs w:val="24"/>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B4BE033" id="_x0000_t202" coordsize="21600,21600" o:spt="202" path="m,l,21600r21600,l21600,xe">
              <v:stroke joinstyle="miter"/>
              <v:path gradientshapeok="t" o:connecttype="rect"/>
            </v:shapetype>
            <v:shape id="Text Box 1" o:spid="_x0000_s1027" type="#_x0000_t202" alt="Internal" style="position:absolute;margin-left:0;margin-top:0;width:60.05pt;height:30.8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SibEgIAACEEAAAOAAAAZHJzL2Uyb0RvYy54bWysU01v2zAMvQ/YfxB0X2ynS9YacYqsRYYB&#10;RVsgHXpWZCk2IIuCxMTOfv0o5avrdhp2kSmS5sd7T7PboTNsp3xowVa8GOWcKSuhbu2m4j9elp+u&#10;OQsobC0MWFXxvQr8dv7xw6x3pRpDA6ZWnlERG8reVbxBdGWWBdmoToQROGUpqMF3AunqN1ntRU/V&#10;O5ON83ya9eBr50GqEMh7fwjyeaqvtZL4pHVQyEzFaTZMp0/nOp7ZfCbKjReuaeVxDPEPU3SitdT0&#10;XOpeoGBb3/5RqmulhwAaRxK6DLRupUo70DZF/m6bVSOcSrsQOMGdYQr/r6x83K3cs2c4fIWBCIyA&#10;9C6UgZxxn0H7Ln5pUkZxgnB/hk0NyCQ5v0zH06sJZ5JCVzdFMU2wZpefnQ/4TUHHolFxT6wksMTu&#10;ISA1pNRTSuxlYdkak5gx9jcHJUZPdpkwWjisB9bWb6ZfQ72npTwc+A5OLltq/SACPgtPBNMeJFp8&#10;okMb6CsOR4uzBvzPv/ljPuFOUc56EkzFLSmaM/PdEh/jyec8jwJLt+Imn8SbTzcy1ifDbrs7IC0W&#10;9CycTGbMQ3MytYfulTS9iN0oJKyknhXHk3mHB/nSm5BqsUhJpCUn8MGunIylI2YR0JfhVXh3RB2J&#10;rkc4SUqU78A/5MY/g1tskShIzER8D2geYScdJsKObyYK/e09ZV1e9vwXAAAA//8DAFBLAwQUAAYA&#10;CAAAACEAinemxNsAAAAEAQAADwAAAGRycy9kb3ducmV2LnhtbEyPT0vDQBDF70K/wzIFb3Y3RYPE&#10;bIoUCgoWsRa9brOTP5idDdlJE7+9Wy96GXi8x3u/yTez68QZh9B60pCsFAik0tuWag3H993NPYjA&#10;hqzpPKGGbwywKRZXucmsn+gNzweuRSyhkBkNDXOfSRnKBp0JK98jRa/ygzMc5VBLO5gplrtOrpVK&#10;pTMtxYXG9LhtsPw6jE7D02345LGq7sL+ZT+p58kdx9cPra+X8+MDCMaZ/8JwwY/oUESmkx/JBtFp&#10;iI/w7714a5WAOGlIkxRkkcv/8MUPAAAA//8DAFBLAQItABQABgAIAAAAIQC2gziS/gAAAOEBAAAT&#10;AAAAAAAAAAAAAAAAAAAAAABbQ29udGVudF9UeXBlc10ueG1sUEsBAi0AFAAGAAgAAAAhADj9If/W&#10;AAAAlAEAAAsAAAAAAAAAAAAAAAAALwEAAF9yZWxzLy5yZWxzUEsBAi0AFAAGAAgAAAAhAGy1KJsS&#10;AgAAIQQAAA4AAAAAAAAAAAAAAAAALgIAAGRycy9lMm9Eb2MueG1sUEsBAi0AFAAGAAgAAAAhAIp3&#10;psTbAAAABAEAAA8AAAAAAAAAAAAAAAAAbAQAAGRycy9kb3ducmV2LnhtbFBLBQYAAAAABAAEAPMA&#10;AAB0BQAAAAA=&#10;" filled="f" stroked="f">
              <v:textbox style="mso-fit-shape-to-text:t" inset="20pt,15pt,0,0">
                <w:txbxContent>
                  <w:p w14:paraId="7D592D80" w14:textId="61338860" w:rsidR="00B043DC" w:rsidRPr="00B043DC" w:rsidRDefault="00B043DC" w:rsidP="00B043DC">
                    <w:pPr>
                      <w:spacing w:after="0"/>
                      <w:rPr>
                        <w:rFonts w:ascii="Aptos" w:eastAsia="Aptos" w:hAnsi="Aptos" w:cs="Aptos"/>
                        <w:noProof/>
                        <w:color w:val="000000"/>
                        <w:sz w:val="24"/>
                        <w:szCs w:val="24"/>
                      </w:rPr>
                    </w:pPr>
                    <w:r w:rsidRPr="00B043DC">
                      <w:rPr>
                        <w:rFonts w:ascii="Aptos" w:eastAsia="Aptos" w:hAnsi="Aptos" w:cs="Aptos"/>
                        <w:noProof/>
                        <w:color w:val="000000"/>
                        <w:sz w:val="24"/>
                        <w:szCs w:val="24"/>
                      </w:rPr>
                      <w:t>Internal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Calibri&lt;/FontName&gt;&lt;FontSize&gt;11&lt;/FontSize&gt;&lt;ReflistTitle&gt;Reference&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2strzfd1ae2sce2es9vwe5czs00afssxa9w&quot;&gt;EndNote Library 2023 SU General&lt;record-ids&gt;&lt;item&gt;5152&lt;/item&gt;&lt;item&gt;5195&lt;/item&gt;&lt;item&gt;5196&lt;/item&gt;&lt;item&gt;5223&lt;/item&gt;&lt;item&gt;5224&lt;/item&gt;&lt;item&gt;5225&lt;/item&gt;&lt;item&gt;5267&lt;/item&gt;&lt;/record-ids&gt;&lt;/item&gt;&lt;/Libraries&gt;"/>
  </w:docVars>
  <w:rsids>
    <w:rsidRoot w:val="006F0123"/>
    <w:rsid w:val="00077F92"/>
    <w:rsid w:val="000C4808"/>
    <w:rsid w:val="001718CE"/>
    <w:rsid w:val="001A53E4"/>
    <w:rsid w:val="002E0F4E"/>
    <w:rsid w:val="00371B4A"/>
    <w:rsid w:val="003E2AD1"/>
    <w:rsid w:val="00440425"/>
    <w:rsid w:val="00441612"/>
    <w:rsid w:val="004C5587"/>
    <w:rsid w:val="004E0C7F"/>
    <w:rsid w:val="0056192F"/>
    <w:rsid w:val="006C5BEB"/>
    <w:rsid w:val="006F0123"/>
    <w:rsid w:val="006F04B0"/>
    <w:rsid w:val="00717904"/>
    <w:rsid w:val="007A6F94"/>
    <w:rsid w:val="00817D73"/>
    <w:rsid w:val="00854182"/>
    <w:rsid w:val="00870784"/>
    <w:rsid w:val="008B04C0"/>
    <w:rsid w:val="00984E68"/>
    <w:rsid w:val="00A23E2B"/>
    <w:rsid w:val="00A748B4"/>
    <w:rsid w:val="00AE28B5"/>
    <w:rsid w:val="00AF39CB"/>
    <w:rsid w:val="00B043DC"/>
    <w:rsid w:val="00B43E12"/>
    <w:rsid w:val="00BB3901"/>
    <w:rsid w:val="00BE54F1"/>
    <w:rsid w:val="00C218D6"/>
    <w:rsid w:val="00D50C57"/>
    <w:rsid w:val="00E142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82E028"/>
  <w15:chartTrackingRefBased/>
  <w15:docId w15:val="{56B8E7F7-FAD1-4813-98E6-A66C42ECE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01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F01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F012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F012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F012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F01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01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01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01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12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F012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F012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F012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F012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F01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01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01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0123"/>
    <w:rPr>
      <w:rFonts w:eastAsiaTheme="majorEastAsia" w:cstheme="majorBidi"/>
      <w:color w:val="272727" w:themeColor="text1" w:themeTint="D8"/>
    </w:rPr>
  </w:style>
  <w:style w:type="paragraph" w:styleId="Title">
    <w:name w:val="Title"/>
    <w:basedOn w:val="Normal"/>
    <w:next w:val="Normal"/>
    <w:link w:val="TitleChar"/>
    <w:uiPriority w:val="10"/>
    <w:qFormat/>
    <w:rsid w:val="006F01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01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01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01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0123"/>
    <w:pPr>
      <w:spacing w:before="160"/>
      <w:jc w:val="center"/>
    </w:pPr>
    <w:rPr>
      <w:i/>
      <w:iCs/>
      <w:color w:val="404040" w:themeColor="text1" w:themeTint="BF"/>
    </w:rPr>
  </w:style>
  <w:style w:type="character" w:customStyle="1" w:styleId="QuoteChar">
    <w:name w:val="Quote Char"/>
    <w:basedOn w:val="DefaultParagraphFont"/>
    <w:link w:val="Quote"/>
    <w:uiPriority w:val="29"/>
    <w:rsid w:val="006F0123"/>
    <w:rPr>
      <w:i/>
      <w:iCs/>
      <w:color w:val="404040" w:themeColor="text1" w:themeTint="BF"/>
    </w:rPr>
  </w:style>
  <w:style w:type="paragraph" w:styleId="ListParagraph">
    <w:name w:val="List Paragraph"/>
    <w:basedOn w:val="Normal"/>
    <w:uiPriority w:val="34"/>
    <w:qFormat/>
    <w:rsid w:val="006F0123"/>
    <w:pPr>
      <w:ind w:left="720"/>
      <w:contextualSpacing/>
    </w:pPr>
  </w:style>
  <w:style w:type="character" w:styleId="IntenseEmphasis">
    <w:name w:val="Intense Emphasis"/>
    <w:basedOn w:val="DefaultParagraphFont"/>
    <w:uiPriority w:val="21"/>
    <w:qFormat/>
    <w:rsid w:val="006F0123"/>
    <w:rPr>
      <w:i/>
      <w:iCs/>
      <w:color w:val="2F5496" w:themeColor="accent1" w:themeShade="BF"/>
    </w:rPr>
  </w:style>
  <w:style w:type="paragraph" w:styleId="IntenseQuote">
    <w:name w:val="Intense Quote"/>
    <w:basedOn w:val="Normal"/>
    <w:next w:val="Normal"/>
    <w:link w:val="IntenseQuoteChar"/>
    <w:uiPriority w:val="30"/>
    <w:qFormat/>
    <w:rsid w:val="006F01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F0123"/>
    <w:rPr>
      <w:i/>
      <w:iCs/>
      <w:color w:val="2F5496" w:themeColor="accent1" w:themeShade="BF"/>
    </w:rPr>
  </w:style>
  <w:style w:type="character" w:styleId="IntenseReference">
    <w:name w:val="Intense Reference"/>
    <w:basedOn w:val="DefaultParagraphFont"/>
    <w:uiPriority w:val="32"/>
    <w:qFormat/>
    <w:rsid w:val="006F0123"/>
    <w:rPr>
      <w:b/>
      <w:bCs/>
      <w:smallCaps/>
      <w:color w:val="2F5496" w:themeColor="accent1" w:themeShade="BF"/>
      <w:spacing w:val="5"/>
    </w:rPr>
  </w:style>
  <w:style w:type="paragraph" w:customStyle="1" w:styleId="EndNoteBibliographyTitle">
    <w:name w:val="EndNote Bibliography Title"/>
    <w:basedOn w:val="Normal"/>
    <w:link w:val="EndNoteBibliographyTitleChar"/>
    <w:rsid w:val="006C5BEB"/>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C5BEB"/>
    <w:rPr>
      <w:rFonts w:ascii="Calibri" w:hAnsi="Calibri" w:cs="Calibri"/>
      <w:noProof/>
      <w:lang w:val="en-US"/>
    </w:rPr>
  </w:style>
  <w:style w:type="paragraph" w:customStyle="1" w:styleId="EndNoteBibliography">
    <w:name w:val="EndNote Bibliography"/>
    <w:basedOn w:val="Normal"/>
    <w:link w:val="EndNoteBibliographyChar"/>
    <w:rsid w:val="006C5BEB"/>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6C5BEB"/>
    <w:rPr>
      <w:rFonts w:ascii="Calibri" w:hAnsi="Calibri" w:cs="Calibri"/>
      <w:noProof/>
      <w:lang w:val="en-US"/>
    </w:rPr>
  </w:style>
  <w:style w:type="character" w:styleId="Hyperlink">
    <w:name w:val="Hyperlink"/>
    <w:basedOn w:val="DefaultParagraphFont"/>
    <w:uiPriority w:val="99"/>
    <w:unhideWhenUsed/>
    <w:rsid w:val="006C5BEB"/>
    <w:rPr>
      <w:color w:val="0563C1" w:themeColor="hyperlink"/>
      <w:u w:val="single"/>
    </w:rPr>
  </w:style>
  <w:style w:type="character" w:styleId="UnresolvedMention">
    <w:name w:val="Unresolved Mention"/>
    <w:basedOn w:val="DefaultParagraphFont"/>
    <w:uiPriority w:val="99"/>
    <w:semiHidden/>
    <w:unhideWhenUsed/>
    <w:rsid w:val="006C5BEB"/>
    <w:rPr>
      <w:color w:val="605E5C"/>
      <w:shd w:val="clear" w:color="auto" w:fill="E1DFDD"/>
    </w:rPr>
  </w:style>
  <w:style w:type="paragraph" w:styleId="Header">
    <w:name w:val="header"/>
    <w:basedOn w:val="Normal"/>
    <w:link w:val="HeaderChar"/>
    <w:uiPriority w:val="99"/>
    <w:unhideWhenUsed/>
    <w:rsid w:val="008B04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04C0"/>
  </w:style>
  <w:style w:type="paragraph" w:styleId="Footer">
    <w:name w:val="footer"/>
    <w:basedOn w:val="Normal"/>
    <w:link w:val="FooterChar"/>
    <w:uiPriority w:val="99"/>
    <w:unhideWhenUsed/>
    <w:rsid w:val="008B04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04C0"/>
  </w:style>
  <w:style w:type="paragraph" w:styleId="Revision">
    <w:name w:val="Revision"/>
    <w:hidden/>
    <w:uiPriority w:val="99"/>
    <w:semiHidden/>
    <w:rsid w:val="00E142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an.r-project.org/web/packages/domir/vignettes/domir_basics.htm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583b3fa-365b-4fa2-9885-a560b35483b3}" enabled="1" method="Standard" siteId="{df7f7579-3e9c-4a7e-b844-420280f53859}" removed="0"/>
</clbl:labelList>
</file>

<file path=docProps/app.xml><?xml version="1.0" encoding="utf-8"?>
<Properties xmlns="http://schemas.openxmlformats.org/officeDocument/2006/extended-properties" xmlns:vt="http://schemas.openxmlformats.org/officeDocument/2006/docPropsVTypes">
  <Template>Normal</Template>
  <TotalTime>22</TotalTime>
  <Pages>4</Pages>
  <Words>926</Words>
  <Characters>15214</Characters>
  <Application>Microsoft Office Word</Application>
  <DocSecurity>0</DocSecurity>
  <Lines>1521</Lines>
  <Paragraphs>1241</Paragraphs>
  <ScaleCrop>false</ScaleCrop>
  <Company>Swinburne University of Technology</Company>
  <LinksUpToDate>false</LinksUpToDate>
  <CharactersWithSpaces>14899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 Baten</dc:creator>
  <cp:keywords/>
  <dc:description/>
  <cp:lastModifiedBy>Abdul Baten</cp:lastModifiedBy>
  <cp:revision>17</cp:revision>
  <dcterms:created xsi:type="dcterms:W3CDTF">2025-02-26T14:28:00Z</dcterms:created>
  <dcterms:modified xsi:type="dcterms:W3CDTF">2026-03-27T03:08:00Z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7451b0ab58a7d0de982d066f1eb2a37be6763b82267ec4b61f974d0c119c4f40</vt:lpwstr>
  </property>
  <property fmtid="{D5CDD505-2E9C-101B-9397-08002B2CF9AE}" pid="3" name="ClassificationContentMarkingHeaderShapeIds">
    <vt:lpwstr>19f65f78,4b74bf61,70d58802</vt:lpwstr>
  </property>
  <property fmtid="{D5CDD505-2E9C-101B-9397-08002B2CF9AE}" pid="4" name="ClassificationContentMarkingHeaderFontProps">
    <vt:lpwstr>#000000,12,Aptos</vt:lpwstr>
  </property>
  <property fmtid="{D5CDD505-2E9C-101B-9397-08002B2CF9AE}" pid="5" name="ClassificationContentMarkingHeaderText">
    <vt:lpwstr>Internal</vt:lpwstr>
  </property>
</Properties>
</file>