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87BA5">
      <w:pPr>
        <w:spacing w:before="0" w:after="240" w:line="360" w:lineRule="auto"/>
        <w:jc w:val="center"/>
      </w:pPr>
      <w:r>
        <w:rPr>
          <w:rFonts w:ascii="Times New Roman" w:hAnsi="Times New Roman" w:eastAsia="Times New Roman"/>
          <w:b/>
          <w:i w:val="0"/>
          <w:sz w:val="24"/>
        </w:rPr>
        <w:t>Supplementary Table 1. Complete Search Strategies for All Databases</w:t>
      </w:r>
    </w:p>
    <w:p w14:paraId="4EB33FF3">
      <w:pPr>
        <w:keepNext/>
        <w:spacing w:before="0" w:after="0" w:line="360" w:lineRule="auto"/>
        <w:jc w:val="left"/>
      </w:pPr>
      <w:r>
        <w:rPr>
          <w:rFonts w:ascii="Times New Roman" w:hAnsi="Times New Roman" w:eastAsia="Times New Roman"/>
          <w:b/>
          <w:i w:val="0"/>
          <w:sz w:val="24"/>
        </w:rPr>
        <w:t>Overall search design</w:t>
      </w:r>
    </w:p>
    <w:p w14:paraId="2CFB82E3">
      <w:pPr>
        <w:spacing w:before="0" w:after="240" w:line="360" w:lineRule="auto"/>
        <w:jc w:val="both"/>
      </w:pPr>
      <w:r>
        <w:rPr>
          <w:rFonts w:ascii="Times New Roman" w:hAnsi="Times New Roman" w:eastAsia="Times New Roman"/>
          <w:b w:val="0"/>
          <w:i w:val="0"/>
          <w:sz w:val="24"/>
        </w:rPr>
        <w:t>We systematically searched PubMed/MEDLINE, Embase (Ovid), Web of Science Core Collection, and the Cochrane Database of Systematic Reviews (CDSR) from database inception to December 31, 2025. The search strategy was designed to identify English-language systematic reviews and meta-analyses evaluating prenatal antiseizure medication exposure in relation to offspring structural outcomes and/or offspring neurodevelopmental outcomes. To align with the predefined scope of the umbrella review, the strategy combined four concept blocks: (1) antiseizure medications; (2) pregnancy/prenatal exposure; (3) offspring structural or neurodevelopmental outcomes; and (4) systematic reviews/meta-analyses. Reference lists of eligible reviews were screened manually to identify additional potentially relevant reviews.</w:t>
      </w:r>
    </w:p>
    <w:p w14:paraId="0A6456E8">
      <w:pPr>
        <w:keepNext/>
        <w:spacing w:before="0" w:after="0" w:line="360" w:lineRule="auto"/>
        <w:jc w:val="left"/>
      </w:pPr>
      <w:r>
        <w:rPr>
          <w:rFonts w:ascii="Times New Roman" w:hAnsi="Times New Roman" w:eastAsia="Times New Roman"/>
          <w:b/>
          <w:i w:val="0"/>
          <w:sz w:val="24"/>
        </w:rPr>
        <w:t>Table 1.1. PubMed/MEDLINE Search Strategy</w:t>
      </w:r>
    </w:p>
    <w:p w14:paraId="6FCD9EDA">
      <w:pPr>
        <w:spacing w:before="0" w:after="0" w:line="360" w:lineRule="auto"/>
        <w:jc w:val="left"/>
      </w:pPr>
      <w:r>
        <w:rPr>
          <w:rFonts w:ascii="Times New Roman" w:hAnsi="Times New Roman" w:eastAsia="Times New Roman"/>
          <w:b w:val="0"/>
          <w:i w:val="0"/>
          <w:sz w:val="24"/>
        </w:rPr>
        <w:t>Database: PubMed/MEDLINE (via PubMed)</w:t>
      </w:r>
    </w:p>
    <w:p w14:paraId="01952682">
      <w:pPr>
        <w:spacing w:before="0" w:after="0" w:line="360" w:lineRule="auto"/>
        <w:jc w:val="left"/>
      </w:pPr>
      <w:r>
        <w:rPr>
          <w:rFonts w:ascii="Times New Roman" w:hAnsi="Times New Roman" w:eastAsia="Times New Roman"/>
          <w:b w:val="0"/>
          <w:i w:val="0"/>
          <w:sz w:val="24"/>
        </w:rPr>
        <w:t>Coverage: Inception to December 31, 2025</w:t>
      </w:r>
    </w:p>
    <w:p w14:paraId="1453A50D">
      <w:pPr>
        <w:spacing w:before="0" w:after="0" w:line="360" w:lineRule="auto"/>
        <w:jc w:val="left"/>
      </w:pPr>
      <w:r>
        <w:rPr>
          <w:rFonts w:ascii="Times New Roman" w:hAnsi="Times New Roman" w:eastAsia="Times New Roman"/>
          <w:b w:val="0"/>
          <w:i w:val="0"/>
          <w:sz w:val="24"/>
        </w:rPr>
        <w:t>Last search update: December 31, 2025</w:t>
      </w:r>
    </w:p>
    <w:p w14:paraId="61FF4848">
      <w:pPr>
        <w:keepNext/>
        <w:spacing w:before="0" w:after="0" w:line="360" w:lineRule="auto"/>
        <w:jc w:val="left"/>
      </w:pPr>
      <w:r>
        <w:rPr>
          <w:rFonts w:ascii="Times New Roman" w:hAnsi="Times New Roman" w:eastAsia="Times New Roman"/>
          <w:b/>
          <w:i w:val="0"/>
          <w:sz w:val="24"/>
        </w:rPr>
        <w:t>Complete PubMed query</w:t>
      </w:r>
    </w:p>
    <w:p w14:paraId="00E39263">
      <w:pPr>
        <w:spacing w:before="0" w:after="0" w:line="360" w:lineRule="auto"/>
        <w:ind w:left="360"/>
      </w:pP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"Anticonvulsants"[Mesh]</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antiseizure[tiab]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anti-seizure[tiab]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antiseizure medication*[tiab]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anti-seizure medication*[tiab]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 drug*[tiab]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 drug*[tiab]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anticonvulsant*[tiab]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valproate[tiab]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"valproic acid"[tiab]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lamotrigine[tiab]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carbamazepine[tiab]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levetiracetam[tiab]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topiramate[tiab]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oxcarbazepine[tiab]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phenytoin[tiab]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phenobarbital[tiab]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gabapentin[tiab]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pregabalin[tiab]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lacosamide[tiab]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brivaracetam[tiab]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perampanel[tiab]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eslicarbazepine[tiab]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zonisamide[tiab]</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AND</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"Pregnancy"[Mesh]</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"Pregnant Women"[Mesh]</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"Maternal Exposure"[Mesh]</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"Prenatal Exposure Delayed Effects"[Mesh]</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pregnan*[tiab]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prenatal[tiab]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antenatal[tiab]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maternal[tiab]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gestation*[tiab]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"in utero"[tiab]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fetal[tiab]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foetal[tiab]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fetus[tiab]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foetus[tiab]</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AND</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offspring[tiab]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child*[tiab]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infant*[tiab]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newborn*[tiab]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neonat*[tiab]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congenital[tiab]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malformation*[tiab]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"birth defect"[tiab]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"birth defects"[tiab]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teratogen*[tiab]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neurodevelopment*[tiab]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developmental[tiab]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cognitive[tiab]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cognition[tiab]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language[tiab]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motor[tiab]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behavioral[tiab]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behavioural[tiab]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autism[tiab]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autistic[tiab]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ASD[tiab]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"attention deficit hyperactivity disorder"[tiab]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ADHD[tiab]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intellectual[tiab]</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AND</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systematic[sb]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"meta-analysis"[Publication Type]</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"systematic review"[tiab]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"systematic reviews"[tiab]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"meta-analysis"[tiab]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"meta-analyses"[tiab]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"umbrella review"[tiab]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"overview of reviews"[tiab]</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"pooled analysis"[tiab]</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t>AND english[lang]</w:t>
      </w:r>
    </w:p>
    <w:p w14:paraId="4321A5AB">
      <w:pPr>
        <w:keepNext/>
        <w:spacing w:before="0" w:after="0" w:line="360" w:lineRule="auto"/>
        <w:jc w:val="left"/>
      </w:pPr>
      <w:r>
        <w:rPr>
          <w:rFonts w:ascii="Times New Roman" w:hAnsi="Times New Roman" w:eastAsia="Times New Roman"/>
          <w:b/>
          <w:i w:val="0"/>
          <w:sz w:val="24"/>
        </w:rPr>
        <w:t>Notes:</w:t>
      </w:r>
    </w:p>
    <w:p w14:paraId="6FE33EDF">
      <w:pPr>
        <w:spacing w:before="0" w:after="0" w:line="360" w:lineRule="auto"/>
        <w:jc w:val="left"/>
      </w:pPr>
      <w:r>
        <w:rPr>
          <w:rFonts w:ascii="Times New Roman" w:hAnsi="Times New Roman" w:eastAsia="Times New Roman"/>
          <w:b w:val="0"/>
          <w:i w:val="0"/>
          <w:sz w:val="24"/>
        </w:rPr>
        <w:t>[tiab] = title/abstract</w:t>
      </w:r>
    </w:p>
    <w:p w14:paraId="4F046B92">
      <w:pPr>
        <w:spacing w:before="0" w:after="0" w:line="360" w:lineRule="auto"/>
        <w:jc w:val="left"/>
      </w:pPr>
      <w:r>
        <w:rPr>
          <w:rFonts w:ascii="Times New Roman" w:hAnsi="Times New Roman" w:eastAsia="Times New Roman"/>
          <w:b w:val="0"/>
          <w:i w:val="0"/>
          <w:sz w:val="24"/>
        </w:rPr>
        <w:t>[Mesh] = Medical Subject Headings</w:t>
      </w:r>
    </w:p>
    <w:p w14:paraId="3FF70F91">
      <w:pPr>
        <w:spacing w:before="0" w:after="0" w:line="360" w:lineRule="auto"/>
        <w:jc w:val="left"/>
      </w:pPr>
      <w:r>
        <w:rPr>
          <w:rFonts w:ascii="Times New Roman" w:hAnsi="Times New Roman" w:eastAsia="Times New Roman"/>
          <w:b w:val="0"/>
          <w:i w:val="0"/>
          <w:sz w:val="24"/>
        </w:rPr>
        <w:t>systematic[sb] was used to improve sensitivity for systematic-review retrieval in PubMed.</w:t>
      </w:r>
    </w:p>
    <w:p w14:paraId="445DEF94">
      <w:pPr>
        <w:spacing w:after="240"/>
      </w:pPr>
    </w:p>
    <w:p w14:paraId="07470099">
      <w:pPr>
        <w:keepNext/>
        <w:spacing w:before="0" w:after="0" w:line="360" w:lineRule="auto"/>
        <w:jc w:val="left"/>
      </w:pPr>
      <w:r>
        <w:rPr>
          <w:rFonts w:ascii="Times New Roman" w:hAnsi="Times New Roman" w:eastAsia="Times New Roman"/>
          <w:b/>
          <w:i w:val="0"/>
          <w:sz w:val="24"/>
        </w:rPr>
        <w:t>Table 1.2. Embase Search Strategy</w:t>
      </w:r>
    </w:p>
    <w:p w14:paraId="238AFA4C">
      <w:pPr>
        <w:spacing w:before="0" w:after="0" w:line="360" w:lineRule="auto"/>
        <w:jc w:val="left"/>
      </w:pPr>
      <w:r>
        <w:rPr>
          <w:rFonts w:ascii="Times New Roman" w:hAnsi="Times New Roman" w:eastAsia="Times New Roman"/>
          <w:b w:val="0"/>
          <w:i w:val="0"/>
          <w:sz w:val="24"/>
        </w:rPr>
        <w:t>Database: Embase (via Ovid)</w:t>
      </w:r>
    </w:p>
    <w:p w14:paraId="6B4A8D4A">
      <w:pPr>
        <w:spacing w:before="0" w:after="0" w:line="360" w:lineRule="auto"/>
        <w:jc w:val="left"/>
      </w:pPr>
      <w:r>
        <w:rPr>
          <w:rFonts w:ascii="Times New Roman" w:hAnsi="Times New Roman" w:eastAsia="Times New Roman"/>
          <w:b w:val="0"/>
          <w:i w:val="0"/>
          <w:sz w:val="24"/>
        </w:rPr>
        <w:t>Coverage: Inception to December 31, 2025</w:t>
      </w:r>
    </w:p>
    <w:p w14:paraId="30662E20">
      <w:pPr>
        <w:spacing w:before="0" w:after="0" w:line="360" w:lineRule="auto"/>
        <w:jc w:val="left"/>
      </w:pPr>
      <w:r>
        <w:rPr>
          <w:rFonts w:ascii="Times New Roman" w:hAnsi="Times New Roman" w:eastAsia="Times New Roman"/>
          <w:b w:val="0"/>
          <w:i w:val="0"/>
          <w:sz w:val="24"/>
        </w:rPr>
        <w:t>Last search update: December 31, 2025</w:t>
      </w:r>
    </w:p>
    <w:p w14:paraId="48533EF9">
      <w:pPr>
        <w:keepNext/>
        <w:spacing w:before="0" w:after="0" w:line="360" w:lineRule="auto"/>
        <w:jc w:val="left"/>
      </w:pPr>
      <w:r>
        <w:rPr>
          <w:rFonts w:ascii="Times New Roman" w:hAnsi="Times New Roman" w:eastAsia="Times New Roman"/>
          <w:b/>
          <w:i w:val="0"/>
          <w:sz w:val="24"/>
        </w:rPr>
        <w:t>Complete Embase query (Ovid syntax)</w:t>
      </w:r>
    </w:p>
    <w:p w14:paraId="42CFB5D7">
      <w:pPr>
        <w:spacing w:before="0" w:after="0" w:line="360" w:lineRule="auto"/>
        <w:ind w:left="360"/>
      </w:pPr>
      <w:r>
        <w:rPr>
          <w:rFonts w:ascii="Times New Roman" w:hAnsi="Times New Roman" w:eastAsia="Times New Roman"/>
          <w:b w:val="0"/>
          <w:i w:val="0"/>
          <w:sz w:val="24"/>
        </w:rPr>
        <w:t>1. exp anticonvulsive agent/ OR exp antiepileptic agent/</w:t>
      </w:r>
      <w:r>
        <w:rPr>
          <w:rFonts w:ascii="Times New Roman" w:hAnsi="Times New Roman" w:eastAsia="Times New Roman"/>
          <w:b w:val="0"/>
          <w:i w:val="0"/>
          <w:sz w:val="24"/>
        </w:rPr>
        <w:br w:type="textWrapping"/>
      </w:r>
      <w:r>
        <w:rPr>
          <w:rFonts w:ascii="Times New Roman" w:hAnsi="Times New Roman" w:eastAsia="Times New Roman"/>
          <w:b w:val="0"/>
          <w:i w:val="0"/>
          <w:sz w:val="24"/>
        </w:rPr>
        <w:t>2. (antiseizure or anti-seizure or antiseizure medication* or anti-seizure medication*</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 or anti-epileptic or antiepileptic drug* or anti-epileptic drug*</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anticonvulsant* or valproate or "valproic acid" or lamotrigine or carbamazepine</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levetiracetam or topiramate or oxcarbazepine or phenytoin or phenobarbital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gabapentin or pregabalin or lacosamide or brivaracetam or perampanel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eslicarbazepine or zonisamide).ti,ab,kw.</w:t>
      </w:r>
      <w:r>
        <w:rPr>
          <w:rFonts w:ascii="Times New Roman" w:hAnsi="Times New Roman" w:eastAsia="Times New Roman"/>
          <w:b w:val="0"/>
          <w:i w:val="0"/>
          <w:sz w:val="24"/>
        </w:rPr>
        <w:br w:type="textWrapping"/>
      </w:r>
      <w:r>
        <w:rPr>
          <w:rFonts w:ascii="Times New Roman" w:hAnsi="Times New Roman" w:eastAsia="Times New Roman"/>
          <w:b w:val="0"/>
          <w:i w:val="0"/>
          <w:sz w:val="24"/>
        </w:rPr>
        <w:t>3. 1 OR 2</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4. exp pregnancy/ OR exp pregnant woman/ OR exp prenatal exposure/ OR exp maternal exposure/</w:t>
      </w:r>
      <w:r>
        <w:rPr>
          <w:rFonts w:ascii="Times New Roman" w:hAnsi="Times New Roman" w:eastAsia="Times New Roman"/>
          <w:b w:val="0"/>
          <w:i w:val="0"/>
          <w:sz w:val="24"/>
        </w:rPr>
        <w:br w:type="textWrapping"/>
      </w:r>
      <w:r>
        <w:rPr>
          <w:rFonts w:ascii="Times New Roman" w:hAnsi="Times New Roman" w:eastAsia="Times New Roman"/>
          <w:b w:val="0"/>
          <w:i w:val="0"/>
          <w:sz w:val="24"/>
        </w:rPr>
        <w:t>5. (pregnan* or prenatal or antenatal or maternal or gestation* or "in utero"</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fetal or foetal or fetus or foetus).ti,ab,kw.</w:t>
      </w:r>
      <w:r>
        <w:rPr>
          <w:rFonts w:ascii="Times New Roman" w:hAnsi="Times New Roman" w:eastAsia="Times New Roman"/>
          <w:b w:val="0"/>
          <w:i w:val="0"/>
          <w:sz w:val="24"/>
        </w:rPr>
        <w:br w:type="textWrapping"/>
      </w:r>
      <w:r>
        <w:rPr>
          <w:rFonts w:ascii="Times New Roman" w:hAnsi="Times New Roman" w:eastAsia="Times New Roman"/>
          <w:b w:val="0"/>
          <w:i w:val="0"/>
          <w:sz w:val="24"/>
        </w:rPr>
        <w:t>6. 4 OR 5</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7. (offspring or child* or infant* or newborn* or neonat* or congenital or malformation*</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"birth defect*" or teratogen* or neurodevelopment* or developmental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cognitive or cognition or language or motor or behavioral or behavioural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autism or autistic or ASD or "attention deficit hyperactivity disorder"</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ADHD or intellectual).ti,ab,kw.</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8. exp systematic review/ OR exp meta analysis/</w:t>
      </w:r>
      <w:r>
        <w:rPr>
          <w:rFonts w:ascii="Times New Roman" w:hAnsi="Times New Roman" w:eastAsia="Times New Roman"/>
          <w:b w:val="0"/>
          <w:i w:val="0"/>
          <w:sz w:val="24"/>
        </w:rPr>
        <w:br w:type="textWrapping"/>
      </w:r>
      <w:r>
        <w:rPr>
          <w:rFonts w:ascii="Times New Roman" w:hAnsi="Times New Roman" w:eastAsia="Times New Roman"/>
          <w:b w:val="0"/>
          <w:i w:val="0"/>
          <w:sz w:val="24"/>
        </w:rPr>
        <w:t>9. ("systematic review" or "systematic reviews" or "meta-analysis" or "meta-analyses"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"umbrella review" or "overview of reviews" or "pooled analysis").ti,ab,kw.</w:t>
      </w:r>
      <w:r>
        <w:rPr>
          <w:rFonts w:ascii="Times New Roman" w:hAnsi="Times New Roman" w:eastAsia="Times New Roman"/>
          <w:b w:val="0"/>
          <w:i w:val="0"/>
          <w:sz w:val="24"/>
        </w:rPr>
        <w:br w:type="textWrapping"/>
      </w:r>
      <w:r>
        <w:rPr>
          <w:rFonts w:ascii="Times New Roman" w:hAnsi="Times New Roman" w:eastAsia="Times New Roman"/>
          <w:b w:val="0"/>
          <w:i w:val="0"/>
          <w:sz w:val="24"/>
        </w:rPr>
        <w:t>10. 8 OR 9</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11. 3 AND 6 AND 7 AND 10</w:t>
      </w:r>
      <w:r>
        <w:rPr>
          <w:rFonts w:ascii="Times New Roman" w:hAnsi="Times New Roman" w:eastAsia="Times New Roman"/>
          <w:b w:val="0"/>
          <w:i w:val="0"/>
          <w:sz w:val="24"/>
        </w:rPr>
        <w:br w:type="textWrapping"/>
      </w:r>
      <w:r>
        <w:rPr>
          <w:rFonts w:ascii="Times New Roman" w:hAnsi="Times New Roman" w:eastAsia="Times New Roman"/>
          <w:b w:val="0"/>
          <w:i w:val="0"/>
          <w:sz w:val="24"/>
        </w:rPr>
        <w:t>12. limit 11 to human</w:t>
      </w:r>
      <w:r>
        <w:rPr>
          <w:rFonts w:ascii="Times New Roman" w:hAnsi="Times New Roman" w:eastAsia="Times New Roman"/>
          <w:b w:val="0"/>
          <w:i w:val="0"/>
          <w:sz w:val="24"/>
        </w:rPr>
        <w:br w:type="textWrapping"/>
      </w:r>
      <w:r>
        <w:rPr>
          <w:rFonts w:ascii="Times New Roman" w:hAnsi="Times New Roman" w:eastAsia="Times New Roman"/>
          <w:b w:val="0"/>
          <w:i w:val="0"/>
          <w:sz w:val="24"/>
        </w:rPr>
        <w:t>13. limit 12 to english language</w:t>
      </w:r>
    </w:p>
    <w:p w14:paraId="25691EB0">
      <w:pPr>
        <w:keepNext/>
        <w:spacing w:before="0" w:after="0" w:line="360" w:lineRule="auto"/>
        <w:jc w:val="left"/>
      </w:pPr>
      <w:r>
        <w:rPr>
          <w:rFonts w:ascii="Times New Roman" w:hAnsi="Times New Roman" w:eastAsia="Times New Roman"/>
          <w:b/>
          <w:i w:val="0"/>
          <w:sz w:val="24"/>
        </w:rPr>
        <w:t>Notes:</w:t>
      </w:r>
    </w:p>
    <w:p w14:paraId="314FCBCD">
      <w:pPr>
        <w:spacing w:before="0" w:after="0" w:line="360" w:lineRule="auto"/>
        <w:jc w:val="left"/>
      </w:pPr>
      <w:r>
        <w:rPr>
          <w:rFonts w:ascii="Times New Roman" w:hAnsi="Times New Roman" w:eastAsia="Times New Roman"/>
          <w:b w:val="0"/>
          <w:i w:val="0"/>
          <w:sz w:val="24"/>
        </w:rPr>
        <w:t>exp = explode</w:t>
      </w:r>
    </w:p>
    <w:p w14:paraId="72F37C14">
      <w:pPr>
        <w:spacing w:before="0" w:after="0" w:line="360" w:lineRule="auto"/>
        <w:jc w:val="left"/>
      </w:pPr>
      <w:r>
        <w:rPr>
          <w:rFonts w:ascii="Times New Roman" w:hAnsi="Times New Roman" w:eastAsia="Times New Roman"/>
          <w:b w:val="0"/>
          <w:i w:val="0"/>
          <w:sz w:val="24"/>
        </w:rPr>
        <w:t>ti,ab,kw = title, abstract, author keywords</w:t>
      </w:r>
    </w:p>
    <w:p w14:paraId="7B4BBD54">
      <w:pPr>
        <w:spacing w:before="0" w:after="0" w:line="360" w:lineRule="auto"/>
        <w:jc w:val="left"/>
      </w:pPr>
      <w:r>
        <w:rPr>
          <w:rFonts w:ascii="Times New Roman" w:hAnsi="Times New Roman" w:eastAsia="Times New Roman"/>
          <w:b w:val="0"/>
          <w:i w:val="0"/>
          <w:sz w:val="24"/>
        </w:rPr>
        <w:t>Embase indexing is based on Emtree subject headings.</w:t>
      </w:r>
    </w:p>
    <w:p w14:paraId="5AC8E7A3">
      <w:pPr>
        <w:spacing w:after="240"/>
      </w:pPr>
    </w:p>
    <w:p w14:paraId="67A2C932">
      <w:pPr>
        <w:keepNext/>
        <w:spacing w:before="0" w:after="0" w:line="360" w:lineRule="auto"/>
        <w:jc w:val="left"/>
      </w:pPr>
      <w:r>
        <w:rPr>
          <w:rFonts w:ascii="Times New Roman" w:hAnsi="Times New Roman" w:eastAsia="Times New Roman"/>
          <w:b/>
          <w:i w:val="0"/>
          <w:sz w:val="24"/>
        </w:rPr>
        <w:t>Table 1.3. Web of Science Core Collection Search Strategy</w:t>
      </w:r>
    </w:p>
    <w:p w14:paraId="58AC6509">
      <w:pPr>
        <w:spacing w:before="0" w:after="0" w:line="360" w:lineRule="auto"/>
        <w:jc w:val="left"/>
      </w:pPr>
      <w:r>
        <w:rPr>
          <w:rFonts w:ascii="Times New Roman" w:hAnsi="Times New Roman" w:eastAsia="Times New Roman"/>
          <w:b w:val="0"/>
          <w:i w:val="0"/>
          <w:sz w:val="24"/>
        </w:rPr>
        <w:t>Database: Web of Science Core Collection</w:t>
      </w:r>
    </w:p>
    <w:p w14:paraId="7E27B3BA">
      <w:pPr>
        <w:spacing w:before="0" w:after="0" w:line="360" w:lineRule="auto"/>
        <w:jc w:val="left"/>
      </w:pPr>
      <w:r>
        <w:rPr>
          <w:rFonts w:ascii="Times New Roman" w:hAnsi="Times New Roman" w:eastAsia="Times New Roman"/>
          <w:b w:val="0"/>
          <w:i w:val="0"/>
          <w:sz w:val="24"/>
        </w:rPr>
        <w:t>Indexes searched: SCI-EXPANDED, SSCI, ESCI, CPCI-S, CPCI-SSH, A&amp;HCI</w:t>
      </w:r>
    </w:p>
    <w:p w14:paraId="6DA01C9F">
      <w:pPr>
        <w:spacing w:before="0" w:after="0" w:line="360" w:lineRule="auto"/>
        <w:jc w:val="left"/>
      </w:pPr>
      <w:r>
        <w:rPr>
          <w:rFonts w:ascii="Times New Roman" w:hAnsi="Times New Roman" w:eastAsia="Times New Roman"/>
          <w:b w:val="0"/>
          <w:i w:val="0"/>
          <w:sz w:val="24"/>
        </w:rPr>
        <w:t>Coverage: Inception to December 31, 2025</w:t>
      </w:r>
    </w:p>
    <w:p w14:paraId="20990E76">
      <w:pPr>
        <w:spacing w:before="0" w:after="0" w:line="360" w:lineRule="auto"/>
        <w:jc w:val="left"/>
      </w:pPr>
      <w:r>
        <w:rPr>
          <w:rFonts w:ascii="Times New Roman" w:hAnsi="Times New Roman" w:eastAsia="Times New Roman"/>
          <w:b w:val="0"/>
          <w:i w:val="0"/>
          <w:sz w:val="24"/>
        </w:rPr>
        <w:t>Last search update: December 31, 2025</w:t>
      </w:r>
    </w:p>
    <w:p w14:paraId="77BB276D">
      <w:pPr>
        <w:keepNext/>
        <w:spacing w:before="0" w:after="0" w:line="360" w:lineRule="auto"/>
        <w:jc w:val="left"/>
      </w:pPr>
      <w:r>
        <w:rPr>
          <w:rFonts w:ascii="Times New Roman" w:hAnsi="Times New Roman" w:eastAsia="Times New Roman"/>
          <w:b/>
          <w:i w:val="0"/>
          <w:sz w:val="24"/>
        </w:rPr>
        <w:t>Complete Web of Science query</w:t>
      </w:r>
    </w:p>
    <w:p w14:paraId="5B53157A">
      <w:pPr>
        <w:spacing w:before="0" w:after="0" w:line="360" w:lineRule="auto"/>
        <w:ind w:left="360"/>
      </w:pPr>
      <w:r>
        <w:rPr>
          <w:rFonts w:ascii="Times New Roman" w:hAnsi="Times New Roman" w:eastAsia="Times New Roman"/>
          <w:b w:val="0"/>
          <w:i w:val="0"/>
          <w:sz w:val="24"/>
        </w:rPr>
        <w:t>TS=(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antiseizure OR "anti-seizure" OR "antiseizure medication*" OR "anti-seizure medication*"</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 OR "anti-epileptic" OR "antiepileptic drug*" OR "anti-epileptic drug*"</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anticonvulsant* OR valproate OR "valproic acid" OR lamotrigine OR carbamazepine</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levetiracetam OR topiramate OR oxcarbazepine OR phenytoin OR phenobarbital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gabapentin OR pregabalin OR lacosamide OR brivaracetam OR perampanel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eslicarbazepine OR zonisamide</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AND</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pregnan* OR prenatal OR antenatal OR maternal OR gestation* OR "in utero"</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fetal OR foetal OR fetus OR foetus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AND</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offspring OR child* OR infant* OR newborn* OR neonat* OR congenital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malformation* OR "birth defect*" OR teratogen* OR neurodevelopment*</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developmental OR cognitive OR cognition OR language OR motor</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behavioral OR behavioural OR autism OR autistic OR ASD</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"attention deficit hyperactivity disorder" OR ADHD OR intellectual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AND</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"systematic review" OR "systematic reviews" OR "meta-analysis"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"meta-analyses" OR "umbrella review" OR "overview of reviews"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"pooled analysis"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w:t>
      </w:r>
      <w:r>
        <w:rPr>
          <w:rFonts w:ascii="Times New Roman" w:hAnsi="Times New Roman" w:eastAsia="Times New Roman"/>
          <w:b w:val="0"/>
          <w:i w:val="0"/>
          <w:sz w:val="24"/>
        </w:rPr>
        <w:br w:type="textWrapping"/>
      </w:r>
      <w:r>
        <w:rPr>
          <w:rFonts w:ascii="Times New Roman" w:hAnsi="Times New Roman" w:eastAsia="Times New Roman"/>
          <w:b w:val="0"/>
          <w:i w:val="0"/>
          <w:sz w:val="24"/>
        </w:rPr>
        <w:t>)</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Refined by: DOCUMENT TYPES: (REVIEW)</w:t>
      </w:r>
      <w:r>
        <w:rPr>
          <w:rFonts w:ascii="Times New Roman" w:hAnsi="Times New Roman" w:eastAsia="Times New Roman"/>
          <w:b w:val="0"/>
          <w:i w:val="0"/>
          <w:sz w:val="24"/>
        </w:rPr>
        <w:br w:type="textWrapping"/>
      </w:r>
      <w:r>
        <w:rPr>
          <w:rFonts w:ascii="Times New Roman" w:hAnsi="Times New Roman" w:eastAsia="Times New Roman"/>
          <w:b w:val="0"/>
          <w:i w:val="0"/>
          <w:sz w:val="24"/>
        </w:rPr>
        <w:t>Refined by: LANGUAGES: (ENGLISH)</w:t>
      </w:r>
    </w:p>
    <w:p w14:paraId="79DA7340">
      <w:pPr>
        <w:keepNext/>
        <w:spacing w:before="0" w:after="0" w:line="360" w:lineRule="auto"/>
        <w:jc w:val="left"/>
      </w:pPr>
      <w:r>
        <w:rPr>
          <w:rFonts w:ascii="Times New Roman" w:hAnsi="Times New Roman" w:eastAsia="Times New Roman"/>
          <w:b/>
          <w:i w:val="0"/>
          <w:sz w:val="24"/>
        </w:rPr>
        <w:t>Notes:</w:t>
      </w:r>
    </w:p>
    <w:p w14:paraId="1437D557">
      <w:pPr>
        <w:spacing w:before="0" w:after="0" w:line="360" w:lineRule="auto"/>
        <w:jc w:val="left"/>
      </w:pPr>
      <w:r>
        <w:rPr>
          <w:rFonts w:ascii="Times New Roman" w:hAnsi="Times New Roman" w:eastAsia="Times New Roman"/>
          <w:b w:val="0"/>
          <w:i w:val="0"/>
          <w:sz w:val="24"/>
        </w:rPr>
        <w:t>TS = Topic search.</w:t>
      </w:r>
    </w:p>
    <w:p w14:paraId="72F4C086">
      <w:pPr>
        <w:spacing w:before="0" w:after="0" w:line="360" w:lineRule="auto"/>
        <w:jc w:val="left"/>
      </w:pPr>
      <w:r>
        <w:rPr>
          <w:rFonts w:ascii="Times New Roman" w:hAnsi="Times New Roman" w:eastAsia="Times New Roman"/>
          <w:b w:val="0"/>
          <w:i w:val="0"/>
          <w:sz w:val="24"/>
        </w:rPr>
        <w:t>The document-type refinement was restricted to REVIEW to match the review-level eligibility of the umbrella review.</w:t>
      </w:r>
    </w:p>
    <w:p w14:paraId="40D1CB98">
      <w:pPr>
        <w:spacing w:after="240"/>
      </w:pPr>
    </w:p>
    <w:p w14:paraId="4394A081">
      <w:pPr>
        <w:keepNext/>
        <w:spacing w:before="0" w:after="0" w:line="360" w:lineRule="auto"/>
        <w:jc w:val="left"/>
      </w:pPr>
      <w:r>
        <w:rPr>
          <w:rFonts w:ascii="Times New Roman" w:hAnsi="Times New Roman" w:eastAsia="Times New Roman"/>
          <w:b/>
          <w:i w:val="0"/>
          <w:sz w:val="24"/>
        </w:rPr>
        <w:t>Table 1.4. Cochrane Database of Systematic Reviews Search Strategy</w:t>
      </w:r>
    </w:p>
    <w:p w14:paraId="46C2BBFD">
      <w:pPr>
        <w:spacing w:before="0" w:after="0" w:line="360" w:lineRule="auto"/>
        <w:jc w:val="left"/>
      </w:pPr>
      <w:r>
        <w:rPr>
          <w:rFonts w:ascii="Times New Roman" w:hAnsi="Times New Roman" w:eastAsia="Times New Roman"/>
          <w:b w:val="0"/>
          <w:i w:val="0"/>
          <w:sz w:val="24"/>
        </w:rPr>
        <w:t>Database: Cochrane Database of Systematic Reviews (CDSR), Cochrane Library</w:t>
      </w:r>
    </w:p>
    <w:p w14:paraId="7203DC73">
      <w:pPr>
        <w:spacing w:before="0" w:after="0" w:line="360" w:lineRule="auto"/>
        <w:jc w:val="left"/>
      </w:pPr>
      <w:r>
        <w:rPr>
          <w:rFonts w:ascii="Times New Roman" w:hAnsi="Times New Roman" w:eastAsia="Times New Roman"/>
          <w:b w:val="0"/>
          <w:i w:val="0"/>
          <w:sz w:val="24"/>
        </w:rPr>
        <w:t>Coverage: Inception to December 31, 2025 (Issue 12, 2025)</w:t>
      </w:r>
    </w:p>
    <w:p w14:paraId="27A1545F">
      <w:pPr>
        <w:spacing w:before="0" w:after="0" w:line="360" w:lineRule="auto"/>
        <w:jc w:val="left"/>
      </w:pPr>
      <w:r>
        <w:rPr>
          <w:rFonts w:ascii="Times New Roman" w:hAnsi="Times New Roman" w:eastAsia="Times New Roman"/>
          <w:b w:val="0"/>
          <w:i w:val="0"/>
          <w:sz w:val="24"/>
        </w:rPr>
        <w:t>Last search update: December 31, 2025</w:t>
      </w:r>
    </w:p>
    <w:p w14:paraId="5344A3DA">
      <w:pPr>
        <w:keepNext/>
        <w:spacing w:before="0" w:after="0" w:line="360" w:lineRule="auto"/>
        <w:jc w:val="left"/>
      </w:pPr>
      <w:r>
        <w:rPr>
          <w:rFonts w:ascii="Times New Roman" w:hAnsi="Times New Roman" w:eastAsia="Times New Roman"/>
          <w:b/>
          <w:i w:val="0"/>
          <w:sz w:val="24"/>
        </w:rPr>
        <w:t>Complete Cochrane query</w:t>
      </w:r>
    </w:p>
    <w:p w14:paraId="0732DEA4">
      <w:pPr>
        <w:spacing w:before="0" w:after="0" w:line="360" w:lineRule="auto"/>
        <w:ind w:left="360"/>
      </w:pPr>
      <w:r>
        <w:rPr>
          <w:rFonts w:ascii="Times New Roman" w:hAnsi="Times New Roman" w:eastAsia="Times New Roman"/>
          <w:b w:val="0"/>
          <w:i w:val="0"/>
          <w:sz w:val="24"/>
        </w:rPr>
        <w:t>#1 MeSH descriptor: [Anticonvulsants] explode all trees</w:t>
      </w:r>
      <w:r>
        <w:rPr>
          <w:rFonts w:ascii="Times New Roman" w:hAnsi="Times New Roman" w:eastAsia="Times New Roman"/>
          <w:b w:val="0"/>
          <w:i w:val="0"/>
          <w:sz w:val="24"/>
        </w:rPr>
        <w:br w:type="textWrapping"/>
      </w:r>
      <w:r>
        <w:rPr>
          <w:rFonts w:ascii="Times New Roman" w:hAnsi="Times New Roman" w:eastAsia="Times New Roman"/>
          <w:b w:val="0"/>
          <w:i w:val="0"/>
          <w:sz w:val="24"/>
        </w:rPr>
        <w:t>#2 (antiseizure or anti-seizure or antiseizure medication* or anti-seizure medication*</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antiepileptic or anti-epileptic or antiepileptic drug* or anti-epileptic drug*</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anticonvulsant* or valproate or "valproic acid" or lamotrigine or carbamazepine</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levetiracetam or topiramate or oxcarbazepine or phenytoin or phenobarbital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gabapentin or pregabalin or lacosamide or brivaracetam or perampanel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eslicarbazepine or zonisamide):ti,ab,kw</w:t>
      </w:r>
      <w:r>
        <w:rPr>
          <w:rFonts w:ascii="Times New Roman" w:hAnsi="Times New Roman" w:eastAsia="Times New Roman"/>
          <w:b w:val="0"/>
          <w:i w:val="0"/>
          <w:sz w:val="24"/>
        </w:rPr>
        <w:br w:type="textWrapping"/>
      </w:r>
      <w:r>
        <w:rPr>
          <w:rFonts w:ascii="Times New Roman" w:hAnsi="Times New Roman" w:eastAsia="Times New Roman"/>
          <w:b w:val="0"/>
          <w:i w:val="0"/>
          <w:sz w:val="24"/>
        </w:rPr>
        <w:t>#3 #1 OR #2</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#4 MeSH descriptor: [Pregnancy] explode all trees</w:t>
      </w:r>
      <w:r>
        <w:rPr>
          <w:rFonts w:ascii="Times New Roman" w:hAnsi="Times New Roman" w:eastAsia="Times New Roman"/>
          <w:b w:val="0"/>
          <w:i w:val="0"/>
          <w:sz w:val="24"/>
        </w:rPr>
        <w:br w:type="textWrapping"/>
      </w:r>
      <w:r>
        <w:rPr>
          <w:rFonts w:ascii="Times New Roman" w:hAnsi="Times New Roman" w:eastAsia="Times New Roman"/>
          <w:b w:val="0"/>
          <w:i w:val="0"/>
          <w:sz w:val="24"/>
        </w:rPr>
        <w:t>#5 MeSH descriptor: [Pregnant Women] explode all trees</w:t>
      </w:r>
      <w:r>
        <w:rPr>
          <w:rFonts w:ascii="Times New Roman" w:hAnsi="Times New Roman" w:eastAsia="Times New Roman"/>
          <w:b w:val="0"/>
          <w:i w:val="0"/>
          <w:sz w:val="24"/>
        </w:rPr>
        <w:br w:type="textWrapping"/>
      </w:r>
      <w:r>
        <w:rPr>
          <w:rFonts w:ascii="Times New Roman" w:hAnsi="Times New Roman" w:eastAsia="Times New Roman"/>
          <w:b w:val="0"/>
          <w:i w:val="0"/>
          <w:sz w:val="24"/>
        </w:rPr>
        <w:t>#6 MeSH descriptor: [Prenatal Exposure Delayed Effects] explode all trees</w:t>
      </w:r>
      <w:r>
        <w:rPr>
          <w:rFonts w:ascii="Times New Roman" w:hAnsi="Times New Roman" w:eastAsia="Times New Roman"/>
          <w:b w:val="0"/>
          <w:i w:val="0"/>
          <w:sz w:val="24"/>
        </w:rPr>
        <w:br w:type="textWrapping"/>
      </w:r>
      <w:r>
        <w:rPr>
          <w:rFonts w:ascii="Times New Roman" w:hAnsi="Times New Roman" w:eastAsia="Times New Roman"/>
          <w:b w:val="0"/>
          <w:i w:val="0"/>
          <w:sz w:val="24"/>
        </w:rPr>
        <w:t>#7 (pregnan* or prenatal or antenatal or maternal or gestation* or "in utero"</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fetal or foetal or fetus or foetus):ti,ab,kw</w:t>
      </w:r>
      <w:r>
        <w:rPr>
          <w:rFonts w:ascii="Times New Roman" w:hAnsi="Times New Roman" w:eastAsia="Times New Roman"/>
          <w:b w:val="0"/>
          <w:i w:val="0"/>
          <w:sz w:val="24"/>
        </w:rPr>
        <w:br w:type="textWrapping"/>
      </w:r>
      <w:r>
        <w:rPr>
          <w:rFonts w:ascii="Times New Roman" w:hAnsi="Times New Roman" w:eastAsia="Times New Roman"/>
          <w:b w:val="0"/>
          <w:i w:val="0"/>
          <w:sz w:val="24"/>
        </w:rPr>
        <w:t>#8 #4 OR #5 OR #6 OR #7</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#9 (offspring or child* or infant* or newborn* or neonat* or congenital</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malformation* or "birth defect*" or teratogen* or neurodevelopment*</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developmental or cognitive or cognition or language or motor</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behavioral or behavioural or autism or autistic or ASD</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"attention deficit hyperactivity disorder" or ADHD or intellectual):ti,ab,kw</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#10 ("systematic review" or "systematic reviews" or "meta-analysis"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"meta-analyses" or "umbrella review" or "overview of reviews"</w:t>
      </w:r>
      <w:r>
        <w:rPr>
          <w:rFonts w:ascii="Times New Roman" w:hAnsi="Times New Roman" w:eastAsia="Times New Roman"/>
          <w:b w:val="0"/>
          <w:i w:val="0"/>
          <w:sz w:val="24"/>
        </w:rPr>
        <w:br w:type="textWrapping"/>
      </w:r>
      <w:r>
        <w:rPr>
          <w:rFonts w:ascii="Times New Roman" w:hAnsi="Times New Roman" w:eastAsia="Times New Roman"/>
          <w:b w:val="0"/>
          <w:i w:val="0"/>
          <w:sz w:val="24"/>
        </w:rPr>
        <w:t xml:space="preserve">     or "pooled analysis"):ti,ab,kw</w:t>
      </w:r>
      <w:r>
        <w:rPr>
          <w:rFonts w:ascii="Times New Roman" w:hAnsi="Times New Roman" w:eastAsia="Times New Roman"/>
          <w:b w:val="0"/>
          <w:i w:val="0"/>
          <w:sz w:val="24"/>
        </w:rPr>
        <w:br w:type="textWrapping"/>
      </w:r>
      <w:r>
        <w:rPr>
          <w:rFonts w:ascii="Times New Roman" w:hAnsi="Times New Roman" w:eastAsia="Times New Roman"/>
          <w:b w:val="0"/>
          <w:i w:val="0"/>
          <w:sz w:val="24"/>
        </w:rPr>
        <w:br w:type="textWrapping"/>
      </w:r>
      <w:r>
        <w:rPr>
          <w:rFonts w:ascii="Times New Roman" w:hAnsi="Times New Roman" w:eastAsia="Times New Roman"/>
          <w:b w:val="0"/>
          <w:i w:val="0"/>
          <w:sz w:val="24"/>
        </w:rPr>
        <w:t>#11 #3 AND #8 AND #9 AND #10</w:t>
      </w:r>
    </w:p>
    <w:p w14:paraId="4FC8E776">
      <w:pPr>
        <w:keepNext/>
        <w:spacing w:before="0" w:after="0" w:line="360" w:lineRule="auto"/>
        <w:jc w:val="left"/>
      </w:pPr>
      <w:r>
        <w:rPr>
          <w:rFonts w:ascii="Times New Roman" w:hAnsi="Times New Roman" w:eastAsia="Times New Roman"/>
          <w:b/>
          <w:i w:val="0"/>
          <w:sz w:val="24"/>
        </w:rPr>
        <w:t>Notes:</w:t>
      </w:r>
    </w:p>
    <w:p w14:paraId="6A7E5660">
      <w:pPr>
        <w:spacing w:before="0" w:after="0" w:line="360" w:lineRule="auto"/>
        <w:jc w:val="both"/>
      </w:pPr>
      <w:r>
        <w:rPr>
          <w:rFonts w:ascii="Times New Roman" w:hAnsi="Times New Roman" w:eastAsia="Times New Roman"/>
          <w:b w:val="0"/>
          <w:i w:val="0"/>
          <w:sz w:val="24"/>
        </w:rPr>
        <w:t>ti,ab,kw = title, abstract, keywords</w:t>
      </w:r>
    </w:p>
    <w:p w14:paraId="5C59574D">
      <w:pPr>
        <w:spacing w:before="0" w:after="0" w:line="360" w:lineRule="auto"/>
        <w:jc w:val="both"/>
      </w:pPr>
      <w:r>
        <w:rPr>
          <w:rFonts w:ascii="Times New Roman" w:hAnsi="Times New Roman" w:eastAsia="Times New Roman"/>
          <w:b w:val="0"/>
          <w:i w:val="0"/>
          <w:sz w:val="24"/>
        </w:rPr>
        <w:t>English-language restriction: results were limited to English-language reviews using the Cochrane Library interface filter where available; any remaining non-English records were excluded during screening.</w:t>
      </w:r>
    </w:p>
    <w:p w14:paraId="22630467">
      <w:pPr>
        <w:spacing w:after="240"/>
      </w:pPr>
    </w:p>
    <w:p w14:paraId="39D8E48C">
      <w:pPr>
        <w:keepNext/>
        <w:spacing w:before="0" w:after="0" w:line="360" w:lineRule="auto"/>
        <w:jc w:val="left"/>
      </w:pPr>
      <w:r>
        <w:rPr>
          <w:rFonts w:ascii="Times New Roman" w:hAnsi="Times New Roman" w:eastAsia="Times New Roman"/>
          <w:b/>
          <w:i w:val="0"/>
          <w:sz w:val="24"/>
        </w:rPr>
        <w:t>Footnote</w:t>
      </w:r>
    </w:p>
    <w:p w14:paraId="09926793">
      <w:pPr>
        <w:spacing w:before="0" w:after="0" w:line="360" w:lineRule="auto"/>
        <w:jc w:val="both"/>
      </w:pPr>
      <w:bookmarkStart w:id="0" w:name="_GoBack"/>
      <w:bookmarkEnd w:id="0"/>
      <w:r>
        <w:rPr>
          <w:rFonts w:ascii="Times New Roman" w:hAnsi="Times New Roman" w:eastAsia="Times New Roman"/>
          <w:b w:val="0"/>
          <w:i w:val="0"/>
          <w:sz w:val="24"/>
        </w:rPr>
        <w:t>Abbreviations: ASM, antiseizure medication; CDSR, Cochrane Database of Systematic Reviews. The search strategy was intentionally designed to retain the dual-domain scope of the umbrella review by capturing both structural outcomes (for example, congenital malformations and birth defects) and neurodevelopmental outcomes (for example, autism spectrum disorder, attention-deficit/hyperactivity disorder, and broader developmental, cognitive, language, and motor outcomes). Although the main text emphasizes neurodevelopmental findings, the overall review framework and eligibility criteria retained both domains throughout study identification and screening.</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B7FDF0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3</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Yulong Li</cp:lastModifiedBy>
  <dcterms:modified xsi:type="dcterms:W3CDTF">2026-04-05T20:32:06Z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6EE0EB6B46F9223C4656D2691E807815_42</vt:lpwstr>
  </property>
</Properties>
</file>