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F0A6B">
      <w:pPr>
        <w:jc w:val="center"/>
        <w:rPr>
          <w:rFonts w:hint="default" w:ascii="Times New Roman Bold" w:hAnsi="Times New Roman Bold" w:cs="Times New Roman Bold"/>
          <w:b/>
          <w:bCs w:val="0"/>
          <w:color w:val="auto"/>
          <w:sz w:val="28"/>
          <w:szCs w:val="28"/>
        </w:rPr>
      </w:pPr>
      <w:bookmarkStart w:id="0" w:name="_GoBack"/>
      <w:r>
        <w:rPr>
          <w:rFonts w:hint="default" w:ascii="Times New Roman Bold" w:hAnsi="Times New Roman Bold" w:cs="Times New Roman Bold"/>
          <w:b/>
          <w:bCs w:val="0"/>
          <w:color w:val="auto"/>
          <w:sz w:val="36"/>
          <w:szCs w:val="36"/>
        </w:rPr>
        <w:t>Supplementary Table 2. AMSTAR 2 methodological quality assessment of included systematic reviews and meta-analyses</w:t>
      </w:r>
    </w:p>
    <w:bookmarkEnd w:id="0"/>
    <w:tbl>
      <w:tblPr>
        <w:tblStyle w:val="3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217"/>
        <w:gridCol w:w="2229"/>
        <w:gridCol w:w="1124"/>
        <w:gridCol w:w="2349"/>
        <w:gridCol w:w="443"/>
        <w:gridCol w:w="456"/>
        <w:gridCol w:w="430"/>
        <w:gridCol w:w="456"/>
        <w:gridCol w:w="430"/>
        <w:gridCol w:w="443"/>
        <w:gridCol w:w="456"/>
        <w:gridCol w:w="430"/>
        <w:gridCol w:w="456"/>
        <w:gridCol w:w="456"/>
        <w:gridCol w:w="576"/>
        <w:gridCol w:w="456"/>
        <w:gridCol w:w="576"/>
        <w:gridCol w:w="456"/>
        <w:gridCol w:w="576"/>
        <w:gridCol w:w="456"/>
        <w:gridCol w:w="2552"/>
        <w:gridCol w:w="2749"/>
        <w:gridCol w:w="1311"/>
      </w:tblGrid>
      <w:tr w14:paraId="53E6023F">
        <w:trPr>
          <w:cantSplit/>
          <w:trHeight w:val="822" w:hRule="atLeast"/>
          <w:tblHeader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236FCC1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No.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728AAA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color w:val="auto"/>
                <w:sz w:val="24"/>
                <w:szCs w:val="48"/>
              </w:rPr>
              <w:t>First author, year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713420C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Domain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020159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Review type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5326CE5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Review topic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28508D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1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8E986B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*2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7A7B03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3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563C0E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*4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EC0460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5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8055DE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6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065BFD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*7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EDA412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8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89082E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*9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E7FEBD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10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F7B266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*11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A51379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12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573D3A0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*13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35C08F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14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4D73F8B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*15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9A08D3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16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6736C1C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Critical domain(s)</w:t>
            </w: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br w:type="textWrapping"/>
            </w: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with flaw(s)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1D1ECC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Other notable</w:t>
            </w: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br w:type="textWrapping"/>
            </w: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concerns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7D592F3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b/>
                <w:bCs w:val="0"/>
                <w:color w:val="auto"/>
                <w:sz w:val="48"/>
                <w:szCs w:val="48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Overall</w:t>
            </w: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br w:type="textWrapping"/>
            </w:r>
            <w:r>
              <w:rPr>
                <w:rFonts w:hint="default" w:ascii="Times New Roman Regular" w:hAnsi="Times New Roman Regular" w:cs="Times New Roman Regular"/>
                <w:b/>
                <w:bCs w:val="0"/>
                <w:i w:val="0"/>
                <w:color w:val="auto"/>
                <w:sz w:val="24"/>
                <w:szCs w:val="48"/>
              </w:rPr>
              <w:t>confidence</w:t>
            </w:r>
          </w:p>
        </w:tc>
      </w:tr>
      <w:tr w14:paraId="4F1B0D61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57421B0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1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631226F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Andrade C, 2025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3975651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Neurodevelopmental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249873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473B6D46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Valproate; ASD and ADHD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B3B327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E86DE1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E38EE3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1B0AAD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7278AC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042D19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43A25F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BA090B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5CF46B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357984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AB1FDE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722A98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3E75CD2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EBD311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10EB184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05245E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205CB802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4 (partial), 7, and 15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B114F29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10 not met; Item 12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3622382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03704D2A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4A5E8E3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2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3738D4F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Amaral de Lara IC et al., 2025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49A6A34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Neurodevelopmental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18A5D30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32C32C83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Multiple ASMs; ASD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2458B0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F0FD6A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F36CA9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005D2B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E0724E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37D39D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C77C30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EEDDF6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E61C73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FA64CF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C5E60E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39B073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6175ACF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37EFEE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1E85534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111ED9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356E96D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4 (partial), 7, 11 (partial), and 15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8C44F41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10 not met; Item 12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1CA838B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0297FE1E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23E9060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3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2AA3A9D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Xu S-C et al., 2024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1D63C28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Neurodevelopmental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4382B1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38C0818B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Multiple ASMs; ASD and ADHD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C00D9E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B1D78C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5A7F88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C681BC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E8B3A1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F6AF6F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04A6A6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89C1A4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C96822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7F0A92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AC15D3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BA072F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767720C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BCBBD8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60AFDE3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8C5B62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016D2A2A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2, 4 (partial), 7, and 15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770273A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5 not met; Item 10 not met; Item 12 not met; duplicate study selection not clearly described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678D556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0DEC99A5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6CBCAB1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4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6627908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Peron A et al., 2024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11050D0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Neurodevelopmental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20BDDC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0ED47661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Lamotrigine monotherapy; neurodevelopmental outcomes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BDD29C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E6BE78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A4445C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E8C211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90DCB8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A44559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CBE26B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D226D6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465F24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BF075C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7824A5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654218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100C035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2C55CC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27411A9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3A3700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560A224B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43A7DE9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5 not met; Item 6 partially met; study selection not conducted in duplicate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32D2A87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Low</w:t>
            </w:r>
          </w:p>
        </w:tc>
      </w:tr>
      <w:tr w14:paraId="475A890A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76DF82E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5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08B0DB1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Veroniki AA et al., 2017b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6541112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Neurodevelopmental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E07CC2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NMA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36806DBB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Multiple ASMs; neurodevelopmental outcomes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C59EA3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F04891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266670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4D768B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0007CF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DBD077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978B4B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63EA5C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0A3A20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00F1A5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0DF77A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35D612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30B0C7A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16E550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744790B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20CEB1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76A57C71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4AC3302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295E7BD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Low</w:t>
            </w:r>
          </w:p>
        </w:tc>
      </w:tr>
      <w:tr w14:paraId="6F5D96F1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163AD57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6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5B0A190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Yang X et al., 2025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6353D76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517B3E7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6512FC65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Valproate; major congenital malformations and structural anomalies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D625D1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253CE9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200D9D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0432BB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65230D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D28091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2FF834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4F11DB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101C84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A14B95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65B41B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ECACED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7EE6371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6C375E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5A4FB35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DAC8B4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1E1B63D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2, 4 (partial), and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025B1A4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10 not met; Item 12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4FAE2C3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4D8E3A41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6E574AF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7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5CAB384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Tanoshima M et al., 2015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06B6A83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786D889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558BBD4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Valproate; congenital malformations (cumulative meta-analysis)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DA7F2A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EFBAF9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BF6551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4AE7AE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6BD931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6122F2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F70F83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88421A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EA7E05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4A1663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FBAB29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794785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6646703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E3F73E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72EACF3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3EF38B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1B6E969F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2 and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2063205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6 not met; Item 10 not met; Item 16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530793E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124164E7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114B731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8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0D7A825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Wan X et al., 2024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48DACC7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9764D5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2BB2A76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Lamotrigine; pregnancy outcomes and seizure control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E62752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37FC50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CF1103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772D34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F4878B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C786C6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937FC1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9B47BE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E5C380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63C674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77748B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DC4E4B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2620413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747B6E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4B58811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CD7742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2DBB5755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7, 11, and 15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4863F1E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10 not met; Item 12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30A2615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71752408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34F5030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9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5D4AC75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Pariente G et al., 2017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3AE0D09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89C5B2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2D4A191E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Lamotrigine monotherapy; pregnancy outcomes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DEC60B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EC8BD8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015085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30D7D8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B28A0D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3D147D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0F5074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3CFD72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CBCF8E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008DAB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C4F89C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8B3D91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04EE322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06A473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304EDE3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E2C590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5FDFCCA9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2 and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BC160E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10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5634C2D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49037EAA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59F0C09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10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28EF026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Athar F et al., 2022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0A6C6BD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112CA6B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73A3918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Oxcarbazepine; congenital, fetal, and neonatal outcomes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C97E01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AC01AA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E9B2B6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75A911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51EECC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00A172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EB188E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69B508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939DE5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1A1CC2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E2D50D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8658A6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6EF9326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343216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2C794C9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F0B7B8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507E2E14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2A9F4F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10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3933598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Low</w:t>
            </w:r>
          </w:p>
        </w:tc>
      </w:tr>
      <w:tr w14:paraId="6021624F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686E420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11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6B05E96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Veroniki AA et al., 2017a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202054A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1C3A06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NMA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230D9564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Multiple ASMs; congenital malformations and prenatal outcomes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99BDFF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C4A23F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27D833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136504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36C0D7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3C9C90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40E04E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BB0203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330D83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D0419B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3BAE5F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4D8533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3B8379E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17DB1A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3A1E0C8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DEEA53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7248FA33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81E6B23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1434D82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Low</w:t>
            </w:r>
          </w:p>
        </w:tc>
      </w:tr>
      <w:tr w14:paraId="4567D126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17C9F73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12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4C808A0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Alsaad AM et al., 2015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5225861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A0BFAD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24FCA8B8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Topiramate; oral clefts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AEA0EB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6F6399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D1717C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2ED6EF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303F68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7F3B96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C8CC30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B60B58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32CA64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C28FAA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E19444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2E8C18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06FFAEA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274DD4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0B8222A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C7D764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12E15A85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2, 4 (partial), and 9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AD85440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6 not met; Item 8 partially met; Item 10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0201994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5F8C83FE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37053A3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13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302E156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Zhao Z-L et al., 2025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5FA62FD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84BC50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0832913C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Lamotrigine; orofacial clefts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D1D6EC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8F5B8B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65CC69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FE0415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◐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5B3C45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32157A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4FE992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B34619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F5A085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3618A08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7A0453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5F8E51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08C8184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780863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6023239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785C1A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4BD3894B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Items 2, 4 (partial), and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9051C1C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10 not met; Item 12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43F6C5A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Critically low</w:t>
            </w:r>
          </w:p>
        </w:tc>
      </w:tr>
      <w:tr w14:paraId="16888F32">
        <w:trPr>
          <w:cantSplit/>
          <w:jc w:val="center"/>
        </w:trPr>
        <w:tc>
          <w:tcPr>
            <w:tcW w:w="113" w:type="pct"/>
            <w:shd w:val="clear" w:color="auto" w:fill="auto"/>
            <w:vAlign w:val="center"/>
          </w:tcPr>
          <w:p w14:paraId="2D942CD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14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5DE4D84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40"/>
                <w:szCs w:val="40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color w:val="auto"/>
                <w:sz w:val="24"/>
                <w:szCs w:val="40"/>
              </w:rPr>
              <w:t>Atzenhoffer M et al., 2025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60426DC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Structural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692FCE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2"/>
                <w:szCs w:val="40"/>
              </w:rPr>
              <w:t>SR + MA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427DD77B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4"/>
                <w:szCs w:val="40"/>
              </w:rPr>
              <w:t>Pregabalin; major congenital malformations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A1F1EF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06F6864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E7FCAE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2D3B15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B534C4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8451C0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3931E5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5D90525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4B46BBB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29618CC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✗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1EF126D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D041DE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2802527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758085E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10" w:type="pct"/>
            <w:shd w:val="clear" w:color="auto" w:fill="auto"/>
            <w:vAlign w:val="center"/>
          </w:tcPr>
          <w:p w14:paraId="5E4AB36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105" w:type="pct"/>
            <w:shd w:val="clear" w:color="auto" w:fill="auto"/>
            <w:vAlign w:val="center"/>
          </w:tcPr>
          <w:p w14:paraId="6CFF694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8"/>
                <w:szCs w:val="40"/>
              </w:rPr>
              <w:t>✓</w:t>
            </w:r>
          </w:p>
        </w:tc>
        <w:tc>
          <w:tcPr>
            <w:tcW w:w="584" w:type="pct"/>
            <w:shd w:val="clear" w:color="auto" w:fill="auto"/>
            <w:vAlign w:val="center"/>
          </w:tcPr>
          <w:p w14:paraId="4108E38B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 w:val="0"/>
                <w:color w:val="auto"/>
                <w:sz w:val="22"/>
                <w:szCs w:val="40"/>
              </w:rPr>
              <w:t>Item 7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AECEA78">
            <w:pPr>
              <w:spacing w:after="0" w:line="240" w:lineRule="auto"/>
              <w:jc w:val="left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i/>
                <w:color w:val="auto"/>
                <w:sz w:val="21"/>
                <w:szCs w:val="40"/>
              </w:rPr>
              <w:t>Item 3 not met; Item 10 not met</w:t>
            </w:r>
          </w:p>
        </w:tc>
        <w:tc>
          <w:tcPr>
            <w:tcW w:w="270" w:type="pct"/>
            <w:shd w:val="clear" w:color="auto" w:fill="auto"/>
            <w:vAlign w:val="center"/>
          </w:tcPr>
          <w:p w14:paraId="77C5F8A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color w:val="auto"/>
                <w:sz w:val="40"/>
                <w:szCs w:val="40"/>
              </w:rPr>
            </w:pPr>
            <w:r>
              <w:rPr>
                <w:rFonts w:hint="default" w:ascii="Times New Roman Regular" w:hAnsi="Times New Roman Regular" w:cs="Times New Roman Regular"/>
                <w:b/>
                <w:color w:val="auto"/>
                <w:sz w:val="24"/>
                <w:szCs w:val="40"/>
              </w:rPr>
              <w:t>Low</w:t>
            </w:r>
          </w:p>
        </w:tc>
      </w:tr>
    </w:tbl>
    <w:p w14:paraId="7008FA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line="360" w:lineRule="auto"/>
        <w:jc w:val="both"/>
        <w:textAlignment w:val="auto"/>
        <w:rPr>
          <w:rFonts w:hint="default" w:ascii="Times New Roman Regular" w:hAnsi="Times New Roman Regular" w:cs="Times New Roman Regular"/>
          <w:i w:val="0"/>
          <w:iCs/>
          <w:color w:val="auto"/>
          <w:sz w:val="21"/>
          <w:szCs w:val="21"/>
        </w:rPr>
      </w:pPr>
      <w:r>
        <w:rPr>
          <w:rFonts w:hint="default" w:ascii="Times New Roman Regular" w:hAnsi="Times New Roman Regular" w:cs="Times New Roman Regular"/>
          <w:i w:val="0"/>
          <w:iCs/>
          <w:color w:val="auto"/>
          <w:sz w:val="21"/>
          <w:szCs w:val="21"/>
        </w:rPr>
        <w:t>AMSTAR 2 = A Measurement Tool to Assess Systematic Reviews (16-item version). Critical domains (items 2, 4, 7, 9, 11, 13, 15) are marked with an asterisk (*) in column headers. Overall confidence ratings followed AMSTAR 2 guidance: high, no or one non-critical weakness; moderate, more than one non-critical weakness; low, one critical flaw with or without non-critical weaknesses; critically low, more than one critical flaw with or without non-critical weaknesses. The column “Critical domain(s) with flaw(s)” lists only critical-domain items scored “No” or “Partial Yes”. “Other notable concerns” lists non-critical items (e.g., 3, 5–6, 8, 10, 12, 14, 16) scored “No” or “Partial Yes”, plus short clarifying clauses where needed, without repeating critical-domain judgments. AMSTAR 2 ratings were used to inform interpretation of review-level methodological limitations and were not used to dismiss or exclude otherwise eligible reviews.</w:t>
      </w:r>
    </w:p>
    <w:p w14:paraId="044050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line="360" w:lineRule="auto"/>
        <w:jc w:val="both"/>
        <w:textAlignment w:val="auto"/>
        <w:rPr>
          <w:rFonts w:hint="default" w:ascii="Times New Roman Regular" w:hAnsi="Times New Roman Regular" w:cs="Times New Roman Regular"/>
          <w:i w:val="0"/>
          <w:iCs/>
          <w:color w:val="auto"/>
          <w:sz w:val="21"/>
          <w:szCs w:val="21"/>
        </w:rPr>
      </w:pPr>
      <w:r>
        <w:rPr>
          <w:rFonts w:ascii="Times New Roman Regular" w:hAnsi="Times New Roman Regular"/>
          <w:sz w:val="21"/>
        </w:rPr>
        <w:t>Legend: ✓ = Yes | ◐ = Partial Yes | ✗ = No | * = AMSTAR 2 critical domain. Review topic is formatted as exposure(s); primary review focus. ASMs = antiseizure medications; ASD = autism spectrum disorder; ADHD = attention-deficit/hyperactivity disorder; LTG = lamotrigine; VPA = valproate; OXC = oxcarbazepine; TPM = topiramate; PGB = pregabalin; SR = systematic review; MA = meta-analysis; NMA = network meta-analysis.</w:t>
      </w:r>
    </w:p>
    <w:sectPr>
      <w:pgSz w:w="23811" w:h="16838" w:orient="landscape"/>
      <w:pgMar w:top="680" w:right="680" w:bottom="680" w:left="6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DAF8761"/>
    <w:rsid w:val="FFBB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Yulong Li</cp:lastModifiedBy>
  <dcterms:modified xsi:type="dcterms:W3CDTF">2026-07-18T13:21:03Z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026FFD0FEAB059CA3557D26969A3D6DA_42</vt:lpwstr>
  </property>
</Properties>
</file>