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0F8C33">
      <w:pPr>
        <w:jc w:val="center"/>
        <w:rPr>
          <w:sz w:val="24"/>
          <w:szCs w:val="24"/>
        </w:rPr>
      </w:pPr>
      <w:r>
        <w:rPr>
          <w:rFonts w:hint="default" w:ascii="Times New Roman Bold" w:hAnsi="Times New Roman Bold" w:cs="Times New Roman Bold"/>
          <w:b/>
          <w:bCs/>
          <w:sz w:val="32"/>
          <w:szCs w:val="32"/>
        </w:rPr>
        <w:t xml:space="preserve">Supplementary Table </w:t>
      </w:r>
      <w:r>
        <w:rPr>
          <w:rFonts w:hint="eastAsia" w:ascii="Times New Roman Bold" w:hAnsi="Times New Roman Bold" w:eastAsia="宋体" w:cs="Times New Roman Bold"/>
          <w:b/>
          <w:bCs/>
          <w:sz w:val="32"/>
          <w:szCs w:val="32"/>
          <w:lang w:val="en-US" w:eastAsia="zh-CN"/>
        </w:rPr>
        <w:t>3</w:t>
      </w:r>
      <w:r>
        <w:rPr>
          <w:rFonts w:hint="default" w:ascii="Times New Roman Bold" w:hAnsi="Times New Roman Bold" w:cs="Times New Roman Bold"/>
          <w:b/>
          <w:bCs/>
          <w:sz w:val="32"/>
          <w:szCs w:val="32"/>
        </w:rPr>
        <w:t>. Overlap assessment of included systematic reviews and meta-analyses, with corrected covered area (CCA) calculations where feasible</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2061"/>
        <w:gridCol w:w="3491"/>
        <w:gridCol w:w="4291"/>
        <w:gridCol w:w="1432"/>
        <w:gridCol w:w="1739"/>
        <w:gridCol w:w="2354"/>
        <w:gridCol w:w="7299"/>
      </w:tblGrid>
      <w:tr w14:paraId="118C8CE0">
        <w:trPr>
          <w:trHeight w:val="717" w:hRule="atLeast"/>
          <w:jc w:val="center"/>
          <w:tblHeader/>
          <w:cantSplit/>
        </w:trPr>
        <w:tc>
          <w:tcPr>
            <w:tcW w:w="0" w:type="auto"/>
            <w:shd w:val="clear" w:color="auto" w:fill="auto"/>
            <w:vAlign w:val="center"/>
          </w:tcPr>
          <w:p w14:paraId="6CD7F353">
            <w:pPr>
              <w:spacing w:after="0" w:line="240" w:lineRule="auto"/>
              <w:jc w:val="left"/>
              <w:rPr>
                <w:rFonts w:hint="default" w:ascii="Times New Roman Bold" w:hAnsi="Times New Roman Bold" w:cs="Times New Roman Bold"/>
                <w:b/>
                <w:bCs w:val="0"/>
                <w:color w:val="auto"/>
                <w:sz w:val="22"/>
                <w:szCs w:val="22"/>
              </w:rPr>
            </w:pPr>
            <w:r>
              <w:rPr>
                <w:rFonts w:hint="default" w:ascii="Times New Roman Bold" w:hAnsi="Times New Roman Bold" w:cs="Times New Roman Bold"/>
                <w:b/>
                <w:bCs w:val="0"/>
                <w:i w:val="0"/>
                <w:color w:val="auto"/>
                <w:sz w:val="22"/>
                <w:szCs w:val="22"/>
              </w:rPr>
              <w:t>Domain</w:t>
            </w:r>
          </w:p>
        </w:tc>
        <w:tc>
          <w:tcPr>
            <w:tcW w:w="0" w:type="auto"/>
            <w:shd w:val="clear" w:color="auto" w:fill="auto"/>
            <w:vAlign w:val="center"/>
          </w:tcPr>
          <w:p w14:paraId="3F7631ED">
            <w:pPr>
              <w:spacing w:after="0" w:line="240" w:lineRule="auto"/>
              <w:jc w:val="left"/>
              <w:rPr>
                <w:rFonts w:hint="default" w:ascii="Times New Roman Bold" w:hAnsi="Times New Roman Bold" w:cs="Times New Roman Bold"/>
                <w:b/>
                <w:bCs w:val="0"/>
                <w:i w:val="0"/>
                <w:iCs w:val="0"/>
                <w:color w:val="auto"/>
                <w:sz w:val="22"/>
                <w:szCs w:val="22"/>
              </w:rPr>
            </w:pPr>
            <w:r>
              <w:rPr>
                <w:rFonts w:hint="default" w:ascii="Times New Roman Bold" w:hAnsi="Times New Roman Bold" w:cs="Times New Roman Bold"/>
                <w:b/>
                <w:bCs w:val="0"/>
                <w:i w:val="0"/>
                <w:iCs w:val="0"/>
                <w:color w:val="auto"/>
                <w:sz w:val="22"/>
                <w:szCs w:val="22"/>
              </w:rPr>
              <w:t>Exposure–outcome focus</w:t>
            </w:r>
            <w:r>
              <w:rPr>
                <w:rFonts w:hint="default" w:ascii="Times New Roman Bold" w:hAnsi="Times New Roman Bold" w:cs="Times New Roman Bold"/>
                <w:b/>
                <w:bCs w:val="0"/>
                <w:i w:val="0"/>
                <w:iCs w:val="0"/>
                <w:color w:val="auto"/>
                <w:sz w:val="22"/>
                <w:szCs w:val="22"/>
              </w:rPr>
              <w:br w:type="textWrapping"/>
            </w:r>
            <w:r>
              <w:rPr>
                <w:rFonts w:hint="default" w:ascii="Times New Roman Bold" w:hAnsi="Times New Roman Bold" w:cs="Times New Roman Bold"/>
                <w:b/>
                <w:bCs w:val="0"/>
                <w:i w:val="0"/>
                <w:iCs w:val="0"/>
                <w:color w:val="auto"/>
                <w:sz w:val="22"/>
                <w:szCs w:val="22"/>
              </w:rPr>
              <w:t>(overlap set level)</w:t>
            </w:r>
          </w:p>
        </w:tc>
        <w:tc>
          <w:tcPr>
            <w:tcW w:w="0" w:type="auto"/>
            <w:shd w:val="clear" w:color="auto" w:fill="auto"/>
            <w:vAlign w:val="center"/>
          </w:tcPr>
          <w:p w14:paraId="19879027">
            <w:pPr>
              <w:spacing w:after="0" w:line="240" w:lineRule="auto"/>
              <w:jc w:val="left"/>
              <w:rPr>
                <w:rFonts w:hint="default" w:ascii="Times New Roman Bold" w:hAnsi="Times New Roman Bold" w:cs="Times New Roman Bold"/>
                <w:b/>
                <w:bCs w:val="0"/>
                <w:color w:val="auto"/>
                <w:sz w:val="22"/>
                <w:szCs w:val="22"/>
              </w:rPr>
            </w:pPr>
            <w:r>
              <w:rPr>
                <w:rFonts w:hint="default" w:ascii="Times New Roman Bold" w:hAnsi="Times New Roman Bold" w:cs="Times New Roman Bold"/>
                <w:b/>
                <w:bCs w:val="0"/>
                <w:i w:val="0"/>
                <w:color w:val="auto"/>
                <w:sz w:val="22"/>
                <w:szCs w:val="22"/>
              </w:rPr>
              <w:t>Contributing reviews</w:t>
            </w:r>
          </w:p>
        </w:tc>
        <w:tc>
          <w:tcPr>
            <w:tcW w:w="1157" w:type="dxa"/>
            <w:shd w:val="clear" w:color="auto" w:fill="auto"/>
            <w:vAlign w:val="center"/>
          </w:tcPr>
          <w:p w14:paraId="04DADF90">
            <w:pPr>
              <w:spacing w:after="0" w:line="240" w:lineRule="auto"/>
              <w:jc w:val="left"/>
              <w:rPr>
                <w:rFonts w:hint="default" w:ascii="Times New Roman Bold" w:hAnsi="Times New Roman Bold" w:cs="Times New Roman Bold"/>
                <w:b/>
                <w:bCs w:val="0"/>
                <w:color w:val="auto"/>
                <w:sz w:val="22"/>
                <w:szCs w:val="22"/>
              </w:rPr>
            </w:pPr>
            <w:r>
              <w:rPr>
                <w:rFonts w:hint="default" w:ascii="Times New Roman Bold" w:hAnsi="Times New Roman Bold" w:cs="Times New Roman Bold"/>
                <w:b/>
                <w:bCs w:val="0"/>
                <w:i w:val="0"/>
                <w:color w:val="auto"/>
                <w:sz w:val="22"/>
                <w:szCs w:val="22"/>
              </w:rPr>
              <w:t>Overlap count, n</w:t>
            </w:r>
          </w:p>
        </w:tc>
        <w:tc>
          <w:tcPr>
            <w:tcW w:w="1400" w:type="dxa"/>
            <w:shd w:val="clear" w:color="auto" w:fill="auto"/>
            <w:vAlign w:val="center"/>
          </w:tcPr>
          <w:p w14:paraId="3A181AFD">
            <w:pPr>
              <w:spacing w:after="0" w:line="240" w:lineRule="auto"/>
              <w:jc w:val="left"/>
              <w:rPr>
                <w:rFonts w:hint="default" w:ascii="Times New Roman Bold" w:hAnsi="Times New Roman Bold" w:cs="Times New Roman Bold"/>
                <w:b/>
                <w:bCs w:val="0"/>
                <w:color w:val="auto"/>
                <w:sz w:val="22"/>
                <w:szCs w:val="22"/>
              </w:rPr>
            </w:pPr>
            <w:r>
              <w:rPr>
                <w:rFonts w:hint="default" w:ascii="Times New Roman Bold" w:hAnsi="Times New Roman Bold" w:cs="Times New Roman Bold"/>
                <w:b/>
                <w:bCs w:val="0"/>
                <w:i w:val="0"/>
                <w:color w:val="auto"/>
                <w:sz w:val="22"/>
                <w:szCs w:val="22"/>
              </w:rPr>
              <w:t>CCA / overlap</w:t>
            </w:r>
            <w:r>
              <w:rPr>
                <w:rFonts w:hint="default" w:ascii="Times New Roman Bold" w:hAnsi="Times New Roman Bold" w:cs="Times New Roman Bold"/>
                <w:b/>
                <w:bCs w:val="0"/>
                <w:i w:val="0"/>
                <w:color w:val="auto"/>
                <w:sz w:val="22"/>
                <w:szCs w:val="22"/>
              </w:rPr>
              <w:br w:type="textWrapping"/>
            </w:r>
            <w:r>
              <w:rPr>
                <w:rFonts w:hint="default" w:ascii="Times New Roman Bold" w:hAnsi="Times New Roman Bold" w:cs="Times New Roman Bold"/>
                <w:b/>
                <w:bCs w:val="0"/>
                <w:i w:val="0"/>
                <w:color w:val="auto"/>
                <w:sz w:val="22"/>
                <w:szCs w:val="22"/>
              </w:rPr>
              <w:t>estimate (%)</w:t>
            </w:r>
          </w:p>
        </w:tc>
        <w:tc>
          <w:tcPr>
            <w:tcW w:w="0" w:type="auto"/>
            <w:shd w:val="clear" w:color="auto" w:fill="auto"/>
            <w:vAlign w:val="center"/>
          </w:tcPr>
          <w:p w14:paraId="4EED569E">
            <w:pPr>
              <w:spacing w:after="0" w:line="240" w:lineRule="auto"/>
              <w:jc w:val="left"/>
              <w:rPr>
                <w:rFonts w:hint="default" w:ascii="Times New Roman Bold" w:hAnsi="Times New Roman Bold" w:cs="Times New Roman Bold"/>
                <w:b/>
                <w:bCs w:val="0"/>
                <w:color w:val="auto"/>
                <w:sz w:val="22"/>
                <w:szCs w:val="22"/>
              </w:rPr>
            </w:pPr>
            <w:r>
              <w:rPr>
                <w:rFonts w:hint="default" w:ascii="Times New Roman Bold" w:hAnsi="Times New Roman Bold" w:cs="Times New Roman Bold"/>
                <w:b/>
                <w:bCs w:val="0"/>
                <w:i w:val="0"/>
                <w:color w:val="auto"/>
                <w:sz w:val="22"/>
                <w:szCs w:val="22"/>
              </w:rPr>
              <w:t>Overlap</w:t>
            </w:r>
            <w:r>
              <w:rPr>
                <w:rFonts w:hint="default" w:ascii="Times New Roman Bold" w:hAnsi="Times New Roman Bold" w:cs="Times New Roman Bold"/>
                <w:b/>
                <w:bCs w:val="0"/>
                <w:i w:val="0"/>
                <w:color w:val="auto"/>
                <w:sz w:val="22"/>
                <w:szCs w:val="22"/>
              </w:rPr>
              <w:br w:type="textWrapping"/>
            </w:r>
            <w:r>
              <w:rPr>
                <w:rFonts w:hint="default" w:ascii="Times New Roman Bold" w:hAnsi="Times New Roman Bold" w:cs="Times New Roman Bold"/>
                <w:b/>
                <w:bCs w:val="0"/>
                <w:i w:val="0"/>
                <w:color w:val="auto"/>
                <w:sz w:val="22"/>
                <w:szCs w:val="22"/>
              </w:rPr>
              <w:t>interpretation</w:t>
            </w:r>
          </w:p>
        </w:tc>
        <w:tc>
          <w:tcPr>
            <w:tcW w:w="0" w:type="auto"/>
            <w:shd w:val="clear" w:color="auto" w:fill="auto"/>
            <w:vAlign w:val="center"/>
          </w:tcPr>
          <w:p w14:paraId="758DBD96">
            <w:pPr>
              <w:spacing w:after="0" w:line="240" w:lineRule="auto"/>
              <w:jc w:val="left"/>
              <w:rPr>
                <w:rFonts w:hint="default" w:ascii="Times New Roman Bold" w:hAnsi="Times New Roman Bold" w:cs="Times New Roman Bold"/>
                <w:b/>
                <w:bCs w:val="0"/>
                <w:color w:val="auto"/>
                <w:sz w:val="22"/>
                <w:szCs w:val="22"/>
              </w:rPr>
            </w:pPr>
            <w:r>
              <w:rPr>
                <w:rFonts w:hint="default" w:ascii="Times New Roman Bold" w:hAnsi="Times New Roman Bold" w:cs="Times New Roman Bold"/>
                <w:b/>
                <w:bCs w:val="0"/>
                <w:i w:val="0"/>
                <w:color w:val="auto"/>
                <w:sz w:val="22"/>
                <w:szCs w:val="22"/>
              </w:rPr>
              <w:t>Notes / review-</w:t>
            </w:r>
            <w:r>
              <w:rPr>
                <w:rFonts w:hint="default" w:ascii="Times New Roman Bold" w:hAnsi="Times New Roman Bold" w:cs="Times New Roman Bold"/>
                <w:b/>
                <w:bCs w:val="0"/>
                <w:i w:val="0"/>
                <w:color w:val="auto"/>
                <w:sz w:val="22"/>
                <w:szCs w:val="22"/>
              </w:rPr>
              <w:br w:type="textWrapping"/>
            </w:r>
            <w:r>
              <w:rPr>
                <w:rFonts w:hint="default" w:ascii="Times New Roman Bold" w:hAnsi="Times New Roman Bold" w:cs="Times New Roman Bold"/>
                <w:b/>
                <w:bCs w:val="0"/>
                <w:i w:val="0"/>
                <w:color w:val="auto"/>
                <w:sz w:val="22"/>
                <w:szCs w:val="22"/>
              </w:rPr>
              <w:t>retention decision</w:t>
            </w:r>
          </w:p>
        </w:tc>
      </w:tr>
      <w:tr w14:paraId="43B64532">
        <w:trPr>
          <w:jc w:val="center"/>
          <w:cantSplit/>
        </w:trPr>
        <w:tc>
          <w:tcPr>
            <w:tcW w:w="0" w:type="auto"/>
            <w:shd w:val="clear" w:color="auto" w:fill="auto"/>
            <w:vAlign w:val="center"/>
          </w:tcPr>
          <w:p w14:paraId="6D558874">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Neurodevelopmental</w:t>
            </w:r>
          </w:p>
        </w:tc>
        <w:tc>
          <w:tcPr>
            <w:tcW w:w="0" w:type="auto"/>
            <w:shd w:val="clear" w:color="auto" w:fill="auto"/>
            <w:vAlign w:val="center"/>
          </w:tcPr>
          <w:p w14:paraId="532E9041">
            <w:pPr>
              <w:spacing w:after="0" w:line="240" w:lineRule="auto"/>
              <w:jc w:val="left"/>
              <w:rPr>
                <w:rFonts w:hint="default" w:ascii="Times New Roman Regular" w:hAnsi="Times New Roman Regular" w:cs="Times New Roman Regular"/>
                <w:b w:val="0"/>
                <w:bCs/>
                <w:i w:val="0"/>
                <w:iCs w:val="0"/>
                <w:color w:val="auto"/>
                <w:sz w:val="21"/>
                <w:szCs w:val="21"/>
              </w:rPr>
            </w:pPr>
            <w:r>
              <w:rPr>
                <w:rFonts w:hint="default" w:ascii="Times New Roman Regular" w:hAnsi="Times New Roman Regular" w:cs="Times New Roman Regular"/>
                <w:b w:val="0"/>
                <w:bCs/>
                <w:i w:val="0"/>
                <w:iCs w:val="0"/>
                <w:color w:val="auto"/>
                <w:sz w:val="21"/>
                <w:szCs w:val="21"/>
              </w:rPr>
              <w:t>ASD/ADHD neurodevelopmental review cluster (domain-level overlap set; not a single exposure–outcome pair)</w:t>
            </w:r>
            <w:r>
              <w:rPr>
                <w:rFonts w:hint="default" w:ascii="Times New Roman Regular" w:hAnsi="Times New Roman Regular" w:cs="Times New Roman Regular"/>
                <w:b w:val="0"/>
                <w:bCs/>
                <w:i w:val="0"/>
                <w:iCs w:val="0"/>
                <w:color w:val="auto"/>
                <w:sz w:val="21"/>
                <w:szCs w:val="21"/>
              </w:rPr>
              <w:br w:type="textWrapping"/>
            </w:r>
            <w:r>
              <w:rPr>
                <w:rFonts w:hint="default" w:ascii="Times New Roman Regular" w:hAnsi="Times New Roman Regular" w:cs="Times New Roman Regular"/>
                <w:b w:val="0"/>
                <w:bCs/>
                <w:i w:val="0"/>
                <w:iCs w:val="0"/>
                <w:color w:val="auto"/>
                <w:sz w:val="21"/>
                <w:szCs w:val="21"/>
              </w:rPr>
              <w:t>[Andrade + Amaral + Xu: 3-review cluster]</w:t>
            </w:r>
          </w:p>
        </w:tc>
        <w:tc>
          <w:tcPr>
            <w:tcW w:w="0" w:type="auto"/>
            <w:shd w:val="clear" w:color="auto" w:fill="auto"/>
            <w:vAlign w:val="center"/>
          </w:tcPr>
          <w:p w14:paraId="369035AC">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Andrade C, 2025 — VPA-focused; ASD/ADHD (n = 8)</w:t>
            </w:r>
            <w:r>
              <w:rPr>
                <w:rFonts w:hint="default" w:ascii="Times New Roman Regular" w:hAnsi="Times New Roman Regular" w:cs="Times New Roman Regular"/>
                <w:b w:val="0"/>
                <w:bCs/>
                <w:i w:val="0"/>
                <w:color w:val="auto"/>
                <w:sz w:val="21"/>
                <w:szCs w:val="21"/>
              </w:rPr>
              <w:br w:type="textWrapping"/>
            </w:r>
            <w:r>
              <w:rPr>
                <w:rFonts w:hint="default" w:ascii="Times New Roman Regular" w:hAnsi="Times New Roman Regular" w:cs="Times New Roman Regular"/>
                <w:b w:val="0"/>
                <w:bCs/>
                <w:i w:val="0"/>
                <w:color w:val="auto"/>
                <w:sz w:val="21"/>
                <w:szCs w:val="21"/>
              </w:rPr>
              <w:t>Amaral de Lara IC et al., 2025 — multiple ASMs; ASD (n = 10)</w:t>
            </w:r>
            <w:r>
              <w:rPr>
                <w:rFonts w:hint="default" w:ascii="Times New Roman Regular" w:hAnsi="Times New Roman Regular" w:cs="Times New Roman Regular"/>
                <w:b w:val="0"/>
                <w:bCs/>
                <w:i w:val="0"/>
                <w:color w:val="auto"/>
                <w:sz w:val="21"/>
                <w:szCs w:val="21"/>
              </w:rPr>
              <w:br w:type="textWrapping"/>
            </w:r>
            <w:r>
              <w:rPr>
                <w:rFonts w:hint="default" w:ascii="Times New Roman Regular" w:hAnsi="Times New Roman Regular" w:cs="Times New Roman Regular"/>
                <w:b w:val="0"/>
                <w:bCs/>
                <w:i w:val="0"/>
                <w:color w:val="auto"/>
                <w:sz w:val="21"/>
                <w:szCs w:val="21"/>
              </w:rPr>
              <w:t>Xu S-C et al., 2024 — multiple ASMs; ASD/ADHD (n = 7)</w:t>
            </w:r>
          </w:p>
        </w:tc>
        <w:tc>
          <w:tcPr>
            <w:tcW w:w="0" w:type="auto"/>
            <w:shd w:val="clear" w:color="auto" w:fill="auto"/>
            <w:vAlign w:val="center"/>
          </w:tcPr>
          <w:p w14:paraId="2489048A">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9</w:t>
            </w:r>
          </w:p>
        </w:tc>
        <w:tc>
          <w:tcPr>
            <w:tcW w:w="0" w:type="auto"/>
            <w:shd w:val="clear" w:color="auto" w:fill="auto"/>
            <w:vAlign w:val="center"/>
          </w:tcPr>
          <w:p w14:paraId="199B99BA">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28.1*</w:t>
            </w:r>
          </w:p>
        </w:tc>
        <w:tc>
          <w:tcPr>
            <w:tcW w:w="0" w:type="auto"/>
            <w:shd w:val="clear" w:color="auto" w:fill="auto"/>
            <w:vAlign w:val="center"/>
          </w:tcPr>
          <w:p w14:paraId="16D2B7F5">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Very high (domain-level cluster CCA)</w:t>
            </w:r>
          </w:p>
        </w:tc>
        <w:tc>
          <w:tcPr>
            <w:tcW w:w="0" w:type="auto"/>
            <w:shd w:val="clear" w:color="auto" w:fill="auto"/>
            <w:vAlign w:val="center"/>
          </w:tcPr>
          <w:p w14:paraId="5E5662F3">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Domain-level 3-review CCA only; a single exposure–outcome-specific CCA for the entire 3-review cluster is not defined because review scopes differ. Review-pair CCA values are reported in the rows below. N unique = 16; OC = 25; R = 3. Xu_2024 was retained as the any-ASM anchor; Amaral_2025 as supportive contextual evidence; Andrade_2025 as the distinct VPA-specific anchor.</w:t>
            </w:r>
          </w:p>
        </w:tc>
      </w:tr>
      <w:tr w14:paraId="5F1FE8C2">
        <w:trPr>
          <w:jc w:val="center"/>
          <w:cantSplit/>
        </w:trPr>
        <w:tc>
          <w:tcPr>
            <w:tcW w:w="0" w:type="auto"/>
            <w:shd w:val="clear" w:color="auto" w:fill="auto"/>
            <w:vAlign w:val="center"/>
          </w:tcPr>
          <w:p w14:paraId="5B573FA7">
            <w:pPr>
              <w:rPr>
                <w:rFonts w:hint="default" w:ascii="Times New Roman Regular" w:hAnsi="Times New Roman Regular" w:cs="Times New Roman Regular"/>
                <w:b w:val="0"/>
                <w:bCs/>
              </w:rPr>
            </w:pPr>
            <w:r>
              <w:rPr>
                <w:rFonts w:hint="default" w:ascii="Times New Roman Regular" w:hAnsi="Times New Roman Regular" w:cs="Times New Roman Regular"/>
                <w:b w:val="0"/>
                <w:bCs/>
              </w:rPr>
              <w:t>Neurodevelopmental</w:t>
            </w:r>
          </w:p>
        </w:tc>
        <w:tc>
          <w:tcPr>
            <w:tcW w:w="0" w:type="auto"/>
            <w:shd w:val="clear" w:color="auto" w:fill="auto"/>
            <w:vAlign w:val="center"/>
          </w:tcPr>
          <w:p w14:paraId="123A8B9A">
            <w:pPr>
              <w:spacing w:after="0" w:line="240" w:lineRule="auto"/>
              <w:jc w:val="left"/>
              <w:rPr>
                <w:rFonts w:hint="default" w:ascii="Times New Roman Regular" w:hAnsi="Times New Roman Regular" w:cs="Times New Roman Regular"/>
                <w:b w:val="0"/>
                <w:bCs/>
                <w:i w:val="0"/>
                <w:iCs w:val="0"/>
                <w:color w:val="auto"/>
                <w:sz w:val="21"/>
                <w:szCs w:val="21"/>
              </w:rPr>
            </w:pPr>
            <w:r>
              <w:rPr>
                <w:rFonts w:hint="default" w:ascii="Times New Roman Regular" w:hAnsi="Times New Roman Regular" w:cs="Times New Roman Regular"/>
                <w:b w:val="0"/>
                <w:bCs/>
                <w:i w:val="0"/>
                <w:iCs w:val="0"/>
                <w:color w:val="auto"/>
                <w:sz w:val="21"/>
                <w:szCs w:val="21"/>
              </w:rPr>
              <w:t>Pairwise comparison: Amaral_2025 vs Xu_2024</w:t>
            </w:r>
          </w:p>
        </w:tc>
        <w:tc>
          <w:tcPr>
            <w:tcW w:w="0" w:type="auto"/>
            <w:shd w:val="clear" w:color="auto" w:fill="auto"/>
            <w:vAlign w:val="center"/>
          </w:tcPr>
          <w:p w14:paraId="5FDE00CA">
            <w:pPr>
              <w:rPr>
                <w:rFonts w:hint="default" w:ascii="Times New Roman Regular" w:hAnsi="Times New Roman Regular" w:cs="Times New Roman Regular"/>
                <w:b w:val="0"/>
                <w:bCs/>
              </w:rPr>
            </w:pPr>
            <w:r>
              <w:rPr>
                <w:rFonts w:hint="default" w:ascii="Times New Roman Regular" w:hAnsi="Times New Roman Regular" w:cs="Times New Roman Regular"/>
                <w:b w:val="0"/>
                <w:bCs/>
              </w:rPr>
              <w:t>Amaral de Lara IC et al., 2025; Xu S-C et al., 2024. Shared primary-study reports (5): Bjørk 2022; Christensen 2013; Dreier 2023; Hernández-Díaz 2024; Wiggs 2020</w:t>
            </w:r>
          </w:p>
        </w:tc>
        <w:tc>
          <w:tcPr>
            <w:tcW w:w="0" w:type="auto"/>
            <w:shd w:val="clear" w:color="auto" w:fill="auto"/>
            <w:vAlign w:val="center"/>
          </w:tcPr>
          <w:p w14:paraId="7C25F9A8">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5</w:t>
            </w:r>
          </w:p>
        </w:tc>
        <w:tc>
          <w:tcPr>
            <w:tcW w:w="0" w:type="auto"/>
            <w:shd w:val="clear" w:color="auto" w:fill="auto"/>
            <w:vAlign w:val="center"/>
          </w:tcPr>
          <w:p w14:paraId="377222E3">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41.7*</w:t>
            </w:r>
          </w:p>
        </w:tc>
        <w:tc>
          <w:tcPr>
            <w:tcW w:w="0" w:type="auto"/>
            <w:shd w:val="clear" w:color="auto" w:fill="auto"/>
            <w:vAlign w:val="center"/>
          </w:tcPr>
          <w:p w14:paraId="25D74617">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Very high</w:t>
            </w:r>
          </w:p>
        </w:tc>
        <w:tc>
          <w:tcPr>
            <w:tcW w:w="0" w:type="auto"/>
            <w:shd w:val="clear" w:color="auto" w:fill="auto"/>
            <w:vAlign w:val="center"/>
          </w:tcPr>
          <w:p w14:paraId="1B53ABDC">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 unique = 12; OC = 17. Pairwise CCA for the shared ASD evidence pool between these two reviews.</w:t>
            </w:r>
          </w:p>
        </w:tc>
      </w:tr>
      <w:tr w14:paraId="1F8ADBBE">
        <w:trPr>
          <w:jc w:val="center"/>
          <w:cantSplit/>
        </w:trPr>
        <w:tc>
          <w:tcPr>
            <w:tcW w:w="0" w:type="auto"/>
            <w:shd w:val="clear" w:color="auto" w:fill="auto"/>
            <w:vAlign w:val="center"/>
          </w:tcPr>
          <w:p w14:paraId="581FD9D4">
            <w:pPr>
              <w:rPr>
                <w:rFonts w:hint="default" w:ascii="Times New Roman Regular" w:hAnsi="Times New Roman Regular" w:cs="Times New Roman Regular"/>
                <w:b w:val="0"/>
                <w:bCs/>
              </w:rPr>
            </w:pPr>
            <w:r>
              <w:rPr>
                <w:rFonts w:hint="default" w:ascii="Times New Roman Regular" w:hAnsi="Times New Roman Regular" w:cs="Times New Roman Regular"/>
                <w:b w:val="0"/>
                <w:bCs/>
              </w:rPr>
              <w:t>Neurodevelopmental</w:t>
            </w:r>
          </w:p>
        </w:tc>
        <w:tc>
          <w:tcPr>
            <w:tcW w:w="0" w:type="auto"/>
            <w:shd w:val="clear" w:color="auto" w:fill="auto"/>
            <w:vAlign w:val="center"/>
          </w:tcPr>
          <w:p w14:paraId="21EE49E5">
            <w:pPr>
              <w:spacing w:after="0" w:line="240" w:lineRule="auto"/>
              <w:jc w:val="left"/>
              <w:rPr>
                <w:rFonts w:hint="default" w:ascii="Times New Roman Regular" w:hAnsi="Times New Roman Regular" w:cs="Times New Roman Regular"/>
                <w:b w:val="0"/>
                <w:bCs/>
                <w:i w:val="0"/>
                <w:iCs w:val="0"/>
                <w:color w:val="auto"/>
                <w:sz w:val="21"/>
                <w:szCs w:val="21"/>
              </w:rPr>
            </w:pPr>
            <w:r>
              <w:rPr>
                <w:rFonts w:hint="default" w:ascii="Times New Roman Regular" w:hAnsi="Times New Roman Regular" w:cs="Times New Roman Regular"/>
                <w:b w:val="0"/>
                <w:bCs/>
                <w:i w:val="0"/>
                <w:iCs w:val="0"/>
                <w:color w:val="auto"/>
                <w:sz w:val="21"/>
                <w:szCs w:val="21"/>
              </w:rPr>
              <w:t>Pairwise comparison: Andrade_2025 vs Amaral_2025</w:t>
            </w:r>
          </w:p>
        </w:tc>
        <w:tc>
          <w:tcPr>
            <w:tcW w:w="0" w:type="auto"/>
            <w:shd w:val="clear" w:color="auto" w:fill="auto"/>
            <w:vAlign w:val="center"/>
          </w:tcPr>
          <w:p w14:paraId="15FFF8A8">
            <w:pPr>
              <w:rPr>
                <w:rFonts w:hint="default" w:ascii="Times New Roman Regular" w:hAnsi="Times New Roman Regular" w:cs="Times New Roman Regular"/>
                <w:b w:val="0"/>
                <w:bCs/>
              </w:rPr>
            </w:pPr>
            <w:r>
              <w:rPr>
                <w:rFonts w:hint="default" w:ascii="Times New Roman Regular" w:hAnsi="Times New Roman Regular" w:cs="Times New Roman Regular"/>
                <w:b w:val="0"/>
                <w:bCs/>
              </w:rPr>
              <w:t>Andrade C, 2025; Amaral de Lara IC et al., 2025. Shared primary-study reports (4): Bromley 2013; Dreier 2023; Hernández-Díaz 2024; Janecka 2018</w:t>
            </w:r>
          </w:p>
        </w:tc>
        <w:tc>
          <w:tcPr>
            <w:tcW w:w="0" w:type="auto"/>
            <w:shd w:val="clear" w:color="auto" w:fill="auto"/>
            <w:vAlign w:val="center"/>
          </w:tcPr>
          <w:p w14:paraId="0AC8A718">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4</w:t>
            </w:r>
          </w:p>
        </w:tc>
        <w:tc>
          <w:tcPr>
            <w:tcW w:w="0" w:type="auto"/>
            <w:shd w:val="clear" w:color="auto" w:fill="auto"/>
            <w:vAlign w:val="center"/>
          </w:tcPr>
          <w:p w14:paraId="2E161777">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28.6*</w:t>
            </w:r>
          </w:p>
        </w:tc>
        <w:tc>
          <w:tcPr>
            <w:tcW w:w="0" w:type="auto"/>
            <w:shd w:val="clear" w:color="auto" w:fill="auto"/>
            <w:vAlign w:val="center"/>
          </w:tcPr>
          <w:p w14:paraId="56386F5E">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Very high</w:t>
            </w:r>
          </w:p>
        </w:tc>
        <w:tc>
          <w:tcPr>
            <w:tcW w:w="0" w:type="auto"/>
            <w:shd w:val="clear" w:color="auto" w:fill="auto"/>
            <w:vAlign w:val="center"/>
          </w:tcPr>
          <w:p w14:paraId="32100E0F">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 unique = 14; OC = 18. VPA-focused vs multiple-ASM ASD overlap (related but not identical scope).</w:t>
            </w:r>
          </w:p>
        </w:tc>
      </w:tr>
      <w:tr w14:paraId="6621AF9B">
        <w:trPr>
          <w:jc w:val="center"/>
          <w:cantSplit/>
        </w:trPr>
        <w:tc>
          <w:tcPr>
            <w:tcW w:w="0" w:type="auto"/>
            <w:shd w:val="clear" w:color="auto" w:fill="auto"/>
            <w:vAlign w:val="center"/>
          </w:tcPr>
          <w:p w14:paraId="0ED5A5D4">
            <w:pPr>
              <w:rPr>
                <w:rFonts w:hint="default" w:ascii="Times New Roman Regular" w:hAnsi="Times New Roman Regular" w:cs="Times New Roman Regular"/>
                <w:b w:val="0"/>
                <w:bCs/>
              </w:rPr>
            </w:pPr>
            <w:r>
              <w:rPr>
                <w:rFonts w:hint="default" w:ascii="Times New Roman Regular" w:hAnsi="Times New Roman Regular" w:cs="Times New Roman Regular"/>
                <w:b w:val="0"/>
                <w:bCs/>
              </w:rPr>
              <w:t>Neurodevelopmental</w:t>
            </w:r>
          </w:p>
        </w:tc>
        <w:tc>
          <w:tcPr>
            <w:tcW w:w="0" w:type="auto"/>
            <w:shd w:val="clear" w:color="auto" w:fill="auto"/>
            <w:vAlign w:val="center"/>
          </w:tcPr>
          <w:p w14:paraId="66B06B88">
            <w:pPr>
              <w:spacing w:after="0" w:line="240" w:lineRule="auto"/>
              <w:jc w:val="left"/>
              <w:rPr>
                <w:rFonts w:hint="default" w:ascii="Times New Roman Regular" w:hAnsi="Times New Roman Regular" w:cs="Times New Roman Regular"/>
                <w:b w:val="0"/>
                <w:bCs/>
                <w:i w:val="0"/>
                <w:iCs w:val="0"/>
                <w:color w:val="auto"/>
                <w:sz w:val="21"/>
                <w:szCs w:val="21"/>
              </w:rPr>
            </w:pPr>
            <w:r>
              <w:rPr>
                <w:rFonts w:hint="default" w:ascii="Times New Roman Regular" w:hAnsi="Times New Roman Regular" w:cs="Times New Roman Regular"/>
                <w:b w:val="0"/>
                <w:bCs/>
                <w:i w:val="0"/>
                <w:iCs w:val="0"/>
                <w:color w:val="auto"/>
                <w:sz w:val="21"/>
                <w:szCs w:val="21"/>
              </w:rPr>
              <w:t>Pairwise comparison: Andrade_2025 vs Xu_2024</w:t>
            </w:r>
          </w:p>
        </w:tc>
        <w:tc>
          <w:tcPr>
            <w:tcW w:w="0" w:type="auto"/>
            <w:shd w:val="clear" w:color="auto" w:fill="auto"/>
            <w:vAlign w:val="center"/>
          </w:tcPr>
          <w:p w14:paraId="23EEAC66">
            <w:pPr>
              <w:rPr>
                <w:rFonts w:hint="default" w:ascii="Times New Roman Regular" w:hAnsi="Times New Roman Regular" w:cs="Times New Roman Regular"/>
                <w:b w:val="0"/>
                <w:bCs/>
              </w:rPr>
            </w:pPr>
            <w:r>
              <w:rPr>
                <w:rFonts w:hint="default" w:ascii="Times New Roman Regular" w:hAnsi="Times New Roman Regular" w:cs="Times New Roman Regular"/>
                <w:b w:val="0"/>
                <w:bCs/>
              </w:rPr>
              <w:t>Andrade C, 2025; Xu S-C et al., 2024. Shared primary-study reports (2): Dreier 2023; Hernández-Díaz 2024</w:t>
            </w:r>
          </w:p>
        </w:tc>
        <w:tc>
          <w:tcPr>
            <w:tcW w:w="0" w:type="auto"/>
            <w:shd w:val="clear" w:color="auto" w:fill="auto"/>
            <w:vAlign w:val="center"/>
          </w:tcPr>
          <w:p w14:paraId="23A4CAAA">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2</w:t>
            </w:r>
          </w:p>
        </w:tc>
        <w:tc>
          <w:tcPr>
            <w:tcW w:w="0" w:type="auto"/>
            <w:shd w:val="clear" w:color="auto" w:fill="auto"/>
            <w:vAlign w:val="center"/>
          </w:tcPr>
          <w:p w14:paraId="0C08D347">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15.4*</w:t>
            </w:r>
          </w:p>
        </w:tc>
        <w:tc>
          <w:tcPr>
            <w:tcW w:w="0" w:type="auto"/>
            <w:shd w:val="clear" w:color="auto" w:fill="auto"/>
            <w:vAlign w:val="center"/>
          </w:tcPr>
          <w:p w14:paraId="37AF0AD6">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Very high</w:t>
            </w:r>
          </w:p>
        </w:tc>
        <w:tc>
          <w:tcPr>
            <w:tcW w:w="0" w:type="auto"/>
            <w:shd w:val="clear" w:color="auto" w:fill="auto"/>
            <w:vAlign w:val="center"/>
          </w:tcPr>
          <w:p w14:paraId="71BF7F4E">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 unique = 13; OC = 15.</w:t>
            </w:r>
          </w:p>
        </w:tc>
      </w:tr>
      <w:tr w14:paraId="490200D4">
        <w:trPr>
          <w:jc w:val="center"/>
          <w:cantSplit/>
        </w:trPr>
        <w:tc>
          <w:tcPr>
            <w:tcW w:w="0" w:type="auto"/>
            <w:shd w:val="clear" w:color="auto" w:fill="auto"/>
            <w:vAlign w:val="center"/>
          </w:tcPr>
          <w:p w14:paraId="4F732B08">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Neurodevelopmental</w:t>
            </w:r>
          </w:p>
        </w:tc>
        <w:tc>
          <w:tcPr>
            <w:tcW w:w="0" w:type="auto"/>
            <w:shd w:val="clear" w:color="auto" w:fill="auto"/>
            <w:vAlign w:val="center"/>
          </w:tcPr>
          <w:p w14:paraId="7DF32A5C">
            <w:pPr>
              <w:spacing w:after="0" w:line="240" w:lineRule="auto"/>
              <w:jc w:val="left"/>
              <w:rPr>
                <w:rFonts w:hint="default" w:ascii="Times New Roman Regular" w:hAnsi="Times New Roman Regular" w:cs="Times New Roman Regular"/>
                <w:b w:val="0"/>
                <w:bCs/>
                <w:i w:val="0"/>
                <w:iCs w:val="0"/>
                <w:color w:val="auto"/>
                <w:sz w:val="21"/>
                <w:szCs w:val="21"/>
              </w:rPr>
            </w:pPr>
            <w:r>
              <w:rPr>
                <w:rFonts w:hint="default" w:ascii="Times New Roman Regular" w:hAnsi="Times New Roman Regular" w:cs="Times New Roman Regular"/>
                <w:b w:val="0"/>
                <w:bCs/>
                <w:i w:val="0"/>
                <w:iCs w:val="0"/>
                <w:color w:val="auto"/>
                <w:sz w:val="21"/>
                <w:szCs w:val="21"/>
              </w:rPr>
              <w:t>LTG neurodevelopmental review cluster (overlap set; not a single exposure–outcome pair)</w:t>
            </w:r>
            <w:r>
              <w:rPr>
                <w:rFonts w:hint="default" w:ascii="Times New Roman Regular" w:hAnsi="Times New Roman Regular" w:cs="Times New Roman Regular"/>
                <w:b w:val="0"/>
                <w:bCs/>
                <w:i w:val="0"/>
                <w:iCs w:val="0"/>
                <w:color w:val="auto"/>
                <w:sz w:val="21"/>
                <w:szCs w:val="21"/>
              </w:rPr>
              <w:br w:type="textWrapping"/>
            </w:r>
            <w:r>
              <w:rPr>
                <w:rFonts w:hint="default" w:ascii="Times New Roman Regular" w:hAnsi="Times New Roman Regular" w:cs="Times New Roman Regular"/>
                <w:b w:val="0"/>
                <w:bCs/>
                <w:i w:val="0"/>
                <w:iCs w:val="0"/>
                <w:color w:val="auto"/>
                <w:sz w:val="21"/>
                <w:szCs w:val="21"/>
              </w:rPr>
              <w:t>[Peron_2024 + Veroniki_2017b]</w:t>
            </w:r>
          </w:p>
        </w:tc>
        <w:tc>
          <w:tcPr>
            <w:tcW w:w="0" w:type="auto"/>
            <w:shd w:val="clear" w:color="auto" w:fill="auto"/>
            <w:vAlign w:val="center"/>
          </w:tcPr>
          <w:p w14:paraId="0FAEA7E3">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Peron A et al., 2024 — LTG monotherapy; neurodevelopmental outcomes (n = 18)</w:t>
            </w:r>
            <w:r>
              <w:rPr>
                <w:rFonts w:hint="default" w:ascii="Times New Roman Regular" w:hAnsi="Times New Roman Regular" w:cs="Times New Roman Regular"/>
                <w:b w:val="0"/>
                <w:bCs/>
                <w:i w:val="0"/>
                <w:color w:val="auto"/>
                <w:sz w:val="21"/>
                <w:szCs w:val="21"/>
              </w:rPr>
              <w:br w:type="textWrapping"/>
            </w:r>
            <w:r>
              <w:rPr>
                <w:rFonts w:hint="default" w:ascii="Times New Roman Regular" w:hAnsi="Times New Roman Regular" w:cs="Times New Roman Regular"/>
                <w:b w:val="0"/>
                <w:bCs/>
                <w:i w:val="0"/>
                <w:color w:val="auto"/>
                <w:sz w:val="21"/>
                <w:szCs w:val="21"/>
              </w:rPr>
              <w:t>Veroniki AA et al., 2017b — multiple ASMs NMA; neurodevelopmental outcomes (n = 29)</w:t>
            </w:r>
          </w:p>
        </w:tc>
        <w:tc>
          <w:tcPr>
            <w:tcW w:w="0" w:type="auto"/>
            <w:shd w:val="clear" w:color="auto" w:fill="auto"/>
            <w:vAlign w:val="center"/>
          </w:tcPr>
          <w:p w14:paraId="7B68728A">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w:t>
            </w:r>
          </w:p>
        </w:tc>
        <w:tc>
          <w:tcPr>
            <w:tcW w:w="0" w:type="auto"/>
            <w:shd w:val="clear" w:color="auto" w:fill="auto"/>
            <w:vAlign w:val="center"/>
          </w:tcPr>
          <w:p w14:paraId="6BC46994">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NE†</w:t>
            </w:r>
          </w:p>
        </w:tc>
        <w:tc>
          <w:tcPr>
            <w:tcW w:w="0" w:type="auto"/>
            <w:shd w:val="clear" w:color="auto" w:fill="auto"/>
            <w:vAlign w:val="center"/>
          </w:tcPr>
          <w:p w14:paraId="6C740C8F">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Qualitatively judged as likely high overlap (CCA not estimable)</w:t>
            </w:r>
          </w:p>
        </w:tc>
        <w:tc>
          <w:tcPr>
            <w:tcW w:w="0" w:type="auto"/>
            <w:shd w:val="clear" w:color="auto" w:fill="auto"/>
            <w:vAlign w:val="center"/>
          </w:tcPr>
          <w:p w14:paraId="604A7B53">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Full cross-review primary-study matrix not available for Veroniki_2017b; CCA not computed. Substantial overlap was considered likely based on overlapping search windows and shared LTG cohort sources, but this remains a qualitative judgment. Peron_2024 retained as the preferred LTG-specific pairwise anchor; Veroniki_2017b retained as complementary NMA evidence.</w:t>
            </w:r>
          </w:p>
        </w:tc>
      </w:tr>
      <w:tr w14:paraId="4FE42E48">
        <w:trPr>
          <w:jc w:val="center"/>
          <w:cantSplit/>
        </w:trPr>
        <w:tc>
          <w:tcPr>
            <w:tcW w:w="0" w:type="auto"/>
            <w:shd w:val="clear" w:color="auto" w:fill="auto"/>
            <w:vAlign w:val="center"/>
          </w:tcPr>
          <w:p w14:paraId="270C00AF">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Structural</w:t>
            </w:r>
          </w:p>
        </w:tc>
        <w:tc>
          <w:tcPr>
            <w:tcW w:w="0" w:type="auto"/>
            <w:shd w:val="clear" w:color="auto" w:fill="auto"/>
            <w:vAlign w:val="center"/>
          </w:tcPr>
          <w:p w14:paraId="4547ADFE">
            <w:pPr>
              <w:spacing w:after="0" w:line="240" w:lineRule="auto"/>
              <w:jc w:val="left"/>
              <w:rPr>
                <w:rFonts w:hint="default" w:ascii="Times New Roman Regular" w:hAnsi="Times New Roman Regular" w:cs="Times New Roman Regular"/>
                <w:b w:val="0"/>
                <w:bCs/>
                <w:i w:val="0"/>
                <w:iCs w:val="0"/>
                <w:color w:val="auto"/>
                <w:sz w:val="21"/>
                <w:szCs w:val="21"/>
              </w:rPr>
            </w:pPr>
            <w:r>
              <w:rPr>
                <w:rFonts w:hint="default" w:ascii="Times New Roman Regular" w:hAnsi="Times New Roman Regular" w:cs="Times New Roman Regular"/>
                <w:b w:val="0"/>
                <w:bCs/>
                <w:i w:val="0"/>
                <w:iCs w:val="0"/>
                <w:color w:val="auto"/>
                <w:sz w:val="21"/>
                <w:szCs w:val="21"/>
              </w:rPr>
              <w:t>VPA structural review cluster (domain-level overlap set; not a single exposure–outcome pair)</w:t>
            </w:r>
            <w:r>
              <w:rPr>
                <w:rFonts w:hint="default" w:ascii="Times New Roman Regular" w:hAnsi="Times New Roman Regular" w:cs="Times New Roman Regular"/>
                <w:b w:val="0"/>
                <w:bCs/>
                <w:i w:val="0"/>
                <w:iCs w:val="0"/>
                <w:color w:val="auto"/>
                <w:sz w:val="21"/>
                <w:szCs w:val="21"/>
              </w:rPr>
              <w:br w:type="textWrapping"/>
            </w:r>
            <w:r>
              <w:rPr>
                <w:rFonts w:hint="default" w:ascii="Times New Roman Regular" w:hAnsi="Times New Roman Regular" w:cs="Times New Roman Regular"/>
                <w:b w:val="0"/>
                <w:bCs/>
                <w:i w:val="0"/>
                <w:iCs w:val="0"/>
                <w:color w:val="auto"/>
                <w:sz w:val="21"/>
                <w:szCs w:val="21"/>
              </w:rPr>
              <w:t>[Tanoshima_2015 + Yang_2025 + Veroniki_2017a]</w:t>
            </w:r>
          </w:p>
        </w:tc>
        <w:tc>
          <w:tcPr>
            <w:tcW w:w="0" w:type="auto"/>
            <w:shd w:val="clear" w:color="auto" w:fill="auto"/>
            <w:vAlign w:val="center"/>
          </w:tcPr>
          <w:p w14:paraId="46C305B5">
            <w:pPr>
              <w:rPr>
                <w:rFonts w:hint="default" w:ascii="Times New Roman Regular" w:hAnsi="Times New Roman Regular" w:cs="Times New Roman Regular"/>
                <w:b w:val="0"/>
                <w:bCs/>
              </w:rPr>
            </w:pPr>
            <w:r>
              <w:rPr>
                <w:rFonts w:hint="default" w:ascii="Times New Roman Regular" w:hAnsi="Times New Roman Regular" w:cs="Times New Roman Regular"/>
                <w:b w:val="0"/>
                <w:bCs/>
              </w:rPr>
              <w:t>Tanoshima M et al., 2015 — VPA; cumulative MA (n = 59)</w:t>
            </w:r>
            <w:r>
              <w:rPr>
                <w:rFonts w:hint="default" w:ascii="Times New Roman Regular" w:hAnsi="Times New Roman Regular" w:cs="Times New Roman Regular"/>
                <w:b w:val="0"/>
                <w:bCs/>
              </w:rPr>
              <w:br w:type="textWrapping"/>
            </w:r>
            <w:r>
              <w:rPr>
                <w:rFonts w:hint="default" w:ascii="Times New Roman Regular" w:hAnsi="Times New Roman Regular" w:cs="Times New Roman Regular"/>
                <w:b w:val="0"/>
                <w:bCs/>
              </w:rPr>
              <w:t>Yang X et al., 2025 — VPA; structural anomalies (n = 25)</w:t>
            </w:r>
            <w:r>
              <w:rPr>
                <w:rFonts w:hint="default" w:ascii="Times New Roman Regular" w:hAnsi="Times New Roman Regular" w:cs="Times New Roman Regular"/>
                <w:b w:val="0"/>
                <w:bCs/>
              </w:rPr>
              <w:br w:type="textWrapping"/>
            </w:r>
            <w:r>
              <w:rPr>
                <w:rFonts w:hint="default" w:ascii="Times New Roman Regular" w:hAnsi="Times New Roman Regular" w:cs="Times New Roman Regular"/>
                <w:b w:val="0"/>
                <w:bCs/>
              </w:rPr>
              <w:t>Veroniki AA et al., 2017a — multiple ASMs NMA; structural + prenatal (n = 96)</w:t>
            </w:r>
          </w:p>
        </w:tc>
        <w:tc>
          <w:tcPr>
            <w:tcW w:w="0" w:type="auto"/>
            <w:shd w:val="clear" w:color="auto" w:fill="auto"/>
            <w:vAlign w:val="center"/>
          </w:tcPr>
          <w:p w14:paraId="20756578">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w:t>
            </w:r>
          </w:p>
        </w:tc>
        <w:tc>
          <w:tcPr>
            <w:tcW w:w="0" w:type="auto"/>
            <w:shd w:val="clear" w:color="auto" w:fill="auto"/>
            <w:vAlign w:val="center"/>
          </w:tcPr>
          <w:p w14:paraId="47968CCF">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NE†</w:t>
            </w:r>
          </w:p>
        </w:tc>
        <w:tc>
          <w:tcPr>
            <w:tcW w:w="0" w:type="auto"/>
            <w:shd w:val="clear" w:color="auto" w:fill="auto"/>
            <w:vAlign w:val="center"/>
          </w:tcPr>
          <w:p w14:paraId="52E81F84">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Qualitatively judged as likely very high overlap (CCA not estimable)</w:t>
            </w:r>
          </w:p>
        </w:tc>
        <w:tc>
          <w:tcPr>
            <w:tcW w:w="0" w:type="auto"/>
            <w:shd w:val="clear" w:color="auto" w:fill="auto"/>
            <w:vAlign w:val="center"/>
          </w:tcPr>
          <w:p w14:paraId="04B4437B">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Matrices not available to compute CCA; substantial overlap was considered probable based on shared registry sources and overlapping search coverage. Yang_2025 used as the updated VPA structural anchor; Tanoshima_2015 as foundational reference; Veroniki_2017a as comparative NMA context.</w:t>
            </w:r>
          </w:p>
        </w:tc>
      </w:tr>
      <w:tr w14:paraId="2E0CD8CC">
        <w:trPr>
          <w:jc w:val="center"/>
          <w:cantSplit/>
        </w:trPr>
        <w:tc>
          <w:tcPr>
            <w:tcW w:w="0" w:type="auto"/>
            <w:shd w:val="clear" w:color="auto" w:fill="auto"/>
            <w:vAlign w:val="center"/>
          </w:tcPr>
          <w:p w14:paraId="1E4CC6A9">
            <w:pPr>
              <w:rPr>
                <w:rFonts w:hint="default" w:ascii="Times New Roman Regular" w:hAnsi="Times New Roman Regular" w:cs="Times New Roman Regular"/>
                <w:b w:val="0"/>
                <w:bCs/>
              </w:rPr>
            </w:pPr>
            <w:r>
              <w:rPr>
                <w:rFonts w:hint="default" w:ascii="Times New Roman Regular" w:hAnsi="Times New Roman Regular" w:cs="Times New Roman Regular"/>
                <w:b w:val="0"/>
                <w:bCs/>
              </w:rPr>
              <w:t>Structural</w:t>
            </w:r>
          </w:p>
        </w:tc>
        <w:tc>
          <w:tcPr>
            <w:tcW w:w="0" w:type="auto"/>
            <w:shd w:val="clear" w:color="auto" w:fill="auto"/>
            <w:vAlign w:val="center"/>
          </w:tcPr>
          <w:p w14:paraId="63B3D7C0">
            <w:pPr>
              <w:spacing w:after="0" w:line="240" w:lineRule="auto"/>
              <w:jc w:val="left"/>
              <w:rPr>
                <w:rFonts w:hint="default" w:ascii="Times New Roman Regular" w:hAnsi="Times New Roman Regular" w:cs="Times New Roman Regular"/>
                <w:b w:val="0"/>
                <w:bCs/>
                <w:i w:val="0"/>
                <w:iCs w:val="0"/>
                <w:color w:val="auto"/>
                <w:sz w:val="21"/>
                <w:szCs w:val="21"/>
              </w:rPr>
            </w:pPr>
            <w:r>
              <w:rPr>
                <w:rFonts w:hint="default" w:ascii="Times New Roman Regular" w:hAnsi="Times New Roman Regular" w:cs="Times New Roman Regular"/>
                <w:b w:val="0"/>
                <w:bCs/>
                <w:i w:val="0"/>
                <w:iCs w:val="0"/>
                <w:color w:val="auto"/>
                <w:sz w:val="21"/>
                <w:szCs w:val="21"/>
              </w:rPr>
              <w:t>Pairwise comparison: Tanoshima_2015 vs Yang_2025</w:t>
            </w:r>
          </w:p>
        </w:tc>
        <w:tc>
          <w:tcPr>
            <w:tcW w:w="0" w:type="auto"/>
            <w:shd w:val="clear" w:color="auto" w:fill="auto"/>
            <w:vAlign w:val="center"/>
          </w:tcPr>
          <w:p w14:paraId="63C2AD69">
            <w:pPr>
              <w:rPr>
                <w:rFonts w:hint="default" w:ascii="Times New Roman Regular" w:hAnsi="Times New Roman Regular" w:cs="Times New Roman Regular"/>
                <w:b w:val="0"/>
                <w:bCs/>
              </w:rPr>
            </w:pPr>
            <w:r>
              <w:rPr>
                <w:rFonts w:hint="default" w:ascii="Times New Roman Regular" w:hAnsi="Times New Roman Regular" w:cs="Times New Roman Regular"/>
                <w:b w:val="0"/>
                <w:bCs/>
              </w:rPr>
              <w:t>Tanoshima M et al., 2015; Yang X et al., 2025</w:t>
            </w:r>
          </w:p>
        </w:tc>
        <w:tc>
          <w:tcPr>
            <w:tcW w:w="0" w:type="auto"/>
            <w:shd w:val="clear" w:color="auto" w:fill="auto"/>
            <w:vAlign w:val="center"/>
          </w:tcPr>
          <w:p w14:paraId="41B828FE">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w:t>
            </w:r>
          </w:p>
        </w:tc>
        <w:tc>
          <w:tcPr>
            <w:tcW w:w="0" w:type="auto"/>
            <w:shd w:val="clear" w:color="auto" w:fill="auto"/>
            <w:vAlign w:val="center"/>
          </w:tcPr>
          <w:p w14:paraId="2ED73253">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NE†</w:t>
            </w:r>
          </w:p>
        </w:tc>
        <w:tc>
          <w:tcPr>
            <w:tcW w:w="0" w:type="auto"/>
            <w:shd w:val="clear" w:color="auto" w:fill="auto"/>
            <w:vAlign w:val="center"/>
          </w:tcPr>
          <w:p w14:paraId="2609374E">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Qualitative overlap judgment only (CCA not estimable)</w:t>
            </w:r>
          </w:p>
        </w:tc>
        <w:tc>
          <w:tcPr>
            <w:tcW w:w="0" w:type="auto"/>
            <w:shd w:val="clear" w:color="auto" w:fill="auto"/>
            <w:vAlign w:val="center"/>
          </w:tcPr>
          <w:p w14:paraId="60A1FF52">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Stricter inclusion in Yang_2025 (n = 25) vs Tanoshima_2015 (n = 59); overlap expected but not quantified.</w:t>
            </w:r>
          </w:p>
        </w:tc>
      </w:tr>
      <w:tr w14:paraId="32600FBE">
        <w:trPr>
          <w:jc w:val="center"/>
          <w:cantSplit/>
        </w:trPr>
        <w:tc>
          <w:tcPr>
            <w:tcW w:w="0" w:type="auto"/>
            <w:shd w:val="clear" w:color="auto" w:fill="auto"/>
            <w:vAlign w:val="center"/>
          </w:tcPr>
          <w:p w14:paraId="47EA895F">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Structural</w:t>
            </w:r>
          </w:p>
        </w:tc>
        <w:tc>
          <w:tcPr>
            <w:tcW w:w="0" w:type="auto"/>
            <w:shd w:val="clear" w:color="auto" w:fill="auto"/>
            <w:vAlign w:val="center"/>
          </w:tcPr>
          <w:p w14:paraId="4E558EB5">
            <w:pPr>
              <w:spacing w:after="0" w:line="240" w:lineRule="auto"/>
              <w:jc w:val="left"/>
              <w:rPr>
                <w:rFonts w:hint="default" w:ascii="Times New Roman Regular" w:hAnsi="Times New Roman Regular" w:cs="Times New Roman Regular"/>
                <w:b w:val="0"/>
                <w:bCs/>
                <w:i w:val="0"/>
                <w:iCs w:val="0"/>
                <w:color w:val="auto"/>
                <w:sz w:val="21"/>
                <w:szCs w:val="21"/>
              </w:rPr>
            </w:pPr>
            <w:r>
              <w:rPr>
                <w:rFonts w:hint="default" w:ascii="Times New Roman Regular" w:hAnsi="Times New Roman Regular" w:cs="Times New Roman Regular"/>
                <w:b w:val="0"/>
                <w:bCs/>
                <w:i w:val="0"/>
                <w:iCs w:val="0"/>
                <w:color w:val="auto"/>
                <w:sz w:val="21"/>
                <w:szCs w:val="21"/>
              </w:rPr>
              <w:t>LTG structural and pregnancy outcome review cluster (domain-level overlap set; not a single exposure–outcome pair)</w:t>
            </w:r>
            <w:r>
              <w:rPr>
                <w:rFonts w:hint="default" w:ascii="Times New Roman Regular" w:hAnsi="Times New Roman Regular" w:cs="Times New Roman Regular"/>
                <w:b w:val="0"/>
                <w:bCs/>
                <w:i w:val="0"/>
                <w:iCs w:val="0"/>
                <w:color w:val="auto"/>
                <w:sz w:val="21"/>
                <w:szCs w:val="21"/>
              </w:rPr>
              <w:br w:type="textWrapping"/>
            </w:r>
            <w:r>
              <w:rPr>
                <w:rFonts w:hint="default" w:ascii="Times New Roman Regular" w:hAnsi="Times New Roman Regular" w:cs="Times New Roman Regular"/>
                <w:b w:val="0"/>
                <w:bCs/>
                <w:i w:val="0"/>
                <w:iCs w:val="0"/>
                <w:color w:val="auto"/>
                <w:sz w:val="21"/>
                <w:szCs w:val="21"/>
              </w:rPr>
              <w:t>[Pariente_2017 + Wan_2024 + Veroniki_2017a]</w:t>
            </w:r>
          </w:p>
        </w:tc>
        <w:tc>
          <w:tcPr>
            <w:tcW w:w="0" w:type="auto"/>
            <w:shd w:val="clear" w:color="auto" w:fill="auto"/>
            <w:vAlign w:val="center"/>
          </w:tcPr>
          <w:p w14:paraId="06CE2700">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Pariente G et al., 2017 — LTG monotherapy; pregnancy outcomes (n = 21)</w:t>
            </w:r>
            <w:r>
              <w:rPr>
                <w:rFonts w:hint="default" w:ascii="Times New Roman Regular" w:hAnsi="Times New Roman Regular" w:cs="Times New Roman Regular"/>
                <w:b w:val="0"/>
                <w:bCs/>
                <w:i w:val="0"/>
                <w:color w:val="auto"/>
                <w:sz w:val="21"/>
                <w:szCs w:val="21"/>
              </w:rPr>
              <w:br w:type="textWrapping"/>
            </w:r>
            <w:r>
              <w:rPr>
                <w:rFonts w:hint="default" w:ascii="Times New Roman Regular" w:hAnsi="Times New Roman Regular" w:cs="Times New Roman Regular"/>
                <w:b w:val="0"/>
                <w:bCs/>
                <w:i w:val="0"/>
                <w:color w:val="auto"/>
                <w:sz w:val="21"/>
                <w:szCs w:val="21"/>
              </w:rPr>
              <w:t>Wan X et al., 2024 — LTG; pregnancy outcomes and seizure control (n = 19)</w:t>
            </w:r>
            <w:r>
              <w:rPr>
                <w:rFonts w:hint="default" w:ascii="Times New Roman Regular" w:hAnsi="Times New Roman Regular" w:cs="Times New Roman Regular"/>
                <w:b w:val="0"/>
                <w:bCs/>
                <w:i w:val="0"/>
                <w:color w:val="auto"/>
                <w:sz w:val="21"/>
                <w:szCs w:val="21"/>
              </w:rPr>
              <w:br w:type="textWrapping"/>
            </w:r>
            <w:r>
              <w:rPr>
                <w:rFonts w:hint="default" w:ascii="Times New Roman Regular" w:hAnsi="Times New Roman Regular" w:cs="Times New Roman Regular"/>
                <w:b w:val="0"/>
                <w:bCs/>
                <w:i w:val="0"/>
                <w:color w:val="auto"/>
                <w:sz w:val="21"/>
                <w:szCs w:val="21"/>
              </w:rPr>
              <w:t>Veroniki AA et al., 2017a — multiple ASMs NMA (n = 96)</w:t>
            </w:r>
          </w:p>
        </w:tc>
        <w:tc>
          <w:tcPr>
            <w:tcW w:w="0" w:type="auto"/>
            <w:shd w:val="clear" w:color="auto" w:fill="auto"/>
            <w:vAlign w:val="center"/>
          </w:tcPr>
          <w:p w14:paraId="4A098EB4">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w:t>
            </w:r>
          </w:p>
        </w:tc>
        <w:tc>
          <w:tcPr>
            <w:tcW w:w="0" w:type="auto"/>
            <w:shd w:val="clear" w:color="auto" w:fill="auto"/>
            <w:vAlign w:val="center"/>
          </w:tcPr>
          <w:p w14:paraId="4AE54349">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NE†</w:t>
            </w:r>
          </w:p>
        </w:tc>
        <w:tc>
          <w:tcPr>
            <w:tcW w:w="0" w:type="auto"/>
            <w:shd w:val="clear" w:color="auto" w:fill="auto"/>
            <w:vAlign w:val="center"/>
          </w:tcPr>
          <w:p w14:paraId="7E7A05ED">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Qualitatively judged as likely very high overlap (CCA not estimable)</w:t>
            </w:r>
          </w:p>
        </w:tc>
        <w:tc>
          <w:tcPr>
            <w:tcW w:w="0" w:type="auto"/>
            <w:shd w:val="clear" w:color="auto" w:fill="auto"/>
            <w:vAlign w:val="center"/>
          </w:tcPr>
          <w:p w14:paraId="505E70B4">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Domain-level CCA not estimable because a full cross-review primary-study matrix including Veroniki_2017a was unavailable. Outcome-domain-restricted pairwise CCA for Pariente_2017 vs Wan_2024 is reported in the row below.</w:t>
            </w:r>
          </w:p>
        </w:tc>
      </w:tr>
      <w:tr w14:paraId="036C871D">
        <w:trPr>
          <w:jc w:val="center"/>
          <w:cantSplit/>
        </w:trPr>
        <w:tc>
          <w:tcPr>
            <w:tcW w:w="0" w:type="auto"/>
            <w:shd w:val="clear" w:color="auto" w:fill="auto"/>
            <w:vAlign w:val="center"/>
          </w:tcPr>
          <w:p w14:paraId="6CD44939">
            <w:pPr>
              <w:rPr>
                <w:rFonts w:hint="default" w:ascii="Times New Roman Regular" w:hAnsi="Times New Roman Regular" w:cs="Times New Roman Regular"/>
                <w:b w:val="0"/>
                <w:bCs/>
              </w:rPr>
            </w:pPr>
            <w:r>
              <w:rPr>
                <w:rFonts w:hint="default" w:ascii="Times New Roman Regular" w:hAnsi="Times New Roman Regular" w:cs="Times New Roman Regular"/>
                <w:b w:val="0"/>
                <w:bCs/>
              </w:rPr>
              <w:t>Structural</w:t>
            </w:r>
          </w:p>
        </w:tc>
        <w:tc>
          <w:tcPr>
            <w:tcW w:w="0" w:type="auto"/>
            <w:shd w:val="clear" w:color="auto" w:fill="auto"/>
            <w:vAlign w:val="center"/>
          </w:tcPr>
          <w:p w14:paraId="5E465635">
            <w:pPr>
              <w:spacing w:after="0" w:line="240" w:lineRule="auto"/>
              <w:jc w:val="left"/>
              <w:rPr>
                <w:rFonts w:hint="default" w:ascii="Times New Roman Regular" w:hAnsi="Times New Roman Regular" w:cs="Times New Roman Regular"/>
                <w:b w:val="0"/>
                <w:bCs/>
                <w:i w:val="0"/>
                <w:iCs w:val="0"/>
                <w:color w:val="auto"/>
                <w:sz w:val="21"/>
                <w:szCs w:val="21"/>
              </w:rPr>
            </w:pPr>
            <w:r>
              <w:rPr>
                <w:rFonts w:hint="default" w:ascii="Times New Roman Regular" w:hAnsi="Times New Roman Regular" w:cs="Times New Roman Regular"/>
                <w:b w:val="0"/>
                <w:bCs/>
                <w:i w:val="0"/>
                <w:iCs w:val="0"/>
                <w:color w:val="auto"/>
                <w:sz w:val="21"/>
                <w:szCs w:val="21"/>
              </w:rPr>
              <w:t>Outcome-domain-restricted pairwise comparison: Pariente_2017 vs Wan_2024 structural/pregnancy-outcome reports</w:t>
            </w:r>
          </w:p>
        </w:tc>
        <w:tc>
          <w:tcPr>
            <w:tcW w:w="0" w:type="auto"/>
            <w:shd w:val="clear" w:color="auto" w:fill="auto"/>
            <w:vAlign w:val="center"/>
          </w:tcPr>
          <w:p w14:paraId="5BCEE29F">
            <w:pPr>
              <w:rPr>
                <w:rFonts w:hint="default" w:ascii="Times New Roman Regular" w:hAnsi="Times New Roman Regular" w:cs="Times New Roman Regular"/>
                <w:b w:val="0"/>
                <w:bCs/>
              </w:rPr>
            </w:pPr>
            <w:r>
              <w:rPr>
                <w:rFonts w:hint="default" w:ascii="Times New Roman Regular" w:hAnsi="Times New Roman Regular" w:cs="Times New Roman Regular"/>
                <w:b w:val="0"/>
                <w:bCs/>
              </w:rPr>
              <w:t>Pariente G et al., 2017; Wan X et al., 2024. Shared primary-study reports (7): Meador 2006; Mawer 2010; Cunnington 2011; Hernández-Díaz 2012; Veiby 2014; Campbell 2014; Arkilo 2015.</w:t>
            </w:r>
          </w:p>
        </w:tc>
        <w:tc>
          <w:tcPr>
            <w:tcW w:w="0" w:type="auto"/>
            <w:shd w:val="clear" w:color="auto" w:fill="auto"/>
            <w:vAlign w:val="center"/>
          </w:tcPr>
          <w:p w14:paraId="5382C0F8">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7</w:t>
            </w:r>
          </w:p>
        </w:tc>
        <w:tc>
          <w:tcPr>
            <w:tcW w:w="0" w:type="auto"/>
            <w:shd w:val="clear" w:color="auto" w:fill="auto"/>
            <w:vAlign w:val="center"/>
          </w:tcPr>
          <w:p w14:paraId="50B86ACA">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24.1*</w:t>
            </w:r>
          </w:p>
        </w:tc>
        <w:tc>
          <w:tcPr>
            <w:tcW w:w="0" w:type="auto"/>
            <w:shd w:val="clear" w:color="auto" w:fill="auto"/>
            <w:vAlign w:val="center"/>
          </w:tcPr>
          <w:p w14:paraId="4C6C575B">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Very high</w:t>
            </w:r>
          </w:p>
        </w:tc>
        <w:tc>
          <w:tcPr>
            <w:tcW w:w="0" w:type="auto"/>
            <w:shd w:val="clear" w:color="auto" w:fill="auto"/>
            <w:vAlign w:val="center"/>
          </w:tcPr>
          <w:p w14:paraId="7C1EA21F">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Outcome-domain-restricted report-level CCA. Wan 2024 was restricted to the 15 reports described by the source review as contributing major congenital malformation data; seizure-control-only reports were excluded from this structural/pregnancy-outcome overlap set. Seven shared reports were verified through reference-level matching. N unique = 29; OC = 36; R = 2. Wan 2024 listed Veiby 2014, Arkilo 2015, and Campbell 2014 using inconsistent author-name or publication-year labels. The Vajda 2014 reports included in the two reviews were distinct publications and were not counted as shared. When all 19 reports included in Wan 2024 were considered, including seizure-control reports, the whole-review CCA was 21.2% (7 shared among 33 unique reports); this alternative calculation did not change the very-high-overlap classification. This should be cited as an outcome-domain-restricted CCA based on the source-reported 15-report MCM subset and verified matching of the seven shared reports, not as a fully verified whole-review CCA.</w:t>
            </w:r>
          </w:p>
        </w:tc>
      </w:tr>
      <w:tr w14:paraId="4E7342C9">
        <w:trPr>
          <w:jc w:val="center"/>
          <w:cantSplit/>
        </w:trPr>
        <w:tc>
          <w:tcPr>
            <w:tcW w:w="0" w:type="auto"/>
            <w:shd w:val="clear" w:color="auto" w:fill="auto"/>
            <w:vAlign w:val="center"/>
          </w:tcPr>
          <w:p w14:paraId="28891906">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Structural</w:t>
            </w:r>
          </w:p>
        </w:tc>
        <w:tc>
          <w:tcPr>
            <w:tcW w:w="0" w:type="auto"/>
            <w:shd w:val="clear" w:color="auto" w:fill="auto"/>
            <w:vAlign w:val="center"/>
          </w:tcPr>
          <w:p w14:paraId="51CB9EBB">
            <w:pPr>
              <w:spacing w:after="0" w:line="240" w:lineRule="auto"/>
              <w:jc w:val="left"/>
              <w:rPr>
                <w:rFonts w:hint="default" w:ascii="Times New Roman Regular" w:hAnsi="Times New Roman Regular" w:cs="Times New Roman Regular"/>
                <w:b w:val="0"/>
                <w:bCs/>
                <w:i w:val="0"/>
                <w:iCs w:val="0"/>
                <w:color w:val="auto"/>
                <w:sz w:val="21"/>
                <w:szCs w:val="21"/>
              </w:rPr>
            </w:pPr>
            <w:r>
              <w:rPr>
                <w:rFonts w:hint="default" w:ascii="Times New Roman Regular" w:hAnsi="Times New Roman Regular" w:cs="Times New Roman Regular"/>
                <w:b w:val="0"/>
                <w:bCs/>
                <w:i w:val="0"/>
                <w:iCs w:val="0"/>
                <w:color w:val="auto"/>
                <w:sz w:val="21"/>
                <w:szCs w:val="21"/>
              </w:rPr>
              <w:t>LTG → Orofacial clefts [Zhao_2025; partial overlap with broader LTG structural reviews]</w:t>
            </w:r>
          </w:p>
        </w:tc>
        <w:tc>
          <w:tcPr>
            <w:tcW w:w="0" w:type="auto"/>
            <w:shd w:val="clear" w:color="auto" w:fill="auto"/>
            <w:vAlign w:val="center"/>
          </w:tcPr>
          <w:p w14:paraId="5C281BEF">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Zhao Z-L et al., 2025 — LTG; orofacial clefts (n = 8)</w:t>
            </w:r>
            <w:r>
              <w:rPr>
                <w:rFonts w:hint="default" w:ascii="Times New Roman Regular" w:hAnsi="Times New Roman Regular" w:cs="Times New Roman Regular"/>
                <w:b w:val="0"/>
                <w:bCs/>
                <w:i w:val="0"/>
                <w:color w:val="auto"/>
                <w:sz w:val="21"/>
                <w:szCs w:val="21"/>
              </w:rPr>
              <w:br w:type="textWrapping"/>
            </w:r>
            <w:r>
              <w:rPr>
                <w:rFonts w:hint="default" w:ascii="Times New Roman Regular" w:hAnsi="Times New Roman Regular" w:cs="Times New Roman Regular"/>
                <w:b w:val="0"/>
                <w:bCs/>
                <w:i w:val="0"/>
                <w:color w:val="auto"/>
                <w:sz w:val="21"/>
                <w:szCs w:val="21"/>
              </w:rPr>
              <w:t>Pariente G et al., 2017 — includes OFC among structural endpoints (n = 21)</w:t>
            </w:r>
          </w:p>
        </w:tc>
        <w:tc>
          <w:tcPr>
            <w:tcW w:w="0" w:type="auto"/>
            <w:shd w:val="clear" w:color="auto" w:fill="auto"/>
            <w:vAlign w:val="center"/>
          </w:tcPr>
          <w:p w14:paraId="01FCCDFB">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w:t>
            </w:r>
          </w:p>
        </w:tc>
        <w:tc>
          <w:tcPr>
            <w:tcW w:w="0" w:type="auto"/>
            <w:shd w:val="clear" w:color="auto" w:fill="auto"/>
            <w:vAlign w:val="center"/>
          </w:tcPr>
          <w:p w14:paraId="2DDDDCC9">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NE†</w:t>
            </w:r>
          </w:p>
        </w:tc>
        <w:tc>
          <w:tcPr>
            <w:tcW w:w="0" w:type="auto"/>
            <w:shd w:val="clear" w:color="auto" w:fill="auto"/>
            <w:vAlign w:val="center"/>
          </w:tcPr>
          <w:p w14:paraId="4C08EDF8">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Qualitatively judged as likely moderate overlap (CCA not estimable)</w:t>
            </w:r>
          </w:p>
        </w:tc>
        <w:tc>
          <w:tcPr>
            <w:tcW w:w="0" w:type="auto"/>
            <w:shd w:val="clear" w:color="auto" w:fill="auto"/>
            <w:vAlign w:val="center"/>
          </w:tcPr>
          <w:p w14:paraId="6DBF4B24">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Zhao_2025 retained as the dedicated OFC anchor; overlap with Pariente_2017 is partial and not fully mapped.</w:t>
            </w:r>
          </w:p>
        </w:tc>
      </w:tr>
      <w:tr w14:paraId="199A8A61">
        <w:trPr>
          <w:jc w:val="center"/>
          <w:cantSplit/>
        </w:trPr>
        <w:tc>
          <w:tcPr>
            <w:tcW w:w="0" w:type="auto"/>
            <w:shd w:val="clear" w:color="auto" w:fill="auto"/>
            <w:vAlign w:val="center"/>
          </w:tcPr>
          <w:p w14:paraId="003D31FF">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Structural</w:t>
            </w:r>
          </w:p>
        </w:tc>
        <w:tc>
          <w:tcPr>
            <w:tcW w:w="0" w:type="auto"/>
            <w:shd w:val="clear" w:color="auto" w:fill="auto"/>
            <w:vAlign w:val="center"/>
          </w:tcPr>
          <w:p w14:paraId="7FFC7B39">
            <w:pPr>
              <w:spacing w:after="0" w:line="240" w:lineRule="auto"/>
              <w:jc w:val="left"/>
              <w:rPr>
                <w:rFonts w:hint="default" w:ascii="Times New Roman Regular" w:hAnsi="Times New Roman Regular" w:cs="Times New Roman Regular"/>
                <w:b w:val="0"/>
                <w:bCs/>
                <w:i w:val="0"/>
                <w:iCs w:val="0"/>
                <w:color w:val="auto"/>
                <w:sz w:val="21"/>
                <w:szCs w:val="21"/>
              </w:rPr>
            </w:pPr>
            <w:r>
              <w:rPr>
                <w:rFonts w:hint="default" w:ascii="Times New Roman Regular" w:hAnsi="Times New Roman Regular" w:cs="Times New Roman Regular"/>
                <w:b w:val="0"/>
                <w:bCs/>
                <w:i w:val="0"/>
                <w:iCs w:val="0"/>
                <w:color w:val="auto"/>
                <w:sz w:val="21"/>
                <w:szCs w:val="21"/>
              </w:rPr>
              <w:t>OXC →</w:t>
            </w:r>
            <w:r>
              <w:rPr>
                <w:rFonts w:hint="eastAsia" w:ascii="Times New Roman Regular" w:hAnsi="Times New Roman Regular" w:eastAsia="宋体" w:cs="Times New Roman Regular"/>
                <w:b w:val="0"/>
                <w:bCs/>
                <w:i w:val="0"/>
                <w:iCs w:val="0"/>
                <w:color w:val="auto"/>
                <w:sz w:val="21"/>
                <w:szCs w:val="21"/>
                <w:lang w:val="en-US" w:eastAsia="zh-CN"/>
              </w:rPr>
              <w:t xml:space="preserve"> </w:t>
            </w:r>
            <w:r>
              <w:rPr>
                <w:rFonts w:hint="default" w:ascii="Times New Roman Regular" w:hAnsi="Times New Roman Regular" w:cs="Times New Roman Regular"/>
                <w:b w:val="0"/>
                <w:bCs/>
                <w:i w:val="0"/>
                <w:iCs w:val="0"/>
                <w:color w:val="auto"/>
                <w:sz w:val="21"/>
                <w:szCs w:val="21"/>
              </w:rPr>
              <w:t>Congenital anomalies and fetal/neonatal outcomes [Athar_2022 + Veroniki_2017a OXC subset]</w:t>
            </w:r>
          </w:p>
        </w:tc>
        <w:tc>
          <w:tcPr>
            <w:tcW w:w="0" w:type="auto"/>
            <w:shd w:val="clear" w:color="auto" w:fill="auto"/>
            <w:vAlign w:val="center"/>
          </w:tcPr>
          <w:p w14:paraId="7579FA13">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Athar F et al., 2022 — OXC; congenital anomalies and fetal/neonatal outcomes (n = 19)</w:t>
            </w:r>
            <w:r>
              <w:rPr>
                <w:rFonts w:hint="default" w:ascii="Times New Roman Regular" w:hAnsi="Times New Roman Regular" w:cs="Times New Roman Regular"/>
                <w:b w:val="0"/>
                <w:bCs/>
                <w:i w:val="0"/>
                <w:color w:val="auto"/>
                <w:sz w:val="21"/>
                <w:szCs w:val="21"/>
              </w:rPr>
              <w:br w:type="textWrapping"/>
            </w:r>
            <w:r>
              <w:rPr>
                <w:rFonts w:hint="default" w:ascii="Times New Roman Regular" w:hAnsi="Times New Roman Regular" w:cs="Times New Roman Regular"/>
                <w:b w:val="0"/>
                <w:bCs/>
                <w:i w:val="0"/>
                <w:color w:val="auto"/>
                <w:sz w:val="21"/>
                <w:szCs w:val="21"/>
              </w:rPr>
              <w:t>Veroniki AA et al., 2017a — NMA including OXC (n = 96)</w:t>
            </w:r>
          </w:p>
        </w:tc>
        <w:tc>
          <w:tcPr>
            <w:tcW w:w="0" w:type="auto"/>
            <w:shd w:val="clear" w:color="auto" w:fill="auto"/>
            <w:vAlign w:val="center"/>
          </w:tcPr>
          <w:p w14:paraId="41DB889D">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NE†</w:t>
            </w:r>
          </w:p>
        </w:tc>
        <w:tc>
          <w:tcPr>
            <w:tcW w:w="0" w:type="auto"/>
            <w:shd w:val="clear" w:color="auto" w:fill="auto"/>
            <w:vAlign w:val="center"/>
          </w:tcPr>
          <w:p w14:paraId="6F8665BC">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NE†</w:t>
            </w:r>
          </w:p>
        </w:tc>
        <w:tc>
          <w:tcPr>
            <w:tcW w:w="0" w:type="auto"/>
            <w:shd w:val="clear" w:color="auto" w:fill="auto"/>
            <w:vAlign w:val="center"/>
          </w:tcPr>
          <w:p w14:paraId="2D2EDC3D">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Qualitatively judged as likely moderate overlap (CCA not estimable)</w:t>
            </w:r>
          </w:p>
        </w:tc>
        <w:tc>
          <w:tcPr>
            <w:tcW w:w="0" w:type="auto"/>
            <w:shd w:val="clear" w:color="auto" w:fill="auto"/>
            <w:vAlign w:val="center"/>
          </w:tcPr>
          <w:p w14:paraId="4D962C50">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Athar_2022 retained as the OXC-specific anchor; overlap with pre-2016 NMA OXC arms was considered probable but not quantified.</w:t>
            </w:r>
          </w:p>
        </w:tc>
      </w:tr>
      <w:tr w14:paraId="26C8DBED">
        <w:trPr>
          <w:trHeight w:val="803" w:hRule="atLeast"/>
          <w:jc w:val="center"/>
          <w:cantSplit/>
        </w:trPr>
        <w:tc>
          <w:tcPr>
            <w:tcW w:w="0" w:type="auto"/>
            <w:shd w:val="clear" w:color="auto" w:fill="auto"/>
            <w:vAlign w:val="center"/>
          </w:tcPr>
          <w:p w14:paraId="28CDC478">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Structural</w:t>
            </w:r>
          </w:p>
        </w:tc>
        <w:tc>
          <w:tcPr>
            <w:tcW w:w="0" w:type="auto"/>
            <w:shd w:val="clear" w:color="auto" w:fill="auto"/>
            <w:vAlign w:val="center"/>
          </w:tcPr>
          <w:p w14:paraId="48700BDA">
            <w:pPr>
              <w:spacing w:after="0" w:line="240" w:lineRule="auto"/>
              <w:jc w:val="left"/>
              <w:rPr>
                <w:rFonts w:hint="default" w:ascii="Times New Roman Regular" w:hAnsi="Times New Roman Regular" w:cs="Times New Roman Regular"/>
                <w:b w:val="0"/>
                <w:bCs/>
                <w:i w:val="0"/>
                <w:iCs w:val="0"/>
                <w:color w:val="auto"/>
                <w:sz w:val="21"/>
                <w:szCs w:val="21"/>
              </w:rPr>
            </w:pPr>
            <w:r>
              <w:rPr>
                <w:rFonts w:hint="default" w:ascii="Times New Roman Regular" w:hAnsi="Times New Roman Regular" w:cs="Times New Roman Regular"/>
                <w:b w:val="0"/>
                <w:bCs/>
                <w:i w:val="0"/>
                <w:iCs w:val="0"/>
                <w:color w:val="auto"/>
                <w:sz w:val="21"/>
                <w:szCs w:val="21"/>
              </w:rPr>
              <w:t>TPM → Oral clefts [Alsaad_2015: single eligible review]</w:t>
            </w:r>
          </w:p>
        </w:tc>
        <w:tc>
          <w:tcPr>
            <w:tcW w:w="0" w:type="auto"/>
            <w:shd w:val="clear" w:color="auto" w:fill="auto"/>
            <w:vAlign w:val="center"/>
          </w:tcPr>
          <w:p w14:paraId="2B743372">
            <w:pPr>
              <w:rPr>
                <w:rFonts w:hint="default" w:ascii="Times New Roman Regular" w:hAnsi="Times New Roman Regular" w:cs="Times New Roman Regular"/>
                <w:b w:val="0"/>
                <w:bCs/>
              </w:rPr>
            </w:pPr>
            <w:r>
              <w:rPr>
                <w:rFonts w:hint="default" w:ascii="Times New Roman Regular" w:hAnsi="Times New Roman Regular" w:cs="Times New Roman Regular"/>
                <w:b w:val="0"/>
                <w:bCs/>
              </w:rPr>
              <w:t>Alsaad AM et al., 2015 (n = 6)</w:t>
            </w:r>
          </w:p>
        </w:tc>
        <w:tc>
          <w:tcPr>
            <w:tcW w:w="0" w:type="auto"/>
            <w:shd w:val="clear" w:color="auto" w:fill="auto"/>
            <w:vAlign w:val="center"/>
          </w:tcPr>
          <w:p w14:paraId="2D05FFF7">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w:t>
            </w:r>
          </w:p>
        </w:tc>
        <w:tc>
          <w:tcPr>
            <w:tcW w:w="0" w:type="auto"/>
            <w:shd w:val="clear" w:color="auto" w:fill="auto"/>
            <w:vAlign w:val="center"/>
          </w:tcPr>
          <w:p w14:paraId="032BAF7A">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w:t>
            </w:r>
          </w:p>
        </w:tc>
        <w:tc>
          <w:tcPr>
            <w:tcW w:w="0" w:type="auto"/>
            <w:shd w:val="clear" w:color="auto" w:fill="auto"/>
            <w:vAlign w:val="center"/>
          </w:tcPr>
          <w:p w14:paraId="20129927">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applicable</w:t>
            </w:r>
          </w:p>
        </w:tc>
        <w:tc>
          <w:tcPr>
            <w:tcW w:w="0" w:type="auto"/>
            <w:shd w:val="clear" w:color="auto" w:fill="auto"/>
            <w:vAlign w:val="center"/>
          </w:tcPr>
          <w:p w14:paraId="178CB840">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Single eligible review; no cross-review overlap to quantify. TPM oral-cleft anchor retained by default.</w:t>
            </w:r>
          </w:p>
        </w:tc>
      </w:tr>
      <w:tr w14:paraId="6A30AB2F">
        <w:trPr>
          <w:jc w:val="center"/>
          <w:cantSplit/>
        </w:trPr>
        <w:tc>
          <w:tcPr>
            <w:tcW w:w="0" w:type="auto"/>
            <w:shd w:val="clear" w:color="auto" w:fill="auto"/>
            <w:vAlign w:val="center"/>
          </w:tcPr>
          <w:p w14:paraId="5BB4CFB2">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Structural</w:t>
            </w:r>
          </w:p>
        </w:tc>
        <w:tc>
          <w:tcPr>
            <w:tcW w:w="0" w:type="auto"/>
            <w:shd w:val="clear" w:color="auto" w:fill="auto"/>
            <w:vAlign w:val="center"/>
          </w:tcPr>
          <w:p w14:paraId="5583A54B">
            <w:pPr>
              <w:rPr>
                <w:rFonts w:hint="default" w:ascii="Times New Roman Regular" w:hAnsi="Times New Roman Regular" w:cs="Times New Roman Regular"/>
                <w:b w:val="0"/>
                <w:bCs/>
                <w:i w:val="0"/>
                <w:iCs w:val="0"/>
              </w:rPr>
            </w:pPr>
            <w:r>
              <w:rPr>
                <w:rFonts w:hint="default" w:ascii="Times New Roman Regular" w:hAnsi="Times New Roman Regular" w:cs="Times New Roman Regular"/>
                <w:b w:val="0"/>
                <w:bCs/>
                <w:i w:val="0"/>
                <w:iCs w:val="0"/>
              </w:rPr>
              <w:t>PGB → Major congenital anomalies [Atzenhoffer_2025: single eligible review]</w:t>
            </w:r>
          </w:p>
        </w:tc>
        <w:tc>
          <w:tcPr>
            <w:tcW w:w="0" w:type="auto"/>
            <w:shd w:val="clear" w:color="auto" w:fill="auto"/>
            <w:vAlign w:val="center"/>
          </w:tcPr>
          <w:p w14:paraId="5176A27C">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Atzenhoffer M et al., 2025 (n = 7)</w:t>
            </w:r>
          </w:p>
        </w:tc>
        <w:tc>
          <w:tcPr>
            <w:tcW w:w="0" w:type="auto"/>
            <w:shd w:val="clear" w:color="auto" w:fill="auto"/>
            <w:vAlign w:val="center"/>
          </w:tcPr>
          <w:p w14:paraId="05BA87F7">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w:t>
            </w:r>
          </w:p>
        </w:tc>
        <w:tc>
          <w:tcPr>
            <w:tcW w:w="0" w:type="auto"/>
            <w:shd w:val="clear" w:color="auto" w:fill="auto"/>
            <w:vAlign w:val="center"/>
          </w:tcPr>
          <w:p w14:paraId="6514F17E">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w:t>
            </w:r>
          </w:p>
        </w:tc>
        <w:tc>
          <w:tcPr>
            <w:tcW w:w="0" w:type="auto"/>
            <w:shd w:val="clear" w:color="auto" w:fill="auto"/>
            <w:vAlign w:val="center"/>
          </w:tcPr>
          <w:p w14:paraId="5601B10B">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color w:val="auto"/>
                <w:sz w:val="21"/>
                <w:szCs w:val="21"/>
              </w:rPr>
              <w:t>Not applicable</w:t>
            </w:r>
          </w:p>
        </w:tc>
        <w:tc>
          <w:tcPr>
            <w:tcW w:w="0" w:type="auto"/>
            <w:shd w:val="clear" w:color="auto" w:fill="auto"/>
            <w:vAlign w:val="center"/>
          </w:tcPr>
          <w:p w14:paraId="60C17C46">
            <w:pPr>
              <w:spacing w:after="0" w:line="240" w:lineRule="auto"/>
              <w:jc w:val="left"/>
              <w:rPr>
                <w:rFonts w:hint="default" w:ascii="Times New Roman Regular" w:hAnsi="Times New Roman Regular" w:cs="Times New Roman Regular"/>
                <w:b w:val="0"/>
                <w:bCs/>
                <w:color w:val="auto"/>
                <w:sz w:val="21"/>
                <w:szCs w:val="21"/>
              </w:rPr>
            </w:pPr>
            <w:r>
              <w:rPr>
                <w:rFonts w:hint="default" w:ascii="Times New Roman Regular" w:hAnsi="Times New Roman Regular" w:cs="Times New Roman Regular"/>
                <w:b w:val="0"/>
                <w:bCs/>
                <w:i w:val="0"/>
                <w:color w:val="auto"/>
                <w:sz w:val="21"/>
                <w:szCs w:val="21"/>
              </w:rPr>
              <w:t>Single eligible review; no cross-review overlap to quantify. PGB anchor retained by default.</w:t>
            </w:r>
          </w:p>
        </w:tc>
      </w:tr>
    </w:tbl>
    <w:p w14:paraId="29E56BDC">
      <w:pPr>
        <w:keepNext w:val="0"/>
        <w:keepLines w:val="0"/>
        <w:pageBreakBefore w:val="0"/>
        <w:widowControl/>
        <w:kinsoku/>
        <w:wordWrap/>
        <w:overflowPunct/>
        <w:topLinePunct w:val="0"/>
        <w:autoSpaceDE/>
        <w:autoSpaceDN/>
        <w:bidi w:val="0"/>
        <w:adjustRightInd/>
        <w:snapToGrid/>
        <w:spacing w:before="181" w:beforeLines="50" w:line="360" w:lineRule="auto"/>
        <w:jc w:val="both"/>
        <w:textAlignment w:val="auto"/>
        <w:rPr>
          <w:rFonts w:hint="default" w:ascii="Times New Roman" w:hAnsi="Times New Roman" w:cs="Times New Roman"/>
          <w:i w:val="0"/>
          <w:color w:val="auto"/>
          <w:sz w:val="21"/>
          <w:szCs w:val="21"/>
        </w:rPr>
      </w:pPr>
      <w:r>
        <w:rPr>
          <w:rFonts w:hint="default" w:ascii="Times New Roman" w:hAnsi="Times New Roman" w:cs="Times New Roman"/>
          <w:i w:val="0"/>
          <w:color w:val="auto"/>
          <w:sz w:val="21"/>
          <w:szCs w:val="21"/>
        </w:rPr>
        <w:t>CCA marking: values followed by * are computed from project primary-study-report lists. Where an outcome-domain-restricted subset was used (for example, the Wan 2024 major-congenital-malformation report subset rather than all included reports), the restriction, the verified shared-report count, and any whole-review alternative calculation are stated in the Notes; such values should be described as outcome-domain-restricted CCA based on the source-reported subset and verified matching of shared reports, not as a fully verified whole-review CCA. NE† = not estimable (see categories below). — = not applicable (single eligible review; no cross-review overlap to quantify). Overlap count, n: for pairwise rows, the number of primary-study reports shared by that pair; for domain-level cluster rows, the duplicated citation count (OC − N) from the CCA formulation (not a count of uniquely shared studies). NE† categories: (i) no fully extractable primary-study list in the published review or supplement; (ii) NMA / network structure prevents unique study-level mapping to a pairwise list; (iii) only aggregate extraction in project files for that review. VPA = valproate/valproic acid; LTG = lamotrigine; TPM = topiramate; PGB = pregabalin; OXC = oxcarbazepine; ASM(s) = antiseizure medication(s); OFC = orofacial cleft; MA = meta-analysis; NMA = network meta-analysis; OC = total citations (with duplicates); R = number of reviews in the set.</w:t>
      </w:r>
      <w:r>
        <w:rPr>
          <w:rFonts w:hint="eastAsia" w:ascii="Times New Roman" w:hAnsi="Times New Roman" w:eastAsia="宋体" w:cs="Times New Roman"/>
          <w:i w:val="0"/>
          <w:color w:val="auto"/>
          <w:sz w:val="21"/>
          <w:szCs w:val="21"/>
          <w:lang w:eastAsia="zh-CN"/>
        </w:rPr>
      </w:r>
      <w:r>
        <w:rPr>
          <w:rFonts w:hint="default" w:ascii="Times New Roman" w:hAnsi="Times New Roman" w:cs="Times New Roman"/>
          <w:i w:val="0"/>
          <w:color w:val="auto"/>
          <w:sz w:val="21"/>
          <w:szCs w:val="21"/>
        </w:rPr>
      </w:r>
    </w:p>
    <w:p w14:paraId="430830EA">
      <w:pPr>
        <w:keepNext w:val="0"/>
        <w:keepLines w:val="0"/>
        <w:pageBreakBefore w:val="0"/>
        <w:widowControl/>
        <w:kinsoku/>
        <w:wordWrap/>
        <w:overflowPunct/>
        <w:topLinePunct w:val="0"/>
        <w:autoSpaceDE/>
        <w:autoSpaceDN/>
        <w:bidi w:val="0"/>
        <w:adjustRightInd/>
        <w:snapToGrid/>
        <w:spacing w:before="181" w:beforeLines="50" w:line="360" w:lineRule="auto"/>
        <w:jc w:val="both"/>
        <w:textAlignment w:val="auto"/>
        <w:rPr>
          <w:rFonts w:hint="default" w:ascii="Times New Roman" w:hAnsi="Times New Roman" w:cs="Times New Roman"/>
          <w:i w:val="0"/>
          <w:color w:val="auto"/>
          <w:sz w:val="21"/>
          <w:szCs w:val="21"/>
        </w:rPr>
      </w:pPr>
      <w:r>
        <w:rPr>
          <w:rFonts w:hint="default" w:ascii="Times New Roman" w:hAnsi="Times New Roman" w:cs="Times New Roman"/>
          <w:i w:val="0"/>
          <w:color w:val="auto"/>
          <w:sz w:val="21"/>
          <w:szCs w:val="21"/>
        </w:rPr>
        <w:t>Overlap was summarized using the corrected covered area (CCA) where primary-study-report sets could be reconstructed (Pieper 2014). CCA = (OC − N) / [N × (R − 1)] × 100, where OC = total citations counting duplicates, N = unique primary-study reports, and R = number of reviews in the set. Calculations for the neurodevelopmental ASD/ADHD review cluster were performed at the primary-study-report level as listed in the source reviews. Christensen 2013 and Christensen 2019 were treated as distinct study reports because Xu 2024 listed them separately for ASD and ADHD evidence, respectively. Potentially overlapping reports, including Smith 2014 relative to Christensen 2013 in Amaral 2025, were retained as reported to preserve reproducibility of the source-review citation matrix. Because two reports, Dreier 2023 and Hernández-Díaz 2024, contributed to all three reviews and 16 unique reports underlay 25 inclusions, second-order pooling of review-level estimates would repeatedly reweight a shared primary-study base and inflate apparent precision.</w:t>
      </w:r>
    </w:p>
    <w:p w14:paraId="405E9000">
      <w:pPr>
        <w:keepNext w:val="0"/>
        <w:keepLines w:val="0"/>
        <w:pageBreakBefore w:val="0"/>
        <w:widowControl/>
        <w:kinsoku/>
        <w:wordWrap/>
        <w:overflowPunct/>
        <w:topLinePunct w:val="0"/>
        <w:autoSpaceDE/>
        <w:autoSpaceDN/>
        <w:bidi w:val="0"/>
        <w:adjustRightInd/>
        <w:snapToGrid/>
        <w:spacing w:before="181" w:beforeLines="50" w:line="360" w:lineRule="auto"/>
        <w:jc w:val="both"/>
        <w:textAlignment w:val="auto"/>
        <w:rPr>
          <w:rFonts w:hint="default" w:ascii="Times New Roman" w:hAnsi="Times New Roman" w:cs="Times New Roman"/>
          <w:i w:val="0"/>
          <w:color w:val="auto"/>
          <w:sz w:val="21"/>
          <w:szCs w:val="21"/>
        </w:rPr>
      </w:pPr>
    </w:p>
    <w:sectPr>
      <w:pgSz w:w="23811" w:h="16838" w:orient="landscape"/>
      <w:pgMar w:top="680" w:right="680" w:bottom="680" w:left="68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auto"/>
    <w:pitch w:val="default"/>
    <w:sig w:usb0="00000000" w:usb1="00000000" w:usb2="00000000" w:usb3="00000000" w:csb0="0000019F" w:csb1="00000000"/>
  </w:font>
  <w:font w:name="苹方-简">
    <w:panose1 w:val="020B0400000000000000"/>
    <w:charset w:val="86"/>
    <w:family w:val="auto"/>
    <w:pitch w:val="default"/>
    <w:sig w:usb0="A00002FF" w:usb1="7ACFFDFB" w:usb2="00000017" w:usb3="00000000" w:csb0="00040001" w:csb1="00000000"/>
  </w:font>
  <w:font w:name="ＭＳ 明朝">
    <w:altName w:val="Hiragino Sans"/>
    <w:panose1 w:val="00000000000000000000"/>
    <w:charset w:val="80"/>
    <w:family w:val="roman"/>
    <w:pitch w:val="default"/>
    <w:sig w:usb0="00000000" w:usb1="00000000" w:usb2="00000010" w:usb3="00000000" w:csb0="00020000" w:csb1="00000000"/>
  </w:font>
  <w:font w:name="Hiragino Sans">
    <w:panose1 w:val="020B0300000000000000"/>
    <w:charset w:val="80"/>
    <w:family w:val="auto"/>
    <w:pitch w:val="default"/>
    <w:sig w:usb0="E00002FF" w:usb1="7AE7FFFF" w:usb2="00000012" w:usb3="00000000" w:csb0="0002000D" w:csb1="00000000"/>
  </w:font>
  <w:font w:name="ＭＳ 明朝">
    <w:altName w:val="Hiragino Sans"/>
    <w:panose1 w:val="00000000000000000000"/>
    <w:charset w:val="86"/>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Kingsoft Sign">
    <w:panose1 w:val="05050102010706020507"/>
    <w:charset w:val="00"/>
    <w:family w:val="auto"/>
    <w:pitch w:val="default"/>
    <w:sig w:usb0="00000000" w:usb1="10000000" w:usb2="00000000" w:usb3="00000000" w:csb0="00000001" w:csb1="00000000"/>
  </w:font>
  <w:font w:name="Times New Roman Bold">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Times New Roman Regular">
    <w:panose1 w:val="02020503050405090304"/>
    <w:charset w:val="00"/>
    <w:family w:val="auto"/>
    <w:pitch w:val="default"/>
    <w:sig w:usb0="E0000AFF" w:usb1="00007843" w:usb2="00000001" w:usb3="00000000" w:csb0="400001BF" w:csb1="DFF70000"/>
  </w:font>
  <w:font w:name="ＭＳ 明朝">
    <w:altName w:val="Hiragino Sans"/>
    <w:panose1 w:val="00000000000000000000"/>
    <w:charset w:val="00"/>
    <w:family w:val="auto"/>
    <w:pitch w:val="default"/>
    <w:sig w:usb0="00000000" w:usb1="00000000" w:usb2="00000000" w:usb3="00000000" w:csb0="00000000" w:csb1="00000000"/>
  </w:font>
  <w:font w:name="汉仪中黑KW">
    <w:panose1 w:val="00020600040101010101"/>
    <w:charset w:val="86"/>
    <w:family w:val="auto"/>
    <w:pitch w:val="default"/>
    <w:sig w:usb0="A00002BF" w:usb1="18EF7CFA" w:usb2="00000016" w:usb3="00000000" w:csb0="00040000" w:csb1="00000000"/>
  </w:font>
  <w:font w:name="ＭＳ ゴシック">
    <w:altName w:val="苹方-简"/>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C7FE981"/>
    <w:rsid w:val="5FFE84C0"/>
    <w:rsid w:val="725F83D1"/>
    <w:rsid w:val="7FD70618"/>
    <w:rsid w:val="7FF78A7A"/>
    <w:rsid w:val="F2FBCFC9"/>
    <w:rsid w:val="F777DCB0"/>
    <w:rsid w:val="FFBFF75C"/>
    <w:rsid w:val="FFFDD16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10</TotalTime>
  <ScaleCrop>false</ScaleCrop>
  <LinksUpToDate>false</LinksUpToDate>
  <CharactersWithSpaces>0</CharactersWithSpaces>
  <Application>WPS Office_12.1.26016.26016_F1E327BC-269C-435d-A152-05C5408002CA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2013-12-24T23:15:00Z</dcterms:created>
  <dc:creator>python-docx</dc:creator>
  <dc:description>generated by python-docx</dc:description>
  <cp:lastModifiedBy>Yulong Li</cp:lastModifiedBy>
  <dcterms:modified xsi:type="dcterms:W3CDTF">2026-06-22T11:52:15Z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2052-12.1.26016.26016</vt:lpwstr>
  </property>
  <property fmtid="{D5CDD505-2E9C-101B-9397-08002B2CF9AE}" pid="3" name="ICV">
    <vt:lpwstr>396FC817F9457455955CD269CAB2F5B2_43</vt:lpwstr>
  </property>
</Properties>
</file>