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8344C">
      <w:pPr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Supplementary Table 4. Prespecified anchor reviews and retained pooled estimates for structural congenital anomaly outcomes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948"/>
        <w:gridCol w:w="1817"/>
        <w:gridCol w:w="1495"/>
        <w:gridCol w:w="1319"/>
        <w:gridCol w:w="1511"/>
        <w:gridCol w:w="477"/>
        <w:gridCol w:w="841"/>
        <w:gridCol w:w="1081"/>
        <w:gridCol w:w="1291"/>
        <w:gridCol w:w="2820"/>
      </w:tblGrid>
      <w:tr w14:paraId="464C08DC">
        <w:trPr>
          <w:tblHeader/>
          <w:cantSplit/>
        </w:trPr>
        <w:tc>
          <w:tcPr>
            <w:tcW w:w="0" w:type="auto"/>
            <w:shd w:val="clear" w:color="auto" w:fill="auto"/>
          </w:tcPr>
          <w:p w14:paraId="285370E9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Exposure</w:t>
            </w:r>
          </w:p>
        </w:tc>
        <w:tc>
          <w:tcPr>
            <w:tcW w:w="0" w:type="auto"/>
            <w:shd w:val="clear" w:color="auto" w:fill="auto"/>
          </w:tcPr>
          <w:p w14:paraId="1FB9C5D9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Outcome</w:t>
            </w:r>
          </w:p>
        </w:tc>
        <w:tc>
          <w:tcPr>
            <w:tcW w:w="0" w:type="auto"/>
            <w:shd w:val="clear" w:color="auto" w:fill="auto"/>
          </w:tcPr>
          <w:p w14:paraId="0FA6E81F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Comparator</w:t>
            </w:r>
          </w:p>
        </w:tc>
        <w:tc>
          <w:tcPr>
            <w:tcW w:w="0" w:type="auto"/>
            <w:shd w:val="clear" w:color="auto" w:fill="auto"/>
          </w:tcPr>
          <w:p w14:paraId="13A41113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Retained anchor review</w:t>
              <w:br w:type="textWrapping"/>
              <w:t>(primary quantitative source)</w:t>
            </w:r>
          </w:p>
        </w:tc>
        <w:tc>
          <w:tcPr>
            <w:tcW w:w="0" w:type="auto"/>
            <w:shd w:val="clear" w:color="auto" w:fill="auto"/>
          </w:tcPr>
          <w:p w14:paraId="4ED68035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Review type</w:t>
            </w:r>
          </w:p>
        </w:tc>
        <w:tc>
          <w:tcPr>
            <w:tcW w:w="0" w:type="auto"/>
            <w:shd w:val="clear" w:color="auto" w:fill="auto"/>
          </w:tcPr>
          <w:p w14:paraId="6CDA6DCF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Effect estimate (95% CI)</w:t>
            </w:r>
          </w:p>
        </w:tc>
        <w:tc>
          <w:tcPr>
            <w:tcW w:w="0" w:type="auto"/>
            <w:shd w:val="clear" w:color="auto" w:fill="auto"/>
          </w:tcPr>
          <w:p w14:paraId="24BBBC6C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k</w:t>
            </w:r>
          </w:p>
        </w:tc>
        <w:tc>
          <w:tcPr>
            <w:tcW w:w="0" w:type="auto"/>
            <w:shd w:val="clear" w:color="auto" w:fill="auto"/>
          </w:tcPr>
          <w:p w14:paraId="4D936811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I²</w:t>
            </w:r>
          </w:p>
        </w:tc>
        <w:tc>
          <w:tcPr>
            <w:tcW w:w="0" w:type="auto"/>
            <w:shd w:val="clear" w:color="auto" w:fill="auto"/>
          </w:tcPr>
          <w:p w14:paraId="23B4C681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GRADE</w:t>
            </w:r>
          </w:p>
        </w:tc>
        <w:tc>
          <w:tcPr>
            <w:tcW w:w="0" w:type="auto"/>
            <w:shd w:val="clear" w:color="auto" w:fill="auto"/>
          </w:tcPr>
          <w:p w14:paraId="62F4BADB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Umbrella credibility</w:t>
            </w:r>
          </w:p>
        </w:tc>
        <w:tc>
          <w:tcPr>
            <w:tcW w:w="0" w:type="auto"/>
            <w:shd w:val="clear" w:color="auto" w:fill="auto"/>
          </w:tcPr>
          <w:p w14:paraId="06218AAF">
            <w:pPr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auto"/>
                <w:sz w:val="20"/>
                <w:szCs w:val="20"/>
              </w:rPr>
              <w:t>Notes</w:t>
            </w:r>
          </w:p>
        </w:tc>
      </w:tr>
      <w:tr w14:paraId="315E7D52">
        <w:trPr>
          <w:cantSplit/>
        </w:trPr>
        <w:tc>
          <w:tcPr>
            <w:tcW w:w="0" w:type="auto"/>
            <w:shd w:val="clear" w:color="auto" w:fill="auto"/>
          </w:tcPr>
          <w:p w14:paraId="68029F97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2F5910F4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Combined major congenital anomalies</w:t>
            </w:r>
          </w:p>
        </w:tc>
        <w:tc>
          <w:tcPr>
            <w:tcW w:w="0" w:type="auto"/>
            <w:shd w:val="clear" w:color="auto" w:fill="auto"/>
          </w:tcPr>
          <w:p w14:paraId="48AF85C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0B2540B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0BAB83D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6EC64A1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2.36 (95% CI: 2.17–2.56)</w:t>
            </w:r>
          </w:p>
        </w:tc>
        <w:tc>
          <w:tcPr>
            <w:tcW w:w="0" w:type="auto"/>
            <w:shd w:val="clear" w:color="auto" w:fill="auto"/>
          </w:tcPr>
          <w:p w14:paraId="02BC77B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14:paraId="7ACB819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38%</w:t>
            </w:r>
          </w:p>
        </w:tc>
        <w:tc>
          <w:tcPr>
            <w:tcW w:w="0" w:type="auto"/>
            <w:shd w:val="clear" w:color="auto" w:fill="auto"/>
          </w:tcPr>
          <w:p w14:paraId="39DC303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7600F9A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</w:t>
            </w:r>
          </w:p>
        </w:tc>
        <w:tc>
          <w:tcPr>
            <w:tcW w:w="0" w:type="auto"/>
            <w:shd w:val="clear" w:color="auto" w:fill="auto"/>
          </w:tcPr>
          <w:p w14:paraId="24B738DE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Primary structural anchor. Class I criteria were verified using reconstructed event counts, prediction interval, small-study-effect assessment, and excess-significance assessment.</w:t>
            </w:r>
          </w:p>
        </w:tc>
      </w:tr>
      <w:tr w14:paraId="3376A413">
        <w:trPr>
          <w:cantSplit/>
        </w:trPr>
        <w:tc>
          <w:tcPr>
            <w:tcW w:w="0" w:type="auto"/>
            <w:shd w:val="clear" w:color="auto" w:fill="auto"/>
          </w:tcPr>
          <w:p w14:paraId="027CCE4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3FBDF217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Neural tube defects</w:t>
            </w:r>
          </w:p>
        </w:tc>
        <w:tc>
          <w:tcPr>
            <w:tcW w:w="0" w:type="auto"/>
            <w:shd w:val="clear" w:color="auto" w:fill="auto"/>
          </w:tcPr>
          <w:p w14:paraId="351A9D6E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2813C606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350A499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0DD824A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6.54 (95% CI: 4.51–9.47)</w:t>
            </w:r>
          </w:p>
        </w:tc>
        <w:tc>
          <w:tcPr>
            <w:tcW w:w="0" w:type="auto"/>
            <w:shd w:val="clear" w:color="auto" w:fill="auto"/>
          </w:tcPr>
          <w:p w14:paraId="066DFED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2A56E27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0%</w:t>
            </w:r>
          </w:p>
        </w:tc>
        <w:tc>
          <w:tcPr>
            <w:tcW w:w="0" w:type="auto"/>
            <w:shd w:val="clear" w:color="auto" w:fill="auto"/>
          </w:tcPr>
          <w:p w14:paraId="4B7024E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723166A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3A9F9D40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Primary anchor retained on the basis of recency, comparator concordance, and reporting completeness.</w:t>
            </w:r>
          </w:p>
        </w:tc>
      </w:tr>
      <w:tr w14:paraId="1CF51822">
        <w:trPr>
          <w:cantSplit/>
        </w:trPr>
        <w:tc>
          <w:tcPr>
            <w:tcW w:w="0" w:type="auto"/>
            <w:shd w:val="clear" w:color="auto" w:fill="auto"/>
          </w:tcPr>
          <w:p w14:paraId="1FC1C9C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61FC3ED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Congenital heart defects</w:t>
            </w:r>
          </w:p>
        </w:tc>
        <w:tc>
          <w:tcPr>
            <w:tcW w:w="0" w:type="auto"/>
            <w:shd w:val="clear" w:color="auto" w:fill="auto"/>
          </w:tcPr>
          <w:p w14:paraId="4C44754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5816D3D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5764022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762759F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2.53 (95% CI: 2.16–2.96)</w:t>
            </w:r>
          </w:p>
        </w:tc>
        <w:tc>
          <w:tcPr>
            <w:tcW w:w="0" w:type="auto"/>
            <w:shd w:val="clear" w:color="auto" w:fill="auto"/>
          </w:tcPr>
          <w:p w14:paraId="5E93FF4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14:paraId="5B97D74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18%</w:t>
            </w:r>
          </w:p>
        </w:tc>
        <w:tc>
          <w:tcPr>
            <w:tcW w:w="0" w:type="auto"/>
            <w:shd w:val="clear" w:color="auto" w:fill="auto"/>
          </w:tcPr>
          <w:p w14:paraId="21E951F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5AE3DE9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5A5012F9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Primary anchor retained on the basis of recency, comparator concordance, and reporting completeness.</w:t>
            </w:r>
          </w:p>
        </w:tc>
      </w:tr>
      <w:tr w14:paraId="1776CC14">
        <w:trPr>
          <w:cantSplit/>
        </w:trPr>
        <w:tc>
          <w:tcPr>
            <w:tcW w:w="0" w:type="auto"/>
            <w:shd w:val="clear" w:color="auto" w:fill="auto"/>
          </w:tcPr>
          <w:p w14:paraId="254E6CA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49855D3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Cleft lip and/or palate</w:t>
            </w:r>
          </w:p>
        </w:tc>
        <w:tc>
          <w:tcPr>
            <w:tcW w:w="0" w:type="auto"/>
            <w:shd w:val="clear" w:color="auto" w:fill="auto"/>
          </w:tcPr>
          <w:p w14:paraId="3C4DEAB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34BE4674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53B09822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21840C2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4.31 (95% CI: 3.06–6.08)</w:t>
            </w:r>
          </w:p>
        </w:tc>
        <w:tc>
          <w:tcPr>
            <w:tcW w:w="0" w:type="auto"/>
            <w:shd w:val="clear" w:color="auto" w:fill="auto"/>
          </w:tcPr>
          <w:p w14:paraId="66B145F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14:paraId="3CF51D3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0%</w:t>
            </w:r>
          </w:p>
        </w:tc>
        <w:tc>
          <w:tcPr>
            <w:tcW w:w="0" w:type="auto"/>
            <w:shd w:val="clear" w:color="auto" w:fill="auto"/>
          </w:tcPr>
          <w:p w14:paraId="21D00B8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18B3AF5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153EC9F8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Primary anchor retained on the basis of recency, comparator concordance, and reporting completeness.</w:t>
            </w:r>
          </w:p>
        </w:tc>
      </w:tr>
      <w:tr w14:paraId="5248B82A">
        <w:trPr>
          <w:cantSplit/>
        </w:trPr>
        <w:tc>
          <w:tcPr>
            <w:tcW w:w="0" w:type="auto"/>
            <w:shd w:val="clear" w:color="auto" w:fill="auto"/>
          </w:tcPr>
          <w:p w14:paraId="713DCFA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7F59737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Genitourinary anomalies</w:t>
            </w:r>
          </w:p>
        </w:tc>
        <w:tc>
          <w:tcPr>
            <w:tcW w:w="0" w:type="auto"/>
            <w:shd w:val="clear" w:color="auto" w:fill="auto"/>
          </w:tcPr>
          <w:p w14:paraId="14469D2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4C263DB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42016964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0012265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3.32 (95% CI: 2.67–4.14)</w:t>
            </w:r>
          </w:p>
        </w:tc>
        <w:tc>
          <w:tcPr>
            <w:tcW w:w="0" w:type="auto"/>
            <w:shd w:val="clear" w:color="auto" w:fill="auto"/>
          </w:tcPr>
          <w:p w14:paraId="463F671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14:paraId="32C210A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0%</w:t>
            </w:r>
          </w:p>
        </w:tc>
        <w:tc>
          <w:tcPr>
            <w:tcW w:w="0" w:type="auto"/>
            <w:shd w:val="clear" w:color="auto" w:fill="auto"/>
          </w:tcPr>
          <w:p w14:paraId="6A955A37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724F26D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274A3C6C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Primary anchor retained on the basis of recency, comparator concordance, and reporting completeness.</w:t>
            </w:r>
          </w:p>
        </w:tc>
      </w:tr>
      <w:tr w14:paraId="77344CB7">
        <w:trPr>
          <w:cantSplit/>
        </w:trPr>
        <w:tc>
          <w:tcPr>
            <w:tcW w:w="0" w:type="auto"/>
            <w:shd w:val="clear" w:color="auto" w:fill="auto"/>
          </w:tcPr>
          <w:p w14:paraId="07CBBC8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Valproate</w:t>
            </w:r>
          </w:p>
        </w:tc>
        <w:tc>
          <w:tcPr>
            <w:tcW w:w="0" w:type="auto"/>
            <w:shd w:val="clear" w:color="auto" w:fill="auto"/>
          </w:tcPr>
          <w:p w14:paraId="41394E4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Musculoskeletal anomalies</w:t>
            </w:r>
          </w:p>
        </w:tc>
        <w:tc>
          <w:tcPr>
            <w:tcW w:w="0" w:type="auto"/>
            <w:shd w:val="clear" w:color="auto" w:fill="auto"/>
          </w:tcPr>
          <w:p w14:paraId="2FDC15C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ASMs (monotherapy)</w:t>
            </w:r>
          </w:p>
        </w:tc>
        <w:tc>
          <w:tcPr>
            <w:tcW w:w="0" w:type="auto"/>
            <w:shd w:val="clear" w:color="auto" w:fill="auto"/>
          </w:tcPr>
          <w:p w14:paraId="37D80E0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Yang 2025</w:t>
            </w:r>
          </w:p>
        </w:tc>
        <w:tc>
          <w:tcPr>
            <w:tcW w:w="0" w:type="auto"/>
            <w:shd w:val="clear" w:color="auto" w:fill="auto"/>
          </w:tcPr>
          <w:p w14:paraId="7C3D348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6A66FFE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RR = 2.88 (95% CI: 1.98–4.19)</w:t>
            </w:r>
          </w:p>
        </w:tc>
        <w:tc>
          <w:tcPr>
            <w:tcW w:w="0" w:type="auto"/>
            <w:shd w:val="clear" w:color="auto" w:fill="auto"/>
          </w:tcPr>
          <w:p w14:paraId="5BE0C7F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14:paraId="6806F88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0%</w:t>
            </w:r>
          </w:p>
        </w:tc>
        <w:tc>
          <w:tcPr>
            <w:tcW w:w="0" w:type="auto"/>
            <w:shd w:val="clear" w:color="auto" w:fill="auto"/>
          </w:tcPr>
          <w:p w14:paraId="34C0E72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6644444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18DCD374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Primary anchor retained on the basis of recency, comparator concordance, and reporting completeness.</w:t>
            </w:r>
          </w:p>
        </w:tc>
      </w:tr>
      <w:tr w14:paraId="46164077">
        <w:trPr>
          <w:cantSplit/>
        </w:trPr>
        <w:tc>
          <w:tcPr>
            <w:tcW w:w="0" w:type="auto"/>
            <w:shd w:val="clear" w:color="auto" w:fill="auto"/>
          </w:tcPr>
          <w:p w14:paraId="11214AF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Lamotrigine</w:t>
            </w:r>
          </w:p>
        </w:tc>
        <w:tc>
          <w:tcPr>
            <w:tcW w:w="0" w:type="auto"/>
            <w:shd w:val="clear" w:color="auto" w:fill="auto"/>
          </w:tcPr>
          <w:p w14:paraId="4517248E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Major congenital anomalies</w:t>
            </w:r>
          </w:p>
        </w:tc>
        <w:tc>
          <w:tcPr>
            <w:tcW w:w="0" w:type="auto"/>
            <w:shd w:val="clear" w:color="auto" w:fill="auto"/>
          </w:tcPr>
          <w:p w14:paraId="75AF4CC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Disease-matched controls</w:t>
            </w:r>
          </w:p>
        </w:tc>
        <w:tc>
          <w:tcPr>
            <w:tcW w:w="0" w:type="auto"/>
            <w:shd w:val="clear" w:color="auto" w:fill="auto"/>
          </w:tcPr>
          <w:p w14:paraId="7F36241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Pariente 2017</w:t>
            </w:r>
          </w:p>
        </w:tc>
        <w:tc>
          <w:tcPr>
            <w:tcW w:w="0" w:type="auto"/>
            <w:shd w:val="clear" w:color="auto" w:fill="auto"/>
          </w:tcPr>
          <w:p w14:paraId="63BD868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235E319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 = 1.15 (95% CI: 0.62–2.16)</w:t>
            </w:r>
          </w:p>
        </w:tc>
        <w:tc>
          <w:tcPr>
            <w:tcW w:w="0" w:type="auto"/>
            <w:shd w:val="clear" w:color="auto" w:fill="auto"/>
          </w:tcPr>
          <w:p w14:paraId="011EE77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2392A42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0%</w:t>
            </w:r>
          </w:p>
        </w:tc>
        <w:tc>
          <w:tcPr>
            <w:tcW w:w="0" w:type="auto"/>
            <w:shd w:val="clear" w:color="auto" w:fill="auto"/>
          </w:tcPr>
          <w:p w14:paraId="0E21E51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Very Low</w:t>
            </w:r>
          </w:p>
        </w:tc>
        <w:tc>
          <w:tcPr>
            <w:tcW w:w="0" w:type="auto"/>
            <w:shd w:val="clear" w:color="auto" w:fill="auto"/>
          </w:tcPr>
          <w:p w14:paraId="18B32D62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NS</w:t>
            </w:r>
          </w:p>
        </w:tc>
        <w:tc>
          <w:tcPr>
            <w:tcW w:w="0" w:type="auto"/>
            <w:shd w:val="clear" w:color="auto" w:fill="auto"/>
          </w:tcPr>
          <w:p w14:paraId="34C4C39D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estimate retained for primary reporting. Pariente 2017 was retained as the anchor review for major congenital anomalies versus disease-matched controls (OR = 1.15, 95% CI 0.62–2.16).</w:t>
            </w:r>
          </w:p>
        </w:tc>
      </w:tr>
      <w:tr w14:paraId="22CC9D28">
        <w:trPr>
          <w:cantSplit/>
        </w:trPr>
        <w:tc>
          <w:tcPr>
            <w:tcW w:w="0" w:type="auto"/>
            <w:shd w:val="clear" w:color="auto" w:fill="auto"/>
          </w:tcPr>
          <w:p w14:paraId="2E48106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Lamotrigine</w:t>
            </w:r>
          </w:p>
        </w:tc>
        <w:tc>
          <w:tcPr>
            <w:tcW w:w="0" w:type="auto"/>
            <w:shd w:val="clear" w:color="auto" w:fill="auto"/>
          </w:tcPr>
          <w:p w14:paraId="6EDDB18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Orofacial clefts</w:t>
            </w:r>
          </w:p>
        </w:tc>
        <w:tc>
          <w:tcPr>
            <w:tcW w:w="0" w:type="auto"/>
            <w:shd w:val="clear" w:color="auto" w:fill="auto"/>
          </w:tcPr>
          <w:p w14:paraId="6D5956A6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Unexposed controls (no ASM)</w:t>
            </w:r>
          </w:p>
        </w:tc>
        <w:tc>
          <w:tcPr>
            <w:tcW w:w="0" w:type="auto"/>
            <w:shd w:val="clear" w:color="auto" w:fill="auto"/>
          </w:tcPr>
          <w:p w14:paraId="6FD2258E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Zhao 2025</w:t>
            </w:r>
          </w:p>
        </w:tc>
        <w:tc>
          <w:tcPr>
            <w:tcW w:w="0" w:type="auto"/>
            <w:shd w:val="clear" w:color="auto" w:fill="auto"/>
          </w:tcPr>
          <w:p w14:paraId="3DF743E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6E9966B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 = 1.42 (95% CI: 1.05–1.92)</w:t>
            </w:r>
          </w:p>
        </w:tc>
        <w:tc>
          <w:tcPr>
            <w:tcW w:w="0" w:type="auto"/>
            <w:shd w:val="clear" w:color="auto" w:fill="auto"/>
          </w:tcPr>
          <w:p w14:paraId="6302C30E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7C90FAB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39.8%</w:t>
            </w:r>
          </w:p>
        </w:tc>
        <w:tc>
          <w:tcPr>
            <w:tcW w:w="0" w:type="auto"/>
            <w:shd w:val="clear" w:color="auto" w:fill="auto"/>
          </w:tcPr>
          <w:p w14:paraId="4E6AA23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Very Low</w:t>
            </w:r>
          </w:p>
        </w:tc>
        <w:tc>
          <w:tcPr>
            <w:tcW w:w="0" w:type="auto"/>
            <w:shd w:val="clear" w:color="auto" w:fill="auto"/>
          </w:tcPr>
          <w:p w14:paraId="5B44D90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IV</w:t>
            </w:r>
          </w:p>
        </w:tc>
        <w:tc>
          <w:tcPr>
            <w:tcW w:w="0" w:type="auto"/>
            <w:shd w:val="clear" w:color="auto" w:fill="auto"/>
          </w:tcPr>
          <w:p w14:paraId="49F297FB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estimate retained for primary reporting. Zhao 2025 was retained as the anchor review for orofacial clefts.</w:t>
            </w:r>
          </w:p>
        </w:tc>
      </w:tr>
      <w:tr w14:paraId="4F9022D7">
        <w:trPr>
          <w:cantSplit/>
        </w:trPr>
        <w:tc>
          <w:tcPr>
            <w:tcW w:w="0" w:type="auto"/>
            <w:shd w:val="clear" w:color="auto" w:fill="auto"/>
          </w:tcPr>
          <w:p w14:paraId="70DE6C6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Topiramate</w:t>
            </w:r>
          </w:p>
        </w:tc>
        <w:tc>
          <w:tcPr>
            <w:tcW w:w="0" w:type="auto"/>
            <w:shd w:val="clear" w:color="auto" w:fill="auto"/>
          </w:tcPr>
          <w:p w14:paraId="68AE9AE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Oral clefts (first-trimester exposure)</w:t>
            </w:r>
          </w:p>
        </w:tc>
        <w:tc>
          <w:tcPr>
            <w:tcW w:w="0" w:type="auto"/>
            <w:shd w:val="clear" w:color="auto" w:fill="auto"/>
          </w:tcPr>
          <w:p w14:paraId="09B4487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TPM-unexposed controls</w:t>
            </w:r>
          </w:p>
        </w:tc>
        <w:tc>
          <w:tcPr>
            <w:tcW w:w="0" w:type="auto"/>
            <w:shd w:val="clear" w:color="auto" w:fill="auto"/>
          </w:tcPr>
          <w:p w14:paraId="0634EF14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Alsaad 2015</w:t>
            </w:r>
          </w:p>
        </w:tc>
        <w:tc>
          <w:tcPr>
            <w:tcW w:w="0" w:type="auto"/>
            <w:shd w:val="clear" w:color="auto" w:fill="auto"/>
          </w:tcPr>
          <w:p w14:paraId="322F8557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469CBE5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 = 6.26 (95% CI: 3.13–12.51)</w:t>
            </w:r>
          </w:p>
        </w:tc>
        <w:tc>
          <w:tcPr>
            <w:tcW w:w="0" w:type="auto"/>
            <w:shd w:val="clear" w:color="auto" w:fill="auto"/>
          </w:tcPr>
          <w:p w14:paraId="3557702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6BC34D8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46%</w:t>
            </w:r>
          </w:p>
        </w:tc>
        <w:tc>
          <w:tcPr>
            <w:tcW w:w="0" w:type="auto"/>
            <w:shd w:val="clear" w:color="auto" w:fill="auto"/>
          </w:tcPr>
          <w:p w14:paraId="7024F23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</w:tcPr>
          <w:p w14:paraId="2E00264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Class III</w:t>
            </w:r>
          </w:p>
        </w:tc>
        <w:tc>
          <w:tcPr>
            <w:tcW w:w="0" w:type="auto"/>
            <w:shd w:val="clear" w:color="auto" w:fill="auto"/>
          </w:tcPr>
          <w:p w14:paraId="3E94FDD2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Primary structural anchor. Class III criteria were verified using reconstructed event counts; dose-specific estimates were not retained as separate anchors (see General notes).</w:t>
            </w:r>
          </w:p>
        </w:tc>
      </w:tr>
      <w:tr w14:paraId="3120B16C">
        <w:trPr>
          <w:cantSplit/>
        </w:trPr>
        <w:tc>
          <w:tcPr>
            <w:tcW w:w="0" w:type="auto"/>
            <w:shd w:val="clear" w:color="auto" w:fill="auto"/>
          </w:tcPr>
          <w:p w14:paraId="21AE142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Oxcarbazepine</w:t>
            </w:r>
          </w:p>
        </w:tc>
        <w:tc>
          <w:tcPr>
            <w:tcW w:w="0" w:type="auto"/>
            <w:shd w:val="clear" w:color="auto" w:fill="auto"/>
          </w:tcPr>
          <w:p w14:paraId="5F005A4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Congenital anomalies</w:t>
            </w:r>
          </w:p>
        </w:tc>
        <w:tc>
          <w:tcPr>
            <w:tcW w:w="0" w:type="auto"/>
            <w:shd w:val="clear" w:color="auto" w:fill="auto"/>
          </w:tcPr>
          <w:p w14:paraId="7C0D176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Unexposed controls</w:t>
            </w:r>
          </w:p>
        </w:tc>
        <w:tc>
          <w:tcPr>
            <w:tcW w:w="0" w:type="auto"/>
            <w:shd w:val="clear" w:color="auto" w:fill="auto"/>
          </w:tcPr>
          <w:p w14:paraId="6BE0B5A9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Athar 2022</w:t>
            </w:r>
          </w:p>
        </w:tc>
        <w:tc>
          <w:tcPr>
            <w:tcW w:w="0" w:type="auto"/>
            <w:shd w:val="clear" w:color="auto" w:fill="auto"/>
          </w:tcPr>
          <w:p w14:paraId="324EC886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75256D76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 = 1.69 (95% CI: 0.95–2.98)</w:t>
            </w:r>
          </w:p>
        </w:tc>
        <w:tc>
          <w:tcPr>
            <w:tcW w:w="0" w:type="auto"/>
            <w:shd w:val="clear" w:color="auto" w:fill="auto"/>
          </w:tcPr>
          <w:p w14:paraId="2DAD4BD7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2F7AEA6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2%</w:t>
            </w:r>
          </w:p>
        </w:tc>
        <w:tc>
          <w:tcPr>
            <w:tcW w:w="0" w:type="auto"/>
            <w:shd w:val="clear" w:color="auto" w:fill="auto"/>
          </w:tcPr>
          <w:p w14:paraId="65DDF20C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Very Low</w:t>
            </w:r>
          </w:p>
        </w:tc>
        <w:tc>
          <w:tcPr>
            <w:tcW w:w="0" w:type="auto"/>
            <w:shd w:val="clear" w:color="auto" w:fill="auto"/>
          </w:tcPr>
          <w:p w14:paraId="1B886D3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NS</w:t>
            </w:r>
          </w:p>
        </w:tc>
        <w:tc>
          <w:tcPr>
            <w:tcW w:w="0" w:type="auto"/>
            <w:shd w:val="clear" w:color="auto" w:fill="auto"/>
          </w:tcPr>
          <w:p w14:paraId="58B7B362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estimate retained for primary reporting. Athar 2022 was retained as the anchor review for oxcarbazepine and congenital anomalies.</w:t>
            </w:r>
          </w:p>
        </w:tc>
      </w:tr>
      <w:tr w14:paraId="3E435209">
        <w:trPr>
          <w:cantSplit/>
        </w:trPr>
        <w:tc>
          <w:tcPr>
            <w:tcW w:w="0" w:type="auto"/>
            <w:shd w:val="clear" w:color="auto" w:fill="auto"/>
          </w:tcPr>
          <w:p w14:paraId="69E592B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Pregabalin</w:t>
            </w:r>
          </w:p>
        </w:tc>
        <w:tc>
          <w:tcPr>
            <w:tcW w:w="0" w:type="auto"/>
            <w:shd w:val="clear" w:color="auto" w:fill="auto"/>
          </w:tcPr>
          <w:p w14:paraId="7D7EE9D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Major congenital anomalies</w:t>
            </w:r>
          </w:p>
        </w:tc>
        <w:tc>
          <w:tcPr>
            <w:tcW w:w="0" w:type="auto"/>
            <w:shd w:val="clear" w:color="auto" w:fill="auto"/>
          </w:tcPr>
          <w:p w14:paraId="166C553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One comparator per study, selected hierarchically: unexposed sick, unexposed not otherwise specified, unexposed disease-free, then lamotrigine-exposed</w:t>
            </w:r>
          </w:p>
        </w:tc>
        <w:tc>
          <w:tcPr>
            <w:tcW w:w="0" w:type="auto"/>
            <w:shd w:val="clear" w:color="auto" w:fill="auto"/>
          </w:tcPr>
          <w:p w14:paraId="10C16650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Atzenhoffer 2025</w:t>
            </w:r>
          </w:p>
        </w:tc>
        <w:tc>
          <w:tcPr>
            <w:tcW w:w="0" w:type="auto"/>
            <w:shd w:val="clear" w:color="auto" w:fill="auto"/>
          </w:tcPr>
          <w:p w14:paraId="0F7D098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meta-analysis</w:t>
            </w:r>
          </w:p>
        </w:tc>
        <w:tc>
          <w:tcPr>
            <w:tcW w:w="0" w:type="auto"/>
            <w:shd w:val="clear" w:color="auto" w:fill="auto"/>
          </w:tcPr>
          <w:p w14:paraId="6EF552D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OR = 1.79 (95% CI: 0.80–3.99)</w:t>
            </w:r>
          </w:p>
        </w:tc>
        <w:tc>
          <w:tcPr>
            <w:tcW w:w="0" w:type="auto"/>
            <w:shd w:val="clear" w:color="auto" w:fill="auto"/>
          </w:tcPr>
          <w:p w14:paraId="639B629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5D0BBDB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51%</w:t>
            </w:r>
          </w:p>
        </w:tc>
        <w:tc>
          <w:tcPr>
            <w:tcW w:w="0" w:type="auto"/>
            <w:shd w:val="clear" w:color="auto" w:fill="auto"/>
          </w:tcPr>
          <w:p w14:paraId="2A957A8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Very Low</w:t>
            </w:r>
          </w:p>
        </w:tc>
        <w:tc>
          <w:tcPr>
            <w:tcW w:w="0" w:type="auto"/>
            <w:shd w:val="clear" w:color="auto" w:fill="auto"/>
          </w:tcPr>
          <w:p w14:paraId="164C311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NS</w:t>
            </w:r>
          </w:p>
        </w:tc>
        <w:tc>
          <w:tcPr>
            <w:tcW w:w="0" w:type="auto"/>
            <w:shd w:val="clear" w:color="auto" w:fill="auto"/>
          </w:tcPr>
          <w:p w14:paraId="2CFE11FA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Pairwise estimate retained for primary reporting. Atzenhoffer 2025 was retained as the anchor review for pregabalin and major congenital anomalies.</w:t>
            </w:r>
          </w:p>
        </w:tc>
      </w:tr>
      <w:tr w14:paraId="38522FFE">
        <w:trPr>
          <w:cantSplit/>
        </w:trPr>
        <w:tc>
          <w:tcPr>
            <w:tcW w:w="0" w:type="auto"/>
            <w:shd w:val="clear" w:color="auto" w:fill="auto"/>
          </w:tcPr>
          <w:p w14:paraId="7A0FECE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Multiple ASMs (network)</w:t>
            </w:r>
          </w:p>
        </w:tc>
        <w:tc>
          <w:tcPr>
            <w:tcW w:w="0" w:type="auto"/>
            <w:shd w:val="clear" w:color="auto" w:fill="auto"/>
          </w:tcPr>
          <w:p w14:paraId="78B7472D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Structural anomalies and related pregnancy outcomes (indirect comparisons)</w:t>
            </w:r>
          </w:p>
        </w:tc>
        <w:tc>
          <w:tcPr>
            <w:tcW w:w="0" w:type="auto"/>
            <w:shd w:val="clear" w:color="auto" w:fill="auto"/>
          </w:tcPr>
          <w:p w14:paraId="51F84D3B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Other nodes as defined in the network (reference treatment varies by contrast)</w:t>
            </w:r>
          </w:p>
        </w:tc>
        <w:tc>
          <w:tcPr>
            <w:tcW w:w="0" w:type="auto"/>
            <w:shd w:val="clear" w:color="auto" w:fill="auto"/>
          </w:tcPr>
          <w:p w14:paraId="5666F088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auto"/>
          </w:tcPr>
          <w:p w14:paraId="1D688D93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Network meta-analysis (Bayesian)</w:t>
            </w:r>
          </w:p>
        </w:tc>
        <w:tc>
          <w:tcPr>
            <w:tcW w:w="0" w:type="auto"/>
            <w:shd w:val="clear" w:color="auto" w:fill="auto"/>
          </w:tcPr>
          <w:p w14:paraId="3FC75811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Multiple relative effects with 95% CrIs (see source review)</w:t>
            </w:r>
          </w:p>
        </w:tc>
        <w:tc>
          <w:tcPr>
            <w:tcW w:w="0" w:type="auto"/>
            <w:shd w:val="clear" w:color="auto" w:fill="auto"/>
          </w:tcPr>
          <w:p w14:paraId="5C259E6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14:paraId="57672EDA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NR</w:t>
            </w:r>
          </w:p>
        </w:tc>
        <w:tc>
          <w:tcPr>
            <w:tcW w:w="0" w:type="auto"/>
            <w:shd w:val="clear" w:color="auto" w:fill="auto"/>
          </w:tcPr>
          <w:p w14:paraId="53D1345F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Very Low</w:t>
            </w:r>
          </w:p>
        </w:tc>
        <w:tc>
          <w:tcPr>
            <w:tcW w:w="0" w:type="auto"/>
            <w:shd w:val="clear" w:color="auto" w:fill="auto"/>
          </w:tcPr>
          <w:p w14:paraId="4A659C35">
            <w:pPr>
              <w:spacing w:after="0" w:line="240" w:lineRule="auto"/>
              <w:ind w:left="0" w:leftChars="0" w:right="0" w:rightChars="0" w:firstLine="0" w:firstLineChars="0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auto"/>
          </w:tcPr>
          <w:p w14:paraId="15B9CE6D">
            <w:pPr>
              <w:spacing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</w:rPr>
              <w:t>The Bayesian network meta-analysis was retained as contextual evidence and was not included in the formal pairwise anchor-level umbrella-credibility appraisal.</w:t>
            </w:r>
          </w:p>
        </w:tc>
      </w:tr>
    </w:tbl>
    <w:p w14:paraId="66F5E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Column guide. “Retained anchor review (primary quantitative source)” names the prespecified primary quantitative source for each retained pairwise row (not applicable to contextual NMA rows). For structural rows, a higher umbrella tier was assigned only when all criteria required for that tier could be directly verified from the retained anchor review or reconstructable diagnostics (including replication-size events, heterogeneity, prediction interval, and small-study / excess-significance signals where applicable); otherwise, statistically significant associations were classified conservatively at a lower tier—hence, for example, extreme pooled p-values alone do not imply Class I, II, or III evidence when outcome-event totals or other prespecified gate criteria, including excess-significance assessment where required, are not directly verifiable from the retained anchor review or reconstructable diagnostics. Notes 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</w:rPr>
        <w:t>summarize anchor selection and contextual NMA. Directional credibility classes I–IV and NS status follow the prespecified umbrella-credibility framework described in the Methods. Class I — convincing; II — highly suggestive; III — suggestive; IV — weak; NS — not statistically significant: a formally appraised anchor estimate whose 95% confidence interval included the null and which was therefore not assigned a directional credibility class (see Umbrella credibility note below).</w:t>
      </w:r>
    </w:p>
    <w:p w14:paraId="64172A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  <w:t>Scope (structural domain). The 11 retained pairwise structural anchors align with Figure 2; the contextual network meta-analysis is presented separately for context. Columns include comparator, retained anchor review (primary quantitative source), effect estimate (95% CI), k, I², GRADE, umbrella credibility, and Notes (anchor selection vs overlapping reviews, contextual NMA). Pairwise anchors: Yang 2025 (VPA outcomes); Pariente 2017 (LTG major congenital anomalies); Zhao 2025 (LTG orofacial clefts); Athar 2022 (OXC); Alsaad 2015 (TPM oral clefts); Atzenhoffer 2025 (PGB). Veroniki 2017a is contextual NMA only (not a retained pairwise anchor). Directional credibility classes I–IV and NS status follow the prespecified umbrella-credibility framework described in the Methods.</w:t>
      </w:r>
    </w:p>
    <w:p w14:paraId="6DA34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  <w:t>Directional credibility classes I–IV and NS status. Class I (convincing): p &lt; 10⁻⁶; &gt;1000 outcome events in the comparison (for continuous outcomes, &gt;20,000 participants instead of the event threshold); largest contributing study significant at α = 0.05; I² &lt; 50%; 95% prediction interval excludes the null; no small-study effects; no excess significance. Class II (highly suggestive): p &lt; 10⁻⁶; &gt;1000 events (or &gt;20,000 participants for continuous outcomes); largest study significant. Class III (suggestive): p &lt; 0.001; &gt;1000 events (or &gt;20,000 participants for continuous outcomes). Class IV (weak): p &lt; 0.05. NS denotes a formally appraised anchor estimate whose 95% confidence interval included the null and which was therefore not assigned a directional credibility class. When the event count (or, for continuous outcomes, participant count) required for Classes I–III cannot be verified from the retained meta-analytic row, statistically significant associations are classified conservatively as Class IV; anchors whose 95% confidence intervals include the null receive NS status.</w:t>
      </w:r>
    </w:p>
    <w:p w14:paraId="6DA34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i w:val="0"/>
          <w:iCs/>
          <w:sz w:val="21"/>
          <w:szCs w:val="21"/>
        </w:rPr>
        <w:t>Umbrella credibility. Directional credibility classes I–IV apply to formally appraised anchor estimates whose 95% confidence intervals excluded the null. NS denotes a formally appraised anchor estimate whose 95% confidence interval included the null and which was therefore not assigned a directional credibility class. A dash indicates that an estimate was not included in the formal anchor-level umbrella-credibility appraisal. NS and a dash should not be interpreted as evidence of equivalence, absence of association, or absence of clinically meaningful risk.</w:t>
      </w:r>
    </w:p>
    <w:p w14:paraId="2814F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sz w:val="21"/>
          <w:szCs w:val="21"/>
        </w:rPr>
        <w:t>Dose-related evidence. Dose-stratified evidence was sought where reported by included structural reviews. Because dose thresholds, exposure windows, comparator definitions, and outcome-specific reporting were not consistently harmonized across the eligible structural reviews, dose-related evidence was summarized descriptively and was not used to generate umbrella-level dose–response pooled estimates. Retained structural estimates should therefore be interpreted as exposure-level associations unless a source review explicitly reported a dose-stratified estimate. Terminology note: The term “major congenital malformations” is retained only when it reflects source-review terminology; the preferred manuscript term is “major congenital anomalies.”</w:t>
      </w:r>
    </w:p>
    <w:p w14:paraId="2814F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sz w:val="21"/>
          <w:szCs w:val="21"/>
        </w:rPr>
        <w:t xml:space="preserve">General notes (anchor-specific methodological detail). Valproate combined major congenital anomalies (Yang 2025): Class I (convincing) credibility was assigned because the retained estimate met p &lt; 10⁻⁶; more than 1,000 outcome events were reconstructed from study-level counts reported in Yang 2025; the largest contributing study was independently significant; heterogeneity was below 50%; the reconstructed 95% prediction interval excluded the null; and neither small-study effects nor excess significance were evident (observed vs. expected significant studies: O = 10, E = 11.52, based on the power of the largest contributing study). Topiramate oral clefts (Alsaad 2015): Class III (suggestive) credibility was assigned because the retained estimate met p &lt; 0.001 and included more than 1,000 outcome events (4,873 oral-cleft events reconstructed from the six 2×2 study tables in Alsaad 2015, Table 2). Dose-specific topiramate estimates were not retained as separate umbrella anchors because dose-stratified review-level estimates were not consistently available in a form suitable for cross-review dose–response synthesis; the retained estimate should be interpreted as a first-trimester exposure-level association rather than a dose-specific risk estimate.</w:t>
      </w:r>
    </w:p>
    <w:p w14:paraId="398509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hint="default" w:ascii="Times New Roman" w:hAnsi="Times New Roman" w:cs="Times New Roman"/>
          <w:b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sz w:val="21"/>
          <w:szCs w:val="21"/>
          <w:lang w:val="en-US" w:eastAsia="zh-CN"/>
        </w:rPr>
        <w:t>Abbreviations: ASM, antiseizure medication; VPA, valproate; LTG, lamotrigine; OXC, oxcarbazepine; TPM, topiramate; PGB, pregabalin; NMA, network meta-analysis; NR, not reported; NS, not statistically significant: a formally appraised anchor estimate whose 95% confidence interval included the null and which was therefore not assigned a directional credibility class; CrI, credible interval; CI, confidence interval; OR, odds ratio; RR, risk ratio.</w:t>
      </w:r>
    </w:p>
    <w:p w14:paraId="678578B0">
      <w:pPr>
        <w:rPr>
          <w:rFonts w:hint="default" w:ascii="Times New Roman Regular" w:hAnsi="Times New Roman Regular" w:cs="Times New Roman Regular"/>
          <w:i/>
          <w:sz w:val="14"/>
        </w:rPr>
      </w:pPr>
    </w:p>
    <w:sectPr>
      <w:pgSz w:w="16838" w:h="11906"/>
      <w:pgMar w:top="567" w:right="397" w:bottom="567" w:left="3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DFFD932"/>
    <w:rsid w:val="7F3F5118"/>
    <w:rsid w:val="7F98C559"/>
    <w:rsid w:val="99FE5A84"/>
    <w:rsid w:val="B7F7B785"/>
    <w:rsid w:val="FF2A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?>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Yulong Li</cp:lastModifiedBy>
  <dcterms:modified xsi:type="dcterms:W3CDTF">2026-06-22T23:28:40Z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73D49EE4D7D644F54659D269A31A1FD1_42</vt:lpwstr>
  </property>
</Properties>
</file>