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AA128">
      <w:pPr>
        <w:keepNext w:val="0"/>
        <w:keepLines w:val="0"/>
        <w:pageBreakBefore w:val="0"/>
        <w:widowControl/>
        <w:shd w:val="clear"/>
        <w:kinsoku/>
        <w:wordWrap/>
        <w:overflowPunct/>
        <w:topLinePunct w:val="0"/>
        <w:autoSpaceDE/>
        <w:autoSpaceDN/>
        <w:bidi w:val="0"/>
        <w:adjustRightInd/>
        <w:snapToGrid/>
        <w:spacing w:before="0" w:after="361" w:afterLines="100" w:line="240" w:lineRule="auto"/>
        <w:jc w:val="center"/>
        <w:textAlignment w:val="auto"/>
        <w:rPr>
          <w:rFonts w:hint="default" w:ascii="Times New Roman" w:hAnsi="Times New Roman" w:cs="Times New Roman"/>
          <w:b/>
          <w:bCs w:val="0"/>
          <w:sz w:val="48"/>
          <w:szCs w:val="48"/>
        </w:rPr>
      </w:pPr>
      <w:r>
        <w:rPr>
          <w:rFonts w:ascii="Times New Roman" w:hAnsi="Times New Roman" w:eastAsia="Times New Roman" w:cs="Times New Roman"/>
          <w:b/>
          <w:sz w:val="32"/>
          <w:szCs w:val="40"/>
        </w:rPr>
        <w:t>Supplementary Table 5. Formally retained anchor and selected supporting and contextual estimates for neurodevelopmental outcomes</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54" w:type="dxa"/>
          <w:left w:w="54" w:type="dxa"/>
          <w:bottom w:w="54" w:type="dxa"/>
          <w:right w:w="54" w:type="dxa"/>
        </w:tblCellMar>
      </w:tblPr>
      <w:tblGrid>
        <w:gridCol w:w="2417"/>
        <w:gridCol w:w="1884"/>
        <w:gridCol w:w="2468"/>
        <w:gridCol w:w="1615"/>
        <w:gridCol w:w="1432"/>
        <w:gridCol w:w="1478"/>
        <w:gridCol w:w="1419"/>
        <w:gridCol w:w="1223"/>
        <w:gridCol w:w="1446"/>
        <w:gridCol w:w="552"/>
        <w:gridCol w:w="953"/>
        <w:gridCol w:w="1113"/>
        <w:gridCol w:w="1528"/>
        <w:gridCol w:w="3248"/>
      </w:tblGrid>
      <w:tr w14:paraId="03F83A99">
        <w:trPr>
          <w:cantSplit/>
          <w:tblHeader/>
          <w:jc w:val="center"/>
        </w:trPr>
        <w:tc>
          <w:tcPr>
            <w:tcW w:w="530" w:type="pct"/>
            <w:shd w:val="clear" w:color="auto" w:fill="auto"/>
            <w:vAlign w:val="top"/>
          </w:tcPr>
          <w:p w14:paraId="6E5BDFF6">
            <w:pPr>
              <w:spacing w:before="0" w:after="0" w:line="240" w:lineRule="auto"/>
              <w:jc w:val="center"/>
              <w:rPr>
                <w:sz w:val="18"/>
                <w:szCs w:val="18"/>
              </w:rPr>
            </w:pPr>
            <w:r>
              <w:rPr>
                <w:rFonts w:ascii="Times New Roman" w:hAnsi="Times New Roman" w:eastAsia="Times New Roman" w:cs="Times New Roman"/>
                <w:b/>
                <w:sz w:val="18"/>
                <w:szCs w:val="18"/>
              </w:rPr>
              <w:t>Domain</w:t>
            </w:r>
          </w:p>
        </w:tc>
        <w:tc>
          <w:tcPr>
            <w:tcW w:w="413" w:type="pct"/>
            <w:shd w:val="clear" w:color="auto" w:fill="auto"/>
            <w:vAlign w:val="top"/>
          </w:tcPr>
          <w:p w14:paraId="05889404">
            <w:pPr>
              <w:spacing w:before="0" w:after="0" w:line="240" w:lineRule="auto"/>
              <w:jc w:val="center"/>
              <w:rPr>
                <w:sz w:val="18"/>
                <w:szCs w:val="18"/>
              </w:rPr>
            </w:pPr>
            <w:r>
              <w:rPr>
                <w:rFonts w:ascii="Times New Roman" w:hAnsi="Times New Roman" w:eastAsia="Times New Roman" w:cs="Times New Roman"/>
                <w:b/>
                <w:sz w:val="18"/>
                <w:szCs w:val="18"/>
              </w:rPr>
              <w:t>Exposure</w:t>
            </w:r>
          </w:p>
        </w:tc>
        <w:tc>
          <w:tcPr>
            <w:tcW w:w="541" w:type="pct"/>
            <w:shd w:val="clear" w:color="auto" w:fill="auto"/>
            <w:vAlign w:val="top"/>
          </w:tcPr>
          <w:p w14:paraId="0DA79D9E">
            <w:pPr>
              <w:spacing w:before="0" w:after="0" w:line="240" w:lineRule="auto"/>
              <w:jc w:val="center"/>
              <w:rPr>
                <w:sz w:val="18"/>
                <w:szCs w:val="18"/>
              </w:rPr>
            </w:pPr>
            <w:r>
              <w:rPr>
                <w:rFonts w:ascii="Times New Roman" w:hAnsi="Times New Roman" w:eastAsia="Times New Roman" w:cs="Times New Roman"/>
                <w:b/>
                <w:sz w:val="18"/>
                <w:szCs w:val="18"/>
              </w:rPr>
              <w:t>Outcome</w:t>
            </w:r>
          </w:p>
        </w:tc>
        <w:tc>
          <w:tcPr>
            <w:tcW w:w="354" w:type="pct"/>
            <w:shd w:val="clear" w:color="auto" w:fill="auto"/>
            <w:vAlign w:val="top"/>
          </w:tcPr>
          <w:p w14:paraId="5FC36B92">
            <w:pPr>
              <w:spacing w:before="0" w:after="0" w:line="240" w:lineRule="auto"/>
              <w:jc w:val="center"/>
              <w:rPr>
                <w:sz w:val="18"/>
                <w:szCs w:val="18"/>
              </w:rPr>
            </w:pPr>
            <w:r>
              <w:rPr>
                <w:rFonts w:ascii="Times New Roman" w:hAnsi="Times New Roman" w:eastAsia="Times New Roman" w:cs="Times New Roman"/>
                <w:b/>
                <w:sz w:val="18"/>
                <w:szCs w:val="18"/>
              </w:rPr>
              <w:t>Comparator</w:t>
            </w:r>
          </w:p>
        </w:tc>
        <w:tc>
          <w:tcPr>
            <w:tcW w:w="314" w:type="pct"/>
            <w:shd w:val="clear" w:color="auto" w:fill="auto"/>
            <w:vAlign w:val="top"/>
          </w:tcPr>
          <w:p w14:paraId="0285D41A">
            <w:pPr>
              <w:spacing w:before="0" w:after="0" w:line="240" w:lineRule="auto"/>
              <w:jc w:val="center"/>
              <w:rPr>
                <w:sz w:val="18"/>
                <w:szCs w:val="18"/>
              </w:rPr>
            </w:pPr>
            <w:r>
              <w:rPr>
                <w:rFonts w:ascii="Times New Roman" w:hAnsi="Times New Roman" w:eastAsia="Times New Roman" w:cs="Times New Roman"/>
                <w:b/>
                <w:sz w:val="18"/>
                <w:szCs w:val="18"/>
              </w:rPr>
              <w:t>Category</w:t>
            </w:r>
          </w:p>
        </w:tc>
        <w:tc>
          <w:tcPr>
            <w:tcW w:w="324" w:type="pct"/>
            <w:shd w:val="clear" w:color="auto" w:fill="auto"/>
            <w:vAlign w:val="top"/>
          </w:tcPr>
          <w:p w14:paraId="665417B4">
            <w:pPr>
              <w:spacing w:before="0" w:after="0" w:line="240" w:lineRule="auto"/>
              <w:jc w:val="center"/>
              <w:rPr>
                <w:sz w:val="18"/>
                <w:szCs w:val="18"/>
              </w:rPr>
            </w:pPr>
            <w:r>
              <w:rPr>
                <w:rFonts w:ascii="Times New Roman" w:hAnsi="Times New Roman" w:eastAsia="Times New Roman" w:cs="Times New Roman"/>
                <w:b/>
                <w:sz w:val="18"/>
                <w:szCs w:val="18"/>
              </w:rPr>
              <w:t>Source review</w:t>
            </w:r>
          </w:p>
        </w:tc>
        <w:tc>
          <w:tcPr>
            <w:tcW w:w="311" w:type="pct"/>
            <w:shd w:val="clear" w:color="auto" w:fill="auto"/>
            <w:vAlign w:val="top"/>
          </w:tcPr>
          <w:p w14:paraId="6185E77B">
            <w:pPr>
              <w:spacing w:before="0" w:after="0" w:line="240" w:lineRule="auto"/>
              <w:jc w:val="center"/>
              <w:rPr>
                <w:sz w:val="18"/>
                <w:szCs w:val="18"/>
              </w:rPr>
            </w:pPr>
            <w:r>
              <w:rPr>
                <w:rFonts w:ascii="Times New Roman" w:hAnsi="Times New Roman" w:eastAsia="Times New Roman" w:cs="Times New Roman"/>
                <w:b/>
                <w:sz w:val="18"/>
                <w:szCs w:val="18"/>
              </w:rPr>
              <w:t>Review type</w:t>
            </w:r>
          </w:p>
        </w:tc>
        <w:tc>
          <w:tcPr>
            <w:tcW w:w="268" w:type="pct"/>
            <w:shd w:val="clear" w:color="auto" w:fill="auto"/>
            <w:vAlign w:val="top"/>
          </w:tcPr>
          <w:p w14:paraId="5A4FA6AE">
            <w:pPr>
              <w:spacing w:before="0" w:after="0" w:line="240" w:lineRule="auto"/>
              <w:jc w:val="center"/>
              <w:rPr>
                <w:sz w:val="18"/>
                <w:szCs w:val="18"/>
              </w:rPr>
            </w:pPr>
            <w:r>
              <w:rPr>
                <w:rFonts w:ascii="Times New Roman" w:hAnsi="Times New Roman" w:eastAsia="Times New Roman" w:cs="Times New Roman"/>
                <w:b/>
                <w:sz w:val="18"/>
                <w:szCs w:val="18"/>
              </w:rPr>
              <w:t>Metric</w:t>
            </w:r>
          </w:p>
        </w:tc>
        <w:tc>
          <w:tcPr>
            <w:tcW w:w="317" w:type="pct"/>
            <w:shd w:val="clear" w:color="auto" w:fill="auto"/>
            <w:vAlign w:val="top"/>
          </w:tcPr>
          <w:p w14:paraId="6EF6F200">
            <w:pPr>
              <w:spacing w:before="0" w:after="0" w:line="240" w:lineRule="auto"/>
              <w:jc w:val="center"/>
              <w:rPr>
                <w:sz w:val="18"/>
                <w:szCs w:val="18"/>
              </w:rPr>
            </w:pPr>
            <w:r>
              <w:rPr>
                <w:rFonts w:ascii="Times New Roman" w:hAnsi="Times New Roman" w:eastAsia="Times New Roman" w:cs="Times New Roman"/>
                <w:b/>
                <w:sz w:val="18"/>
                <w:szCs w:val="18"/>
              </w:rPr>
              <w:t>Estimate (95% CI)</w:t>
            </w:r>
          </w:p>
        </w:tc>
        <w:tc>
          <w:tcPr>
            <w:tcW w:w="121" w:type="pct"/>
            <w:shd w:val="clear" w:color="auto" w:fill="auto"/>
            <w:vAlign w:val="top"/>
          </w:tcPr>
          <w:p w14:paraId="3174C8F9">
            <w:pPr>
              <w:spacing w:before="0" w:after="0" w:line="240" w:lineRule="auto"/>
              <w:jc w:val="center"/>
              <w:rPr>
                <w:sz w:val="18"/>
                <w:szCs w:val="18"/>
              </w:rPr>
            </w:pPr>
            <w:r>
              <w:rPr>
                <w:rFonts w:ascii="Times New Roman" w:hAnsi="Times New Roman" w:eastAsia="Times New Roman" w:cs="Times New Roman"/>
                <w:b/>
                <w:sz w:val="18"/>
                <w:szCs w:val="18"/>
              </w:rPr>
              <w:t>k</w:t>
            </w:r>
          </w:p>
        </w:tc>
        <w:tc>
          <w:tcPr>
            <w:tcW w:w="209" w:type="pct"/>
            <w:shd w:val="clear" w:color="auto" w:fill="auto"/>
            <w:vAlign w:val="top"/>
          </w:tcPr>
          <w:p w14:paraId="12EB8907">
            <w:pPr>
              <w:spacing w:before="0" w:after="0" w:line="240" w:lineRule="auto"/>
              <w:jc w:val="center"/>
              <w:rPr>
                <w:sz w:val="18"/>
                <w:szCs w:val="18"/>
              </w:rPr>
            </w:pPr>
            <w:r>
              <w:rPr>
                <w:rFonts w:ascii="Times New Roman" w:hAnsi="Times New Roman" w:eastAsia="Times New Roman" w:cs="Times New Roman"/>
                <w:b/>
                <w:sz w:val="18"/>
                <w:szCs w:val="18"/>
              </w:rPr>
              <w:t>I²</w:t>
            </w:r>
          </w:p>
        </w:tc>
        <w:tc>
          <w:tcPr>
            <w:tcW w:w="244" w:type="pct"/>
            <w:shd w:val="clear" w:color="auto" w:fill="auto"/>
            <w:vAlign w:val="top"/>
          </w:tcPr>
          <w:p w14:paraId="142B353B">
            <w:pPr>
              <w:spacing w:before="0" w:after="0" w:line="240" w:lineRule="auto"/>
              <w:jc w:val="center"/>
              <w:rPr>
                <w:sz w:val="18"/>
                <w:szCs w:val="18"/>
              </w:rPr>
            </w:pPr>
            <w:r>
              <w:rPr>
                <w:rFonts w:ascii="Times New Roman" w:hAnsi="Times New Roman" w:eastAsia="Times New Roman" w:cs="Times New Roman"/>
                <w:b/>
                <w:sz w:val="18"/>
                <w:szCs w:val="18"/>
              </w:rPr>
              <w:t>GRADE</w:t>
            </w:r>
          </w:p>
        </w:tc>
        <w:tc>
          <w:tcPr>
            <w:tcW w:w="335" w:type="pct"/>
            <w:shd w:val="clear" w:color="auto" w:fill="auto"/>
            <w:vAlign w:val="top"/>
          </w:tcPr>
          <w:p w14:paraId="4A33DB17">
            <w:pPr>
              <w:spacing w:before="0" w:after="0" w:line="240" w:lineRule="auto"/>
              <w:jc w:val="center"/>
              <w:rPr>
                <w:sz w:val="18"/>
                <w:szCs w:val="18"/>
              </w:rPr>
            </w:pPr>
            <w:r>
              <w:rPr>
                <w:rFonts w:ascii="Times New Roman" w:hAnsi="Times New Roman" w:eastAsia="Times New Roman" w:cs="Times New Roman"/>
                <w:b/>
                <w:sz w:val="18"/>
                <w:szCs w:val="18"/>
              </w:rPr>
              <w:t>Umbrella credibility</w:t>
            </w:r>
          </w:p>
        </w:tc>
        <w:tc>
          <w:tcPr>
            <w:tcW w:w="712" w:type="pct"/>
            <w:shd w:val="clear" w:color="auto" w:fill="auto"/>
            <w:vAlign w:val="top"/>
          </w:tcPr>
          <w:p w14:paraId="4AF69F3E">
            <w:pPr>
              <w:spacing w:before="0" w:after="0" w:line="240" w:lineRule="auto"/>
              <w:jc w:val="center"/>
              <w:rPr>
                <w:sz w:val="18"/>
                <w:szCs w:val="18"/>
              </w:rPr>
            </w:pPr>
            <w:r>
              <w:rPr>
                <w:rFonts w:ascii="Times New Roman" w:hAnsi="Times New Roman" w:eastAsia="Times New Roman" w:cs="Times New Roman"/>
                <w:b/>
                <w:sz w:val="18"/>
                <w:szCs w:val="18"/>
              </w:rPr>
              <w:t>Notes</w:t>
            </w:r>
          </w:p>
        </w:tc>
      </w:tr>
      <w:tr w14:paraId="01EE45BA">
        <w:trPr>
          <w:cantSplit/>
          <w:jc w:val="center"/>
        </w:trPr>
        <w:tc>
          <w:tcPr>
            <w:tcW w:w="530" w:type="pct"/>
            <w:shd w:val="clear" w:color="auto" w:fill="auto"/>
            <w:vAlign w:val="top"/>
          </w:tcPr>
          <w:p w14:paraId="5935B94C">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Neurodevelopmental</w:t>
            </w:r>
          </w:p>
        </w:tc>
        <w:tc>
          <w:tcPr>
            <w:tcW w:w="413" w:type="pct"/>
            <w:shd w:val="clear" w:color="auto" w:fill="auto"/>
            <w:vAlign w:val="top"/>
          </w:tcPr>
          <w:p w14:paraId="4B64C548">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Valproate</w:t>
            </w:r>
          </w:p>
        </w:tc>
        <w:tc>
          <w:tcPr>
            <w:tcW w:w="541" w:type="pct"/>
            <w:shd w:val="clear" w:color="auto" w:fill="auto"/>
            <w:vAlign w:val="top"/>
          </w:tcPr>
          <w:p w14:paraId="77505A29">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Autism spectrum disorder</w:t>
            </w:r>
          </w:p>
        </w:tc>
        <w:tc>
          <w:tcPr>
            <w:tcW w:w="354" w:type="pct"/>
            <w:shd w:val="clear" w:color="auto" w:fill="auto"/>
            <w:vAlign w:val="top"/>
          </w:tcPr>
          <w:p w14:paraId="258A17E3">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Unexposed</w:t>
            </w:r>
          </w:p>
        </w:tc>
        <w:tc>
          <w:tcPr>
            <w:tcW w:w="314" w:type="pct"/>
            <w:shd w:val="clear" w:color="auto" w:fill="auto"/>
            <w:vAlign w:val="top"/>
          </w:tcPr>
          <w:p w14:paraId="26B386DE">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Anchor</w:t>
            </w:r>
          </w:p>
        </w:tc>
        <w:tc>
          <w:tcPr>
            <w:tcW w:w="324" w:type="pct"/>
            <w:shd w:val="clear" w:color="auto" w:fill="auto"/>
            <w:vAlign w:val="top"/>
          </w:tcPr>
          <w:p w14:paraId="219C52B9">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Andrade 2025</w:t>
            </w:r>
          </w:p>
        </w:tc>
        <w:tc>
          <w:tcPr>
            <w:tcW w:w="311" w:type="pct"/>
            <w:shd w:val="clear" w:color="auto" w:fill="auto"/>
            <w:vAlign w:val="top"/>
          </w:tcPr>
          <w:p w14:paraId="45CB56F9">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Pairwise meta-analysis</w:t>
            </w:r>
          </w:p>
        </w:tc>
        <w:tc>
          <w:tcPr>
            <w:tcW w:w="268" w:type="pct"/>
            <w:shd w:val="clear" w:color="auto" w:fill="auto"/>
            <w:vAlign w:val="top"/>
          </w:tcPr>
          <w:p w14:paraId="2ABC037D">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aHR</w:t>
            </w:r>
          </w:p>
        </w:tc>
        <w:tc>
          <w:tcPr>
            <w:tcW w:w="317" w:type="pct"/>
            <w:shd w:val="clear" w:color="auto" w:fill="auto"/>
            <w:vAlign w:val="top"/>
          </w:tcPr>
          <w:p w14:paraId="5AE1EAA9">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aHR = 3.10 (95% CI: 2.24–4.28)</w:t>
            </w:r>
          </w:p>
        </w:tc>
        <w:tc>
          <w:tcPr>
            <w:tcW w:w="121" w:type="pct"/>
            <w:shd w:val="clear" w:color="auto" w:fill="auto"/>
            <w:vAlign w:val="top"/>
          </w:tcPr>
          <w:p w14:paraId="62628F61">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4</w:t>
            </w:r>
          </w:p>
        </w:tc>
        <w:tc>
          <w:tcPr>
            <w:tcW w:w="209" w:type="pct"/>
            <w:shd w:val="clear" w:color="auto" w:fill="auto"/>
            <w:vAlign w:val="top"/>
          </w:tcPr>
          <w:p w14:paraId="720C7347">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40%</w:t>
            </w:r>
          </w:p>
        </w:tc>
        <w:tc>
          <w:tcPr>
            <w:tcW w:w="244" w:type="pct"/>
            <w:shd w:val="clear" w:color="auto" w:fill="auto"/>
            <w:vAlign w:val="top"/>
          </w:tcPr>
          <w:p w14:paraId="23D71633">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Low</w:t>
            </w:r>
          </w:p>
        </w:tc>
        <w:tc>
          <w:tcPr>
            <w:tcW w:w="335" w:type="pct"/>
            <w:shd w:val="clear" w:color="auto" w:fill="auto"/>
            <w:vAlign w:val="top"/>
          </w:tcPr>
          <w:p w14:paraId="1A90681C">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Class II</w:t>
            </w:r>
          </w:p>
        </w:tc>
        <w:tc>
          <w:tcPr>
            <w:tcW w:w="712" w:type="pct"/>
            <w:shd w:val="clear" w:color="auto" w:fill="auto"/>
            <w:vAlign w:val="top"/>
          </w:tcPr>
          <w:p w14:paraId="3F1B5752">
            <w:pPr>
              <w:spacing w:before="0" w:after="0" w:line="240" w:lineRule="auto"/>
              <w:rPr>
                <w:sz w:val="18"/>
                <w:szCs w:val="18"/>
              </w:rPr>
            </w:pPr>
            <w:r>
              <w:rPr>
                <w:rFonts w:ascii="Times New Roman" w:hAnsi="Times New Roman" w:eastAsia="Times New Roman" w:cs="Times New Roman"/>
                <w:b w:val="0"/>
                <w:sz w:val="18"/>
                <w:szCs w:val="18"/>
              </w:rPr>
              <w:t>Primary valproate-specific pairwise anchor. Class II criteria were verified; Class I was not assigned because small-study effects and excess-significance criteria were not formally assessable at k = 4.</w:t>
            </w:r>
          </w:p>
        </w:tc>
      </w:tr>
      <w:tr w14:paraId="6BE6896B">
        <w:trPr>
          <w:cantSplit/>
          <w:jc w:val="center"/>
        </w:trPr>
        <w:tc>
          <w:tcPr>
            <w:tcW w:w="530" w:type="pct"/>
            <w:shd w:val="clear" w:color="auto" w:fill="auto"/>
            <w:vAlign w:val="top"/>
          </w:tcPr>
          <w:p w14:paraId="30D781B6">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Neurodevelopmental</w:t>
            </w:r>
          </w:p>
        </w:tc>
        <w:tc>
          <w:tcPr>
            <w:tcW w:w="413" w:type="pct"/>
            <w:shd w:val="clear" w:color="auto" w:fill="auto"/>
            <w:vAlign w:val="top"/>
          </w:tcPr>
          <w:p w14:paraId="6278E12D">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Valproate</w:t>
            </w:r>
          </w:p>
        </w:tc>
        <w:tc>
          <w:tcPr>
            <w:tcW w:w="541" w:type="pct"/>
            <w:shd w:val="clear" w:color="auto" w:fill="auto"/>
            <w:vAlign w:val="top"/>
          </w:tcPr>
          <w:p w14:paraId="2F2D548B">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Attention-deficit/hyperactivity disorder</w:t>
            </w:r>
          </w:p>
        </w:tc>
        <w:tc>
          <w:tcPr>
            <w:tcW w:w="354" w:type="pct"/>
            <w:shd w:val="clear" w:color="auto" w:fill="auto"/>
            <w:vAlign w:val="top"/>
          </w:tcPr>
          <w:p w14:paraId="48D18E6F">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Unexposed</w:t>
            </w:r>
          </w:p>
        </w:tc>
        <w:tc>
          <w:tcPr>
            <w:tcW w:w="314" w:type="pct"/>
            <w:shd w:val="clear" w:color="auto" w:fill="auto"/>
            <w:vAlign w:val="top"/>
          </w:tcPr>
          <w:p w14:paraId="0C1C3ACE">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Anchor</w:t>
            </w:r>
          </w:p>
        </w:tc>
        <w:tc>
          <w:tcPr>
            <w:tcW w:w="324" w:type="pct"/>
            <w:shd w:val="clear" w:color="auto" w:fill="auto"/>
            <w:vAlign w:val="top"/>
          </w:tcPr>
          <w:p w14:paraId="11D07A4A">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Andrade 2025</w:t>
            </w:r>
          </w:p>
        </w:tc>
        <w:tc>
          <w:tcPr>
            <w:tcW w:w="311" w:type="pct"/>
            <w:shd w:val="clear" w:color="auto" w:fill="auto"/>
            <w:vAlign w:val="top"/>
          </w:tcPr>
          <w:p w14:paraId="44EFCB46">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Pairwise meta-analysis</w:t>
            </w:r>
          </w:p>
        </w:tc>
        <w:tc>
          <w:tcPr>
            <w:tcW w:w="268" w:type="pct"/>
            <w:shd w:val="clear" w:color="auto" w:fill="auto"/>
            <w:vAlign w:val="top"/>
          </w:tcPr>
          <w:p w14:paraId="4EE15B1E">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aHR</w:t>
            </w:r>
          </w:p>
        </w:tc>
        <w:tc>
          <w:tcPr>
            <w:tcW w:w="317" w:type="pct"/>
            <w:shd w:val="clear" w:color="auto" w:fill="auto"/>
            <w:vAlign w:val="top"/>
          </w:tcPr>
          <w:p w14:paraId="48FFFE9B">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aHR = 1.62 (95% CI: 1.30–2.01)</w:t>
            </w:r>
          </w:p>
        </w:tc>
        <w:tc>
          <w:tcPr>
            <w:tcW w:w="121" w:type="pct"/>
            <w:shd w:val="clear" w:color="auto" w:fill="auto"/>
            <w:vAlign w:val="top"/>
          </w:tcPr>
          <w:p w14:paraId="09DD5AC8">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2</w:t>
            </w:r>
          </w:p>
        </w:tc>
        <w:tc>
          <w:tcPr>
            <w:tcW w:w="209" w:type="pct"/>
            <w:shd w:val="clear" w:color="auto" w:fill="auto"/>
            <w:vAlign w:val="top"/>
          </w:tcPr>
          <w:p w14:paraId="728B2488">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59%</w:t>
            </w:r>
          </w:p>
        </w:tc>
        <w:tc>
          <w:tcPr>
            <w:tcW w:w="244" w:type="pct"/>
            <w:shd w:val="clear" w:color="auto" w:fill="auto"/>
            <w:vAlign w:val="top"/>
          </w:tcPr>
          <w:p w14:paraId="5C290366">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Very Low</w:t>
            </w:r>
          </w:p>
        </w:tc>
        <w:tc>
          <w:tcPr>
            <w:tcW w:w="335" w:type="pct"/>
            <w:shd w:val="clear" w:color="auto" w:fill="auto"/>
            <w:vAlign w:val="top"/>
          </w:tcPr>
          <w:p w14:paraId="2E05DAD2">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Class IV</w:t>
            </w:r>
          </w:p>
        </w:tc>
        <w:tc>
          <w:tcPr>
            <w:tcW w:w="712" w:type="pct"/>
            <w:shd w:val="clear" w:color="auto" w:fill="auto"/>
            <w:vAlign w:val="top"/>
          </w:tcPr>
          <w:p w14:paraId="16FBEF73">
            <w:pPr>
              <w:spacing w:before="0" w:after="0" w:line="240" w:lineRule="auto"/>
              <w:rPr>
                <w:sz w:val="18"/>
                <w:szCs w:val="18"/>
              </w:rPr>
            </w:pPr>
            <w:r>
              <w:rPr>
                <w:rFonts w:ascii="Times New Roman" w:hAnsi="Times New Roman" w:eastAsia="Times New Roman" w:cs="Times New Roman"/>
                <w:b w:val="0"/>
                <w:sz w:val="18"/>
                <w:szCs w:val="18"/>
              </w:rPr>
              <w:t>Primary valproate-specific pairwise anchor for ADHD; interpreted cautiously because the estimate was based on two studies and very-low-certainty evidence.</w:t>
            </w:r>
          </w:p>
        </w:tc>
      </w:tr>
      <w:tr w14:paraId="4DFC04DE">
        <w:trPr>
          <w:cantSplit/>
          <w:jc w:val="center"/>
        </w:trPr>
        <w:tc>
          <w:tcPr>
            <w:tcW w:w="530" w:type="pct"/>
            <w:shd w:val="clear" w:color="auto" w:fill="auto"/>
            <w:vAlign w:val="top"/>
          </w:tcPr>
          <w:p w14:paraId="0DEE03FE">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Neurodevelopmental</w:t>
            </w:r>
          </w:p>
        </w:tc>
        <w:tc>
          <w:tcPr>
            <w:tcW w:w="413" w:type="pct"/>
            <w:shd w:val="clear" w:color="auto" w:fill="auto"/>
            <w:vAlign w:val="top"/>
          </w:tcPr>
          <w:p w14:paraId="482BE792">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Any ASM</w:t>
            </w:r>
          </w:p>
        </w:tc>
        <w:tc>
          <w:tcPr>
            <w:tcW w:w="541" w:type="pct"/>
            <w:shd w:val="clear" w:color="auto" w:fill="auto"/>
            <w:vAlign w:val="top"/>
          </w:tcPr>
          <w:p w14:paraId="38C282AB">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Autism spectrum disorder</w:t>
            </w:r>
          </w:p>
        </w:tc>
        <w:tc>
          <w:tcPr>
            <w:tcW w:w="354" w:type="pct"/>
            <w:shd w:val="clear" w:color="auto" w:fill="auto"/>
            <w:vAlign w:val="top"/>
          </w:tcPr>
          <w:p w14:paraId="2EC465AB">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Disease-matched untreated comparators (Xu 2024 primary estimate)</w:t>
            </w:r>
          </w:p>
        </w:tc>
        <w:tc>
          <w:tcPr>
            <w:tcW w:w="314" w:type="pct"/>
            <w:shd w:val="clear" w:color="auto" w:fill="auto"/>
            <w:vAlign w:val="top"/>
          </w:tcPr>
          <w:p w14:paraId="1F565726">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Anchor</w:t>
            </w:r>
          </w:p>
        </w:tc>
        <w:tc>
          <w:tcPr>
            <w:tcW w:w="324" w:type="pct"/>
            <w:shd w:val="clear" w:color="auto" w:fill="auto"/>
            <w:vAlign w:val="top"/>
          </w:tcPr>
          <w:p w14:paraId="0CDE8E9F">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Xu 2024</w:t>
            </w:r>
          </w:p>
        </w:tc>
        <w:tc>
          <w:tcPr>
            <w:tcW w:w="311" w:type="pct"/>
            <w:shd w:val="clear" w:color="auto" w:fill="auto"/>
            <w:vAlign w:val="top"/>
          </w:tcPr>
          <w:p w14:paraId="1AF04E90">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Pairwise meta-analysis</w:t>
            </w:r>
          </w:p>
        </w:tc>
        <w:tc>
          <w:tcPr>
            <w:tcW w:w="268" w:type="pct"/>
            <w:shd w:val="clear" w:color="auto" w:fill="auto"/>
            <w:vAlign w:val="top"/>
          </w:tcPr>
          <w:p w14:paraId="09AB6F5B">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OR</w:t>
            </w:r>
          </w:p>
        </w:tc>
        <w:tc>
          <w:tcPr>
            <w:tcW w:w="317" w:type="pct"/>
            <w:shd w:val="clear" w:color="auto" w:fill="auto"/>
            <w:vAlign w:val="top"/>
          </w:tcPr>
          <w:p w14:paraId="233E9483">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OR = 1.38 (95% CI: 1.11–1.73)</w:t>
            </w:r>
          </w:p>
        </w:tc>
        <w:tc>
          <w:tcPr>
            <w:tcW w:w="121" w:type="pct"/>
            <w:shd w:val="clear" w:color="auto" w:fill="auto"/>
            <w:vAlign w:val="top"/>
          </w:tcPr>
          <w:p w14:paraId="72B88F29">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6</w:t>
            </w:r>
          </w:p>
        </w:tc>
        <w:tc>
          <w:tcPr>
            <w:tcW w:w="209" w:type="pct"/>
            <w:shd w:val="clear" w:color="auto" w:fill="auto"/>
            <w:vAlign w:val="top"/>
          </w:tcPr>
          <w:p w14:paraId="4852CE65">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74.8%</w:t>
            </w:r>
          </w:p>
        </w:tc>
        <w:tc>
          <w:tcPr>
            <w:tcW w:w="244" w:type="pct"/>
            <w:shd w:val="clear" w:color="auto" w:fill="auto"/>
            <w:vAlign w:val="top"/>
          </w:tcPr>
          <w:p w14:paraId="47279FFD">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Very Low</w:t>
            </w:r>
          </w:p>
        </w:tc>
        <w:tc>
          <w:tcPr>
            <w:tcW w:w="335" w:type="pct"/>
            <w:shd w:val="clear" w:color="auto" w:fill="auto"/>
            <w:vAlign w:val="top"/>
          </w:tcPr>
          <w:p w14:paraId="02919FA8">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Class IV</w:t>
            </w:r>
          </w:p>
        </w:tc>
        <w:tc>
          <w:tcPr>
            <w:tcW w:w="712" w:type="pct"/>
            <w:shd w:val="clear" w:color="auto" w:fill="auto"/>
            <w:vAlign w:val="top"/>
          </w:tcPr>
          <w:p w14:paraId="7D125FBC">
            <w:pPr>
              <w:spacing w:before="0" w:after="0" w:line="240" w:lineRule="auto"/>
              <w:rPr>
                <w:sz w:val="18"/>
                <w:szCs w:val="18"/>
              </w:rPr>
            </w:pPr>
            <w:r>
              <w:rPr>
                <w:rFonts w:ascii="Times New Roman" w:hAnsi="Times New Roman" w:eastAsia="Times New Roman" w:cs="Times New Roman"/>
                <w:b w:val="0"/>
                <w:sz w:val="18"/>
                <w:szCs w:val="18"/>
              </w:rPr>
              <w:t>Primary any-ASM anchor using a disease-matched untreated comparator framework. Amaral 2025 was retained as supporting contextual evidence and for overlap assessment.</w:t>
            </w:r>
          </w:p>
        </w:tc>
      </w:tr>
      <w:tr w14:paraId="4B41BD58">
        <w:trPr>
          <w:cantSplit/>
          <w:jc w:val="center"/>
        </w:trPr>
        <w:tc>
          <w:tcPr>
            <w:tcW w:w="530" w:type="pct"/>
            <w:shd w:val="clear" w:color="auto" w:fill="auto"/>
            <w:vAlign w:val="top"/>
          </w:tcPr>
          <w:p w14:paraId="32683AD3">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Neurodevelopmental</w:t>
            </w:r>
          </w:p>
        </w:tc>
        <w:tc>
          <w:tcPr>
            <w:tcW w:w="413" w:type="pct"/>
            <w:shd w:val="clear" w:color="auto" w:fill="auto"/>
            <w:vAlign w:val="top"/>
          </w:tcPr>
          <w:p w14:paraId="166849BE">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Any ASM</w:t>
            </w:r>
          </w:p>
        </w:tc>
        <w:tc>
          <w:tcPr>
            <w:tcW w:w="541" w:type="pct"/>
            <w:shd w:val="clear" w:color="auto" w:fill="auto"/>
            <w:vAlign w:val="top"/>
          </w:tcPr>
          <w:p w14:paraId="3D934762">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Attention-deficit/hyperactivity disorder</w:t>
            </w:r>
          </w:p>
        </w:tc>
        <w:tc>
          <w:tcPr>
            <w:tcW w:w="354" w:type="pct"/>
            <w:shd w:val="clear" w:color="auto" w:fill="auto"/>
            <w:vAlign w:val="top"/>
          </w:tcPr>
          <w:p w14:paraId="3D66BF46">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Disease-matched untreated comparators (Xu 2024 primary estimate)</w:t>
            </w:r>
          </w:p>
        </w:tc>
        <w:tc>
          <w:tcPr>
            <w:tcW w:w="314" w:type="pct"/>
            <w:shd w:val="clear" w:color="auto" w:fill="auto"/>
            <w:vAlign w:val="top"/>
          </w:tcPr>
          <w:p w14:paraId="25F056FE">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Anchor</w:t>
            </w:r>
          </w:p>
        </w:tc>
        <w:tc>
          <w:tcPr>
            <w:tcW w:w="324" w:type="pct"/>
            <w:shd w:val="clear" w:color="auto" w:fill="auto"/>
            <w:vAlign w:val="top"/>
          </w:tcPr>
          <w:p w14:paraId="27132796">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Xu 2024</w:t>
            </w:r>
          </w:p>
        </w:tc>
        <w:tc>
          <w:tcPr>
            <w:tcW w:w="311" w:type="pct"/>
            <w:shd w:val="clear" w:color="auto" w:fill="auto"/>
            <w:vAlign w:val="top"/>
          </w:tcPr>
          <w:p w14:paraId="77881832">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Pairwise meta-analysis</w:t>
            </w:r>
          </w:p>
        </w:tc>
        <w:tc>
          <w:tcPr>
            <w:tcW w:w="268" w:type="pct"/>
            <w:shd w:val="clear" w:color="auto" w:fill="auto"/>
            <w:vAlign w:val="top"/>
          </w:tcPr>
          <w:p w14:paraId="706A7CD7">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OR</w:t>
            </w:r>
          </w:p>
        </w:tc>
        <w:tc>
          <w:tcPr>
            <w:tcW w:w="317" w:type="pct"/>
            <w:shd w:val="clear" w:color="auto" w:fill="auto"/>
            <w:vAlign w:val="top"/>
          </w:tcPr>
          <w:p w14:paraId="0F0A0645">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OR = 1.23 (95% CI: 1.02–1.48)</w:t>
            </w:r>
          </w:p>
        </w:tc>
        <w:tc>
          <w:tcPr>
            <w:tcW w:w="121" w:type="pct"/>
            <w:shd w:val="clear" w:color="auto" w:fill="auto"/>
            <w:vAlign w:val="top"/>
          </w:tcPr>
          <w:p w14:paraId="4EF6EAC2">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4</w:t>
            </w:r>
          </w:p>
        </w:tc>
        <w:tc>
          <w:tcPr>
            <w:tcW w:w="209" w:type="pct"/>
            <w:shd w:val="clear" w:color="auto" w:fill="auto"/>
            <w:vAlign w:val="top"/>
          </w:tcPr>
          <w:p w14:paraId="1D684593">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65.5%</w:t>
            </w:r>
          </w:p>
        </w:tc>
        <w:tc>
          <w:tcPr>
            <w:tcW w:w="244" w:type="pct"/>
            <w:shd w:val="clear" w:color="auto" w:fill="auto"/>
            <w:vAlign w:val="top"/>
          </w:tcPr>
          <w:p w14:paraId="7AC2D2D4">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Very Low</w:t>
            </w:r>
          </w:p>
        </w:tc>
        <w:tc>
          <w:tcPr>
            <w:tcW w:w="335" w:type="pct"/>
            <w:shd w:val="clear" w:color="auto" w:fill="auto"/>
            <w:vAlign w:val="top"/>
          </w:tcPr>
          <w:p w14:paraId="5E41DCB0">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Class IV</w:t>
            </w:r>
          </w:p>
        </w:tc>
        <w:tc>
          <w:tcPr>
            <w:tcW w:w="712" w:type="pct"/>
            <w:shd w:val="clear" w:color="auto" w:fill="auto"/>
            <w:vAlign w:val="top"/>
          </w:tcPr>
          <w:p w14:paraId="01E4CAC2">
            <w:pPr>
              <w:spacing w:before="0" w:after="0" w:line="240" w:lineRule="auto"/>
              <w:rPr>
                <w:sz w:val="18"/>
                <w:szCs w:val="18"/>
              </w:rPr>
            </w:pPr>
            <w:r>
              <w:rPr>
                <w:rFonts w:ascii="Times New Roman" w:hAnsi="Times New Roman" w:eastAsia="Times New Roman" w:cs="Times New Roman"/>
                <w:b w:val="0"/>
                <w:sz w:val="18"/>
                <w:szCs w:val="18"/>
              </w:rPr>
              <w:t>Primary any-ASM anchor using a disease-matched untreated comparator framework; no more specific comparable anchor was available.</w:t>
            </w:r>
          </w:p>
        </w:tc>
      </w:tr>
      <w:tr w14:paraId="3029F735">
        <w:trPr>
          <w:cantSplit/>
          <w:jc w:val="center"/>
        </w:trPr>
        <w:tc>
          <w:tcPr>
            <w:tcW w:w="530" w:type="pct"/>
            <w:shd w:val="clear" w:color="auto" w:fill="auto"/>
            <w:vAlign w:val="top"/>
          </w:tcPr>
          <w:p w14:paraId="1607DC40">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Neurodevelopmental</w:t>
            </w:r>
          </w:p>
        </w:tc>
        <w:tc>
          <w:tcPr>
            <w:tcW w:w="413" w:type="pct"/>
            <w:shd w:val="clear" w:color="auto" w:fill="auto"/>
            <w:vAlign w:val="top"/>
          </w:tcPr>
          <w:p w14:paraId="78759CFA">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Lamotrigine</w:t>
            </w:r>
          </w:p>
        </w:tc>
        <w:tc>
          <w:tcPr>
            <w:tcW w:w="541" w:type="pct"/>
            <w:shd w:val="clear" w:color="auto" w:fill="auto"/>
            <w:vAlign w:val="top"/>
          </w:tcPr>
          <w:p w14:paraId="72805DFD">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Autism spectrum disorder</w:t>
            </w:r>
          </w:p>
        </w:tc>
        <w:tc>
          <w:tcPr>
            <w:tcW w:w="354" w:type="pct"/>
            <w:shd w:val="clear" w:color="auto" w:fill="auto"/>
            <w:vAlign w:val="top"/>
          </w:tcPr>
          <w:p w14:paraId="2FE1C6DF">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Mixed untreated comparators (4 untreated WWE; 1 disease-free control)</w:t>
            </w:r>
          </w:p>
        </w:tc>
        <w:tc>
          <w:tcPr>
            <w:tcW w:w="314" w:type="pct"/>
            <w:shd w:val="clear" w:color="auto" w:fill="auto"/>
            <w:vAlign w:val="top"/>
          </w:tcPr>
          <w:p w14:paraId="1E3D5AA1">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Anchor</w:t>
            </w:r>
          </w:p>
        </w:tc>
        <w:tc>
          <w:tcPr>
            <w:tcW w:w="324" w:type="pct"/>
            <w:shd w:val="clear" w:color="auto" w:fill="auto"/>
            <w:vAlign w:val="top"/>
          </w:tcPr>
          <w:p w14:paraId="15A51AB0">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Peron 2024</w:t>
            </w:r>
          </w:p>
        </w:tc>
        <w:tc>
          <w:tcPr>
            <w:tcW w:w="311" w:type="pct"/>
            <w:shd w:val="clear" w:color="auto" w:fill="auto"/>
            <w:vAlign w:val="top"/>
          </w:tcPr>
          <w:p w14:paraId="50B35660">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Pairwise meta-analysis</w:t>
            </w:r>
          </w:p>
        </w:tc>
        <w:tc>
          <w:tcPr>
            <w:tcW w:w="268" w:type="pct"/>
            <w:shd w:val="clear" w:color="auto" w:fill="auto"/>
            <w:vAlign w:val="top"/>
          </w:tcPr>
          <w:p w14:paraId="5A0C619F">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OR</w:t>
            </w:r>
          </w:p>
        </w:tc>
        <w:tc>
          <w:tcPr>
            <w:tcW w:w="317" w:type="pct"/>
            <w:shd w:val="clear" w:color="auto" w:fill="auto"/>
            <w:vAlign w:val="top"/>
          </w:tcPr>
          <w:p w14:paraId="765F2A0D">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OR = 0.97 (95% CI: 0.61–1.53)</w:t>
            </w:r>
          </w:p>
        </w:tc>
        <w:tc>
          <w:tcPr>
            <w:tcW w:w="121" w:type="pct"/>
            <w:shd w:val="clear" w:color="auto" w:fill="auto"/>
            <w:vAlign w:val="top"/>
          </w:tcPr>
          <w:p w14:paraId="3DCBD69B">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5</w:t>
            </w:r>
          </w:p>
        </w:tc>
        <w:tc>
          <w:tcPr>
            <w:tcW w:w="209" w:type="pct"/>
            <w:shd w:val="clear" w:color="auto" w:fill="auto"/>
            <w:vAlign w:val="top"/>
          </w:tcPr>
          <w:p w14:paraId="547C0B67">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30%</w:t>
            </w:r>
          </w:p>
        </w:tc>
        <w:tc>
          <w:tcPr>
            <w:tcW w:w="244" w:type="pct"/>
            <w:shd w:val="clear" w:color="auto" w:fill="auto"/>
            <w:vAlign w:val="top"/>
          </w:tcPr>
          <w:p w14:paraId="5B6C8C92">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Very Low</w:t>
            </w:r>
          </w:p>
        </w:tc>
        <w:tc>
          <w:tcPr>
            <w:tcW w:w="335" w:type="pct"/>
            <w:shd w:val="clear" w:color="auto" w:fill="auto"/>
            <w:vAlign w:val="top"/>
          </w:tcPr>
          <w:p w14:paraId="1752A2DB">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NS</w:t>
            </w:r>
          </w:p>
        </w:tc>
        <w:tc>
          <w:tcPr>
            <w:tcW w:w="712" w:type="pct"/>
            <w:shd w:val="clear" w:color="auto" w:fill="auto"/>
            <w:vAlign w:val="top"/>
          </w:tcPr>
          <w:p w14:paraId="0B47EE6C">
            <w:pPr>
              <w:spacing w:before="0" w:after="0" w:line="240" w:lineRule="auto"/>
              <w:rPr>
                <w:sz w:val="18"/>
                <w:szCs w:val="18"/>
              </w:rPr>
            </w:pPr>
            <w:r>
              <w:rPr>
                <w:rFonts w:ascii="Times New Roman" w:hAnsi="Times New Roman" w:eastAsia="Times New Roman" w:cs="Times New Roman"/>
                <w:b w:val="0"/>
                <w:sz w:val="18"/>
                <w:szCs w:val="18"/>
              </w:rPr>
              <w:t>The 95% CI spans the null (NS); this should not be interpreted as evidence of no association or absence of clinically meaningful risk.</w:t>
            </w:r>
          </w:p>
        </w:tc>
      </w:tr>
      <w:tr w14:paraId="6D7DB9C6">
        <w:trPr>
          <w:cantSplit/>
          <w:jc w:val="center"/>
        </w:trPr>
        <w:tc>
          <w:tcPr>
            <w:tcW w:w="530" w:type="pct"/>
            <w:shd w:val="clear" w:color="auto" w:fill="auto"/>
            <w:vAlign w:val="top"/>
          </w:tcPr>
          <w:p w14:paraId="678AC432">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Neurodevelopmental</w:t>
            </w:r>
          </w:p>
        </w:tc>
        <w:tc>
          <w:tcPr>
            <w:tcW w:w="413" w:type="pct"/>
            <w:shd w:val="clear" w:color="auto" w:fill="auto"/>
            <w:vAlign w:val="top"/>
          </w:tcPr>
          <w:p w14:paraId="1983D598">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Lamotrigine</w:t>
            </w:r>
          </w:p>
        </w:tc>
        <w:tc>
          <w:tcPr>
            <w:tcW w:w="541" w:type="pct"/>
            <w:shd w:val="clear" w:color="auto" w:fill="auto"/>
            <w:vAlign w:val="top"/>
          </w:tcPr>
          <w:p w14:paraId="79F3EC43">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Attention-deficit/hyperactivity disorder</w:t>
            </w:r>
          </w:p>
        </w:tc>
        <w:tc>
          <w:tcPr>
            <w:tcW w:w="354" w:type="pct"/>
            <w:shd w:val="clear" w:color="auto" w:fill="auto"/>
            <w:vAlign w:val="top"/>
          </w:tcPr>
          <w:p w14:paraId="19C3593C">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Mixed untreated comparators (3 untreated WWE; 1 unspecified untreated control)</w:t>
            </w:r>
          </w:p>
        </w:tc>
        <w:tc>
          <w:tcPr>
            <w:tcW w:w="314" w:type="pct"/>
            <w:shd w:val="clear" w:color="auto" w:fill="auto"/>
            <w:vAlign w:val="top"/>
          </w:tcPr>
          <w:p w14:paraId="366BFB7F">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Anchor</w:t>
            </w:r>
          </w:p>
        </w:tc>
        <w:tc>
          <w:tcPr>
            <w:tcW w:w="324" w:type="pct"/>
            <w:shd w:val="clear" w:color="auto" w:fill="auto"/>
            <w:vAlign w:val="top"/>
          </w:tcPr>
          <w:p w14:paraId="1A25E433">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Peron 2024</w:t>
            </w:r>
          </w:p>
        </w:tc>
        <w:tc>
          <w:tcPr>
            <w:tcW w:w="311" w:type="pct"/>
            <w:shd w:val="clear" w:color="auto" w:fill="auto"/>
            <w:vAlign w:val="top"/>
          </w:tcPr>
          <w:p w14:paraId="50C68464">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Pairwise meta-analysis</w:t>
            </w:r>
          </w:p>
        </w:tc>
        <w:tc>
          <w:tcPr>
            <w:tcW w:w="268" w:type="pct"/>
            <w:shd w:val="clear" w:color="auto" w:fill="auto"/>
            <w:vAlign w:val="top"/>
          </w:tcPr>
          <w:p w14:paraId="7E60E076">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OR</w:t>
            </w:r>
          </w:p>
        </w:tc>
        <w:tc>
          <w:tcPr>
            <w:tcW w:w="317" w:type="pct"/>
            <w:shd w:val="clear" w:color="auto" w:fill="auto"/>
            <w:vAlign w:val="top"/>
          </w:tcPr>
          <w:p w14:paraId="180A42B7">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OR = 1.14 (95% CI: 0.75–1.72)</w:t>
            </w:r>
          </w:p>
        </w:tc>
        <w:tc>
          <w:tcPr>
            <w:tcW w:w="121" w:type="pct"/>
            <w:shd w:val="clear" w:color="auto" w:fill="auto"/>
            <w:vAlign w:val="top"/>
          </w:tcPr>
          <w:p w14:paraId="0516CBD8">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4</w:t>
            </w:r>
          </w:p>
        </w:tc>
        <w:tc>
          <w:tcPr>
            <w:tcW w:w="209" w:type="pct"/>
            <w:shd w:val="clear" w:color="auto" w:fill="auto"/>
            <w:vAlign w:val="top"/>
          </w:tcPr>
          <w:p w14:paraId="75AD024B">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0%</w:t>
            </w:r>
          </w:p>
        </w:tc>
        <w:tc>
          <w:tcPr>
            <w:tcW w:w="244" w:type="pct"/>
            <w:shd w:val="clear" w:color="auto" w:fill="auto"/>
            <w:vAlign w:val="top"/>
          </w:tcPr>
          <w:p w14:paraId="4DA09AEA">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Very Low</w:t>
            </w:r>
          </w:p>
        </w:tc>
        <w:tc>
          <w:tcPr>
            <w:tcW w:w="335" w:type="pct"/>
            <w:shd w:val="clear" w:color="auto" w:fill="auto"/>
            <w:vAlign w:val="top"/>
          </w:tcPr>
          <w:p w14:paraId="4720828E">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NS</w:t>
            </w:r>
          </w:p>
        </w:tc>
        <w:tc>
          <w:tcPr>
            <w:tcW w:w="712" w:type="pct"/>
            <w:shd w:val="clear" w:color="auto" w:fill="auto"/>
            <w:vAlign w:val="top"/>
          </w:tcPr>
          <w:p w14:paraId="77D42F1A">
            <w:pPr>
              <w:spacing w:before="0" w:after="0" w:line="240" w:lineRule="auto"/>
              <w:rPr>
                <w:sz w:val="18"/>
                <w:szCs w:val="18"/>
              </w:rPr>
            </w:pPr>
            <w:r>
              <w:rPr>
                <w:rFonts w:ascii="Times New Roman" w:hAnsi="Times New Roman" w:eastAsia="Times New Roman" w:cs="Times New Roman"/>
                <w:b w:val="0"/>
                <w:sz w:val="18"/>
                <w:szCs w:val="18"/>
              </w:rPr>
              <w:t>The 95% CI spans the null (NS); this should not be interpreted as evidence of no association or absence of clinically meaningful risk.</w:t>
            </w:r>
          </w:p>
        </w:tc>
      </w:tr>
      <w:tr w14:paraId="49127C2B">
        <w:trPr>
          <w:cantSplit/>
          <w:jc w:val="center"/>
        </w:trPr>
        <w:tc>
          <w:tcPr>
            <w:tcW w:w="530" w:type="pct"/>
            <w:shd w:val="clear" w:color="auto" w:fill="auto"/>
            <w:vAlign w:val="top"/>
          </w:tcPr>
          <w:p w14:paraId="2E45D521">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Neurodevelopmental</w:t>
            </w:r>
          </w:p>
        </w:tc>
        <w:tc>
          <w:tcPr>
            <w:tcW w:w="413" w:type="pct"/>
            <w:shd w:val="clear" w:color="auto" w:fill="auto"/>
            <w:vAlign w:val="top"/>
          </w:tcPr>
          <w:p w14:paraId="283604F6">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Carbamazepine</w:t>
            </w:r>
          </w:p>
        </w:tc>
        <w:tc>
          <w:tcPr>
            <w:tcW w:w="541" w:type="pct"/>
            <w:shd w:val="clear" w:color="auto" w:fill="auto"/>
            <w:vAlign w:val="top"/>
          </w:tcPr>
          <w:p w14:paraId="0D6846FB">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Autism spectrum disorder</w:t>
            </w:r>
          </w:p>
        </w:tc>
        <w:tc>
          <w:tcPr>
            <w:tcW w:w="354" w:type="pct"/>
            <w:shd w:val="clear" w:color="auto" w:fill="auto"/>
            <w:vAlign w:val="top"/>
          </w:tcPr>
          <w:p w14:paraId="7C30F703">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General-population controls (Amaral 2025 drug-specific supportive subgroup)</w:t>
            </w:r>
          </w:p>
        </w:tc>
        <w:tc>
          <w:tcPr>
            <w:tcW w:w="314" w:type="pct"/>
            <w:shd w:val="clear" w:color="auto" w:fill="auto"/>
            <w:vAlign w:val="top"/>
          </w:tcPr>
          <w:p w14:paraId="6A2B3118">
            <w:pPr>
              <w:spacing w:before="0" w:after="0" w:line="240" w:lineRule="auto"/>
              <w:rPr>
                <w:sz w:val="18"/>
                <w:szCs w:val="18"/>
              </w:rPr>
            </w:pPr>
            <w:r>
              <w:rPr>
                <w:rFonts w:ascii="Times New Roman" w:hAnsi="Times New Roman" w:eastAsia="Times New Roman" w:cs="Times New Roman"/>
                <w:sz w:val="18"/>
                <w:szCs w:val="18"/>
              </w:rPr>
              <w:t>Supporting subgroup-only</w:t>
            </w:r>
          </w:p>
        </w:tc>
        <w:tc>
          <w:tcPr>
            <w:tcW w:w="324" w:type="pct"/>
            <w:shd w:val="clear" w:color="auto" w:fill="auto"/>
            <w:vAlign w:val="top"/>
          </w:tcPr>
          <w:p w14:paraId="23C880A2">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Amaral 2025</w:t>
            </w:r>
          </w:p>
        </w:tc>
        <w:tc>
          <w:tcPr>
            <w:tcW w:w="311" w:type="pct"/>
            <w:shd w:val="clear" w:color="auto" w:fill="auto"/>
            <w:vAlign w:val="top"/>
          </w:tcPr>
          <w:p w14:paraId="5F17FA90">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Pairwise meta-analysis</w:t>
            </w:r>
          </w:p>
        </w:tc>
        <w:tc>
          <w:tcPr>
            <w:tcW w:w="268" w:type="pct"/>
            <w:shd w:val="clear" w:color="auto" w:fill="auto"/>
            <w:vAlign w:val="top"/>
          </w:tcPr>
          <w:p w14:paraId="42FF23EB">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HR</w:t>
            </w:r>
          </w:p>
        </w:tc>
        <w:tc>
          <w:tcPr>
            <w:tcW w:w="317" w:type="pct"/>
            <w:shd w:val="clear" w:color="auto" w:fill="auto"/>
            <w:vAlign w:val="top"/>
          </w:tcPr>
          <w:p w14:paraId="7CC9B412">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HR = 1.22 (95% CI: 1.01–1.49)</w:t>
            </w:r>
          </w:p>
        </w:tc>
        <w:tc>
          <w:tcPr>
            <w:tcW w:w="121" w:type="pct"/>
            <w:shd w:val="clear" w:color="auto" w:fill="auto"/>
            <w:vAlign w:val="top"/>
          </w:tcPr>
          <w:p w14:paraId="49AA5D7A">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4</w:t>
            </w:r>
          </w:p>
        </w:tc>
        <w:tc>
          <w:tcPr>
            <w:tcW w:w="209" w:type="pct"/>
            <w:shd w:val="clear" w:color="auto" w:fill="auto"/>
            <w:vAlign w:val="top"/>
          </w:tcPr>
          <w:p w14:paraId="5F5AD2E4">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0%</w:t>
            </w:r>
          </w:p>
        </w:tc>
        <w:tc>
          <w:tcPr>
            <w:tcW w:w="244" w:type="pct"/>
            <w:shd w:val="clear" w:color="auto" w:fill="auto"/>
            <w:vAlign w:val="top"/>
          </w:tcPr>
          <w:p w14:paraId="3CD965FC">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Very Low</w:t>
            </w:r>
          </w:p>
        </w:tc>
        <w:tc>
          <w:tcPr>
            <w:tcW w:w="335" w:type="pct"/>
            <w:shd w:val="clear" w:color="auto" w:fill="auto"/>
            <w:vAlign w:val="top"/>
          </w:tcPr>
          <w:p w14:paraId="121C09C4">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w:t>
            </w:r>
          </w:p>
        </w:tc>
        <w:tc>
          <w:tcPr>
            <w:tcW w:w="712" w:type="pct"/>
            <w:shd w:val="clear" w:color="auto" w:fill="auto"/>
            <w:vAlign w:val="top"/>
          </w:tcPr>
          <w:p w14:paraId="36A633F8">
            <w:pPr>
              <w:spacing w:before="0" w:after="0" w:line="240" w:lineRule="auto"/>
              <w:rPr>
                <w:sz w:val="18"/>
                <w:szCs w:val="18"/>
              </w:rPr>
            </w:pPr>
            <w:r>
              <w:rPr>
                <w:rFonts w:ascii="Times New Roman" w:hAnsi="Times New Roman" w:eastAsia="Times New Roman" w:cs="Times New Roman"/>
                <w:b w:val="0"/>
                <w:sz w:val="18"/>
                <w:szCs w:val="18"/>
              </w:rPr>
              <w:t>Supporting subgroup-only evidence; not included in the formal anchor-level umbrella-credibility appraisal.</w:t>
            </w:r>
          </w:p>
        </w:tc>
      </w:tr>
      <w:tr w14:paraId="53074A6D">
        <w:trPr>
          <w:cantSplit/>
          <w:jc w:val="center"/>
        </w:trPr>
        <w:tc>
          <w:tcPr>
            <w:tcW w:w="530" w:type="pct"/>
            <w:shd w:val="clear" w:color="auto" w:fill="auto"/>
            <w:vAlign w:val="top"/>
          </w:tcPr>
          <w:p w14:paraId="5093DEA6">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Neurodevelopmental</w:t>
            </w:r>
          </w:p>
        </w:tc>
        <w:tc>
          <w:tcPr>
            <w:tcW w:w="413" w:type="pct"/>
            <w:shd w:val="clear" w:color="auto" w:fill="auto"/>
            <w:vAlign w:val="top"/>
          </w:tcPr>
          <w:p w14:paraId="259CA765">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Oxcarbazepine</w:t>
            </w:r>
          </w:p>
        </w:tc>
        <w:tc>
          <w:tcPr>
            <w:tcW w:w="541" w:type="pct"/>
            <w:shd w:val="clear" w:color="auto" w:fill="auto"/>
            <w:vAlign w:val="top"/>
          </w:tcPr>
          <w:p w14:paraId="7806B6EB">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Autism spectrum disorder</w:t>
            </w:r>
          </w:p>
        </w:tc>
        <w:tc>
          <w:tcPr>
            <w:tcW w:w="354" w:type="pct"/>
            <w:shd w:val="clear" w:color="auto" w:fill="auto"/>
            <w:vAlign w:val="top"/>
          </w:tcPr>
          <w:p w14:paraId="39476800">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General-population controls (Amaral 2025 drug-specific supportive subgroup)</w:t>
            </w:r>
          </w:p>
        </w:tc>
        <w:tc>
          <w:tcPr>
            <w:tcW w:w="314" w:type="pct"/>
            <w:shd w:val="clear" w:color="auto" w:fill="auto"/>
            <w:vAlign w:val="top"/>
          </w:tcPr>
          <w:p w14:paraId="064E1B30">
            <w:pPr>
              <w:spacing w:before="0" w:after="0" w:line="240" w:lineRule="auto"/>
              <w:rPr>
                <w:sz w:val="18"/>
                <w:szCs w:val="18"/>
              </w:rPr>
            </w:pPr>
            <w:r>
              <w:rPr>
                <w:rFonts w:ascii="Times New Roman" w:hAnsi="Times New Roman" w:eastAsia="Times New Roman" w:cs="Times New Roman"/>
                <w:sz w:val="18"/>
                <w:szCs w:val="18"/>
              </w:rPr>
              <w:t>Supporting subgroup-only</w:t>
            </w:r>
          </w:p>
        </w:tc>
        <w:tc>
          <w:tcPr>
            <w:tcW w:w="324" w:type="pct"/>
            <w:shd w:val="clear" w:color="auto" w:fill="auto"/>
            <w:vAlign w:val="top"/>
          </w:tcPr>
          <w:p w14:paraId="29A03878">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Amaral 2025</w:t>
            </w:r>
          </w:p>
        </w:tc>
        <w:tc>
          <w:tcPr>
            <w:tcW w:w="311" w:type="pct"/>
            <w:shd w:val="clear" w:color="auto" w:fill="auto"/>
            <w:vAlign w:val="top"/>
          </w:tcPr>
          <w:p w14:paraId="0646FE00">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Pairwise meta-analysis</w:t>
            </w:r>
          </w:p>
        </w:tc>
        <w:tc>
          <w:tcPr>
            <w:tcW w:w="268" w:type="pct"/>
            <w:shd w:val="clear" w:color="auto" w:fill="auto"/>
            <w:vAlign w:val="top"/>
          </w:tcPr>
          <w:p w14:paraId="1170C53C">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HR</w:t>
            </w:r>
          </w:p>
        </w:tc>
        <w:tc>
          <w:tcPr>
            <w:tcW w:w="317" w:type="pct"/>
            <w:shd w:val="clear" w:color="auto" w:fill="auto"/>
            <w:vAlign w:val="top"/>
          </w:tcPr>
          <w:p w14:paraId="7AB84468">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HR = 1.61 (95% CI: 1.17–2.23)</w:t>
            </w:r>
          </w:p>
        </w:tc>
        <w:tc>
          <w:tcPr>
            <w:tcW w:w="121" w:type="pct"/>
            <w:shd w:val="clear" w:color="auto" w:fill="auto"/>
            <w:vAlign w:val="top"/>
          </w:tcPr>
          <w:p w14:paraId="147B18FD">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3</w:t>
            </w:r>
          </w:p>
        </w:tc>
        <w:tc>
          <w:tcPr>
            <w:tcW w:w="209" w:type="pct"/>
            <w:shd w:val="clear" w:color="auto" w:fill="auto"/>
            <w:vAlign w:val="top"/>
          </w:tcPr>
          <w:p w14:paraId="79AF624A">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27%</w:t>
            </w:r>
          </w:p>
        </w:tc>
        <w:tc>
          <w:tcPr>
            <w:tcW w:w="244" w:type="pct"/>
            <w:shd w:val="clear" w:color="auto" w:fill="auto"/>
            <w:vAlign w:val="top"/>
          </w:tcPr>
          <w:p w14:paraId="3164547D">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Very Low</w:t>
            </w:r>
          </w:p>
        </w:tc>
        <w:tc>
          <w:tcPr>
            <w:tcW w:w="335" w:type="pct"/>
            <w:shd w:val="clear" w:color="auto" w:fill="auto"/>
            <w:vAlign w:val="top"/>
          </w:tcPr>
          <w:p w14:paraId="365B78AF">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w:t>
            </w:r>
          </w:p>
        </w:tc>
        <w:tc>
          <w:tcPr>
            <w:tcW w:w="712" w:type="pct"/>
            <w:shd w:val="clear" w:color="auto" w:fill="auto"/>
            <w:vAlign w:val="top"/>
          </w:tcPr>
          <w:p w14:paraId="7345753D">
            <w:pPr>
              <w:spacing w:before="0" w:after="0" w:line="240" w:lineRule="auto"/>
              <w:rPr>
                <w:sz w:val="18"/>
                <w:szCs w:val="18"/>
              </w:rPr>
            </w:pPr>
            <w:r>
              <w:rPr>
                <w:rFonts w:ascii="Times New Roman" w:hAnsi="Times New Roman" w:eastAsia="Times New Roman" w:cs="Times New Roman"/>
                <w:b w:val="0"/>
                <w:sz w:val="18"/>
                <w:szCs w:val="18"/>
              </w:rPr>
              <w:t>Supporting subgroup-only evidence; not included in the formal anchor-level umbrella-credibility appraisal.</w:t>
            </w:r>
          </w:p>
        </w:tc>
      </w:tr>
      <w:tr w14:paraId="538AB558">
        <w:trPr>
          <w:cantSplit/>
          <w:jc w:val="center"/>
        </w:trPr>
        <w:tc>
          <w:tcPr>
            <w:tcW w:w="530" w:type="pct"/>
            <w:shd w:val="clear" w:color="auto" w:fill="auto"/>
            <w:vAlign w:val="top"/>
          </w:tcPr>
          <w:p w14:paraId="283F8F4D">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Neurodevelopmental</w:t>
            </w:r>
          </w:p>
        </w:tc>
        <w:tc>
          <w:tcPr>
            <w:tcW w:w="413" w:type="pct"/>
            <w:shd w:val="clear" w:color="auto" w:fill="auto"/>
            <w:vAlign w:val="top"/>
          </w:tcPr>
          <w:p w14:paraId="4B466142">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Topiramate</w:t>
            </w:r>
          </w:p>
        </w:tc>
        <w:tc>
          <w:tcPr>
            <w:tcW w:w="541" w:type="pct"/>
            <w:shd w:val="clear" w:color="auto" w:fill="auto"/>
            <w:vAlign w:val="top"/>
          </w:tcPr>
          <w:p w14:paraId="167A824B">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Autism spectrum disorder</w:t>
            </w:r>
          </w:p>
        </w:tc>
        <w:tc>
          <w:tcPr>
            <w:tcW w:w="354" w:type="pct"/>
            <w:shd w:val="clear" w:color="auto" w:fill="auto"/>
            <w:vAlign w:val="top"/>
          </w:tcPr>
          <w:p w14:paraId="0751B851">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General-population controls (Amaral 2025 drug-specific supportive subgroup)</w:t>
            </w:r>
          </w:p>
        </w:tc>
        <w:tc>
          <w:tcPr>
            <w:tcW w:w="314" w:type="pct"/>
            <w:shd w:val="clear" w:color="auto" w:fill="auto"/>
            <w:vAlign w:val="top"/>
          </w:tcPr>
          <w:p w14:paraId="3F4DA64A">
            <w:pPr>
              <w:spacing w:before="0" w:after="0" w:line="240" w:lineRule="auto"/>
              <w:rPr>
                <w:sz w:val="18"/>
                <w:szCs w:val="18"/>
              </w:rPr>
            </w:pPr>
            <w:r>
              <w:rPr>
                <w:rFonts w:ascii="Times New Roman" w:hAnsi="Times New Roman" w:eastAsia="Times New Roman" w:cs="Times New Roman"/>
                <w:sz w:val="18"/>
                <w:szCs w:val="18"/>
              </w:rPr>
              <w:t>Supporting subgroup-only</w:t>
            </w:r>
          </w:p>
        </w:tc>
        <w:tc>
          <w:tcPr>
            <w:tcW w:w="324" w:type="pct"/>
            <w:shd w:val="clear" w:color="auto" w:fill="auto"/>
            <w:vAlign w:val="top"/>
          </w:tcPr>
          <w:p w14:paraId="50288B21">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Amaral 2025</w:t>
            </w:r>
          </w:p>
        </w:tc>
        <w:tc>
          <w:tcPr>
            <w:tcW w:w="311" w:type="pct"/>
            <w:shd w:val="clear" w:color="auto" w:fill="auto"/>
            <w:vAlign w:val="top"/>
          </w:tcPr>
          <w:p w14:paraId="25F1AB89">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Pairwise meta-analysis</w:t>
            </w:r>
          </w:p>
        </w:tc>
        <w:tc>
          <w:tcPr>
            <w:tcW w:w="268" w:type="pct"/>
            <w:shd w:val="clear" w:color="auto" w:fill="auto"/>
            <w:vAlign w:val="top"/>
          </w:tcPr>
          <w:p w14:paraId="349C5C1C">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HR</w:t>
            </w:r>
          </w:p>
        </w:tc>
        <w:tc>
          <w:tcPr>
            <w:tcW w:w="317" w:type="pct"/>
            <w:shd w:val="clear" w:color="auto" w:fill="auto"/>
            <w:vAlign w:val="top"/>
          </w:tcPr>
          <w:p w14:paraId="0194B63F">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HR = 1.68 (95% CI: 0.89–3.17)</w:t>
            </w:r>
          </w:p>
        </w:tc>
        <w:tc>
          <w:tcPr>
            <w:tcW w:w="121" w:type="pct"/>
            <w:shd w:val="clear" w:color="auto" w:fill="auto"/>
            <w:vAlign w:val="top"/>
          </w:tcPr>
          <w:p w14:paraId="301D9B38">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3</w:t>
            </w:r>
          </w:p>
        </w:tc>
        <w:tc>
          <w:tcPr>
            <w:tcW w:w="209" w:type="pct"/>
            <w:shd w:val="clear" w:color="auto" w:fill="auto"/>
            <w:vAlign w:val="top"/>
          </w:tcPr>
          <w:p w14:paraId="23BB879F">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70.1%</w:t>
            </w:r>
          </w:p>
        </w:tc>
        <w:tc>
          <w:tcPr>
            <w:tcW w:w="244" w:type="pct"/>
            <w:shd w:val="clear" w:color="auto" w:fill="auto"/>
            <w:vAlign w:val="top"/>
          </w:tcPr>
          <w:p w14:paraId="4339F1BD">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Very Low</w:t>
            </w:r>
          </w:p>
        </w:tc>
        <w:tc>
          <w:tcPr>
            <w:tcW w:w="335" w:type="pct"/>
            <w:shd w:val="clear" w:color="auto" w:fill="auto"/>
            <w:vAlign w:val="top"/>
          </w:tcPr>
          <w:p w14:paraId="78DF9D0F">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w:t>
            </w:r>
          </w:p>
        </w:tc>
        <w:tc>
          <w:tcPr>
            <w:tcW w:w="712" w:type="pct"/>
            <w:shd w:val="clear" w:color="auto" w:fill="auto"/>
            <w:vAlign w:val="top"/>
          </w:tcPr>
          <w:p w14:paraId="0B8E05AD">
            <w:pPr>
              <w:spacing w:before="0" w:after="0" w:line="240" w:lineRule="auto"/>
              <w:rPr>
                <w:sz w:val="18"/>
                <w:szCs w:val="18"/>
              </w:rPr>
            </w:pPr>
            <w:r>
              <w:rPr>
                <w:rFonts w:ascii="Times New Roman" w:hAnsi="Times New Roman" w:eastAsia="Times New Roman" w:cs="Times New Roman"/>
                <w:b w:val="0"/>
                <w:sz w:val="18"/>
                <w:szCs w:val="18"/>
              </w:rPr>
              <w:t>Supporting subgroup-only evidence; not included in the formal anchor-level umbrella-credibility appraisal.</w:t>
            </w:r>
          </w:p>
        </w:tc>
      </w:tr>
      <w:tr w14:paraId="1D613DFF">
        <w:trPr>
          <w:cantSplit/>
          <w:jc w:val="center"/>
        </w:trPr>
        <w:tc>
          <w:tcPr>
            <w:tcW w:w="530" w:type="pct"/>
            <w:shd w:val="clear" w:color="auto" w:fill="auto"/>
            <w:vAlign w:val="top"/>
          </w:tcPr>
          <w:p w14:paraId="4687A051">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Neurodevelopmental</w:t>
            </w:r>
          </w:p>
        </w:tc>
        <w:tc>
          <w:tcPr>
            <w:tcW w:w="413" w:type="pct"/>
            <w:shd w:val="clear" w:color="auto" w:fill="auto"/>
            <w:vAlign w:val="top"/>
          </w:tcPr>
          <w:p w14:paraId="679649A8">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Levetiracetam</w:t>
            </w:r>
          </w:p>
        </w:tc>
        <w:tc>
          <w:tcPr>
            <w:tcW w:w="541" w:type="pct"/>
            <w:shd w:val="clear" w:color="auto" w:fill="auto"/>
            <w:vAlign w:val="top"/>
          </w:tcPr>
          <w:p w14:paraId="428DEFE6">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Autism spectrum disorder</w:t>
            </w:r>
          </w:p>
        </w:tc>
        <w:tc>
          <w:tcPr>
            <w:tcW w:w="354" w:type="pct"/>
            <w:shd w:val="clear" w:color="auto" w:fill="auto"/>
            <w:vAlign w:val="top"/>
          </w:tcPr>
          <w:p w14:paraId="4326DC8B">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General-population controls (Amaral 2025 drug-specific supportive subgroup)</w:t>
            </w:r>
          </w:p>
        </w:tc>
        <w:tc>
          <w:tcPr>
            <w:tcW w:w="314" w:type="pct"/>
            <w:shd w:val="clear" w:color="auto" w:fill="auto"/>
            <w:vAlign w:val="top"/>
          </w:tcPr>
          <w:p w14:paraId="2C719BDE">
            <w:pPr>
              <w:spacing w:before="0" w:after="0" w:line="240" w:lineRule="auto"/>
              <w:rPr>
                <w:sz w:val="18"/>
                <w:szCs w:val="18"/>
              </w:rPr>
            </w:pPr>
            <w:r>
              <w:rPr>
                <w:rFonts w:ascii="Times New Roman" w:hAnsi="Times New Roman" w:eastAsia="Times New Roman" w:cs="Times New Roman"/>
                <w:sz w:val="18"/>
                <w:szCs w:val="18"/>
              </w:rPr>
              <w:t>Supporting subgroup-only</w:t>
            </w:r>
          </w:p>
        </w:tc>
        <w:tc>
          <w:tcPr>
            <w:tcW w:w="324" w:type="pct"/>
            <w:shd w:val="clear" w:color="auto" w:fill="auto"/>
            <w:vAlign w:val="top"/>
          </w:tcPr>
          <w:p w14:paraId="67FB43C7">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Amaral 2025</w:t>
            </w:r>
          </w:p>
        </w:tc>
        <w:tc>
          <w:tcPr>
            <w:tcW w:w="311" w:type="pct"/>
            <w:shd w:val="clear" w:color="auto" w:fill="auto"/>
            <w:vAlign w:val="top"/>
          </w:tcPr>
          <w:p w14:paraId="11EB7D43">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Pairwise meta-analysis</w:t>
            </w:r>
          </w:p>
        </w:tc>
        <w:tc>
          <w:tcPr>
            <w:tcW w:w="268" w:type="pct"/>
            <w:shd w:val="clear" w:color="auto" w:fill="auto"/>
            <w:vAlign w:val="top"/>
          </w:tcPr>
          <w:p w14:paraId="2C7E75E2">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HR</w:t>
            </w:r>
          </w:p>
        </w:tc>
        <w:tc>
          <w:tcPr>
            <w:tcW w:w="317" w:type="pct"/>
            <w:shd w:val="clear" w:color="auto" w:fill="auto"/>
            <w:vAlign w:val="top"/>
          </w:tcPr>
          <w:p w14:paraId="6B81EE5C">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HR = 1.20 (95% CI: 0.65–2.21)</w:t>
            </w:r>
          </w:p>
        </w:tc>
        <w:tc>
          <w:tcPr>
            <w:tcW w:w="121" w:type="pct"/>
            <w:shd w:val="clear" w:color="auto" w:fill="auto"/>
            <w:vAlign w:val="top"/>
          </w:tcPr>
          <w:p w14:paraId="1C18483E">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2</w:t>
            </w:r>
          </w:p>
        </w:tc>
        <w:tc>
          <w:tcPr>
            <w:tcW w:w="209" w:type="pct"/>
            <w:shd w:val="clear" w:color="auto" w:fill="auto"/>
            <w:vAlign w:val="top"/>
          </w:tcPr>
          <w:p w14:paraId="77713B4D">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18.2%</w:t>
            </w:r>
          </w:p>
        </w:tc>
        <w:tc>
          <w:tcPr>
            <w:tcW w:w="244" w:type="pct"/>
            <w:shd w:val="clear" w:color="auto" w:fill="auto"/>
            <w:vAlign w:val="top"/>
          </w:tcPr>
          <w:p w14:paraId="4748CD1F">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Very Low</w:t>
            </w:r>
          </w:p>
        </w:tc>
        <w:tc>
          <w:tcPr>
            <w:tcW w:w="335" w:type="pct"/>
            <w:shd w:val="clear" w:color="auto" w:fill="auto"/>
            <w:vAlign w:val="top"/>
          </w:tcPr>
          <w:p w14:paraId="42A72794">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w:t>
            </w:r>
          </w:p>
        </w:tc>
        <w:tc>
          <w:tcPr>
            <w:tcW w:w="712" w:type="pct"/>
            <w:shd w:val="clear" w:color="auto" w:fill="auto"/>
            <w:vAlign w:val="top"/>
          </w:tcPr>
          <w:p w14:paraId="1E610AEC">
            <w:pPr>
              <w:spacing w:before="0" w:after="0" w:line="240" w:lineRule="auto"/>
              <w:rPr>
                <w:sz w:val="18"/>
                <w:szCs w:val="18"/>
              </w:rPr>
            </w:pPr>
            <w:r>
              <w:rPr>
                <w:rFonts w:ascii="Times New Roman" w:hAnsi="Times New Roman" w:eastAsia="Times New Roman" w:cs="Times New Roman"/>
                <w:b w:val="0"/>
                <w:sz w:val="18"/>
                <w:szCs w:val="18"/>
              </w:rPr>
              <w:t>Supporting subgroup-only evidence; not included in the formal anchor-level umbrella-credibility appraisal.</w:t>
            </w:r>
          </w:p>
        </w:tc>
      </w:tr>
      <w:tr w14:paraId="094A4A64">
        <w:trPr>
          <w:cantSplit/>
          <w:jc w:val="center"/>
        </w:trPr>
        <w:tc>
          <w:tcPr>
            <w:tcW w:w="530" w:type="pct"/>
            <w:shd w:val="clear" w:color="auto" w:fill="auto"/>
            <w:vAlign w:val="top"/>
          </w:tcPr>
          <w:p w14:paraId="370AF5A5">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Neurodevelopmental</w:t>
            </w:r>
          </w:p>
        </w:tc>
        <w:tc>
          <w:tcPr>
            <w:tcW w:w="413" w:type="pct"/>
            <w:shd w:val="clear" w:color="auto" w:fill="auto"/>
            <w:vAlign w:val="top"/>
          </w:tcPr>
          <w:p w14:paraId="348CC468">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Multiple ASMs (network)</w:t>
            </w:r>
          </w:p>
        </w:tc>
        <w:tc>
          <w:tcPr>
            <w:tcW w:w="541" w:type="pct"/>
            <w:shd w:val="clear" w:color="auto" w:fill="auto"/>
            <w:vAlign w:val="top"/>
          </w:tcPr>
          <w:p w14:paraId="178BCA8B">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Neurodevelopmental outcomes (indirect comparisons across nodes)</w:t>
            </w:r>
          </w:p>
        </w:tc>
        <w:tc>
          <w:tcPr>
            <w:tcW w:w="354" w:type="pct"/>
            <w:shd w:val="clear" w:color="auto" w:fill="auto"/>
            <w:vAlign w:val="top"/>
          </w:tcPr>
          <w:p w14:paraId="073EC482">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Other nodes as defined in the network (reference treatment varies by contrast)</w:t>
            </w:r>
          </w:p>
        </w:tc>
        <w:tc>
          <w:tcPr>
            <w:tcW w:w="314" w:type="pct"/>
            <w:shd w:val="clear" w:color="auto" w:fill="auto"/>
            <w:vAlign w:val="top"/>
          </w:tcPr>
          <w:p w14:paraId="06FD2300">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Contextual NMA</w:t>
            </w:r>
          </w:p>
        </w:tc>
        <w:tc>
          <w:tcPr>
            <w:tcW w:w="324" w:type="pct"/>
            <w:shd w:val="clear" w:color="auto" w:fill="auto"/>
            <w:vAlign w:val="top"/>
          </w:tcPr>
          <w:p w14:paraId="6F380183">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Veroniki 2017b</w:t>
            </w:r>
          </w:p>
        </w:tc>
        <w:tc>
          <w:tcPr>
            <w:tcW w:w="311" w:type="pct"/>
            <w:shd w:val="clear" w:color="auto" w:fill="auto"/>
            <w:vAlign w:val="top"/>
          </w:tcPr>
          <w:p w14:paraId="46358C34">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Network meta-analysis (Bayesian)</w:t>
            </w:r>
          </w:p>
        </w:tc>
        <w:tc>
          <w:tcPr>
            <w:tcW w:w="268" w:type="pct"/>
            <w:shd w:val="clear" w:color="auto" w:fill="auto"/>
            <w:vAlign w:val="top"/>
          </w:tcPr>
          <w:p w14:paraId="0F5F6C88">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Multiple relative effects with 95% CrIs (see source review)</w:t>
            </w:r>
          </w:p>
        </w:tc>
        <w:tc>
          <w:tcPr>
            <w:tcW w:w="317" w:type="pct"/>
            <w:shd w:val="clear" w:color="auto" w:fill="auto"/>
            <w:vAlign w:val="top"/>
          </w:tcPr>
          <w:p w14:paraId="4CF42497">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Multiple relative effects with 95% CrIs (see source review)</w:t>
            </w:r>
          </w:p>
        </w:tc>
        <w:tc>
          <w:tcPr>
            <w:tcW w:w="121" w:type="pct"/>
            <w:shd w:val="clear" w:color="auto" w:fill="auto"/>
            <w:vAlign w:val="top"/>
          </w:tcPr>
          <w:p w14:paraId="3C80A742">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29</w:t>
            </w:r>
          </w:p>
        </w:tc>
        <w:tc>
          <w:tcPr>
            <w:tcW w:w="209" w:type="pct"/>
            <w:shd w:val="clear" w:color="auto" w:fill="auto"/>
            <w:vAlign w:val="top"/>
          </w:tcPr>
          <w:p w14:paraId="62EA697E">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NR</w:t>
            </w:r>
          </w:p>
        </w:tc>
        <w:tc>
          <w:tcPr>
            <w:tcW w:w="244" w:type="pct"/>
            <w:shd w:val="clear" w:color="auto" w:fill="auto"/>
            <w:vAlign w:val="top"/>
          </w:tcPr>
          <w:p w14:paraId="114D8856">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Very Low</w:t>
            </w:r>
          </w:p>
        </w:tc>
        <w:tc>
          <w:tcPr>
            <w:tcW w:w="335" w:type="pct"/>
            <w:shd w:val="clear" w:color="auto" w:fill="auto"/>
            <w:vAlign w:val="top"/>
          </w:tcPr>
          <w:p w14:paraId="27FDE6D7">
            <w:pPr>
              <w:shd w:val="clear"/>
              <w:spacing w:before="0" w:after="0" w:line="240" w:lineRule="auto"/>
              <w:jc w:val="left"/>
              <w:rPr>
                <w:rFonts w:hint="default" w:ascii="Times New Roman" w:hAnsi="Times New Roman" w:cs="Times New Roman"/>
                <w:color w:val="auto"/>
                <w:sz w:val="18"/>
                <w:szCs w:val="18"/>
              </w:rPr>
            </w:pPr>
            <w:r>
              <w:rPr>
                <w:rFonts w:hint="default" w:ascii="Times New Roman" w:hAnsi="Times New Roman" w:eastAsia="Times New Roman" w:cs="Times New Roman"/>
                <w:color w:val="auto"/>
                <w:sz w:val="18"/>
                <w:szCs w:val="18"/>
              </w:rPr>
              <w:t>—</w:t>
            </w:r>
          </w:p>
        </w:tc>
        <w:tc>
          <w:tcPr>
            <w:tcW w:w="712" w:type="pct"/>
            <w:shd w:val="clear" w:color="auto" w:fill="auto"/>
            <w:vAlign w:val="top"/>
          </w:tcPr>
          <w:p w14:paraId="3BC1AD1B">
            <w:pPr>
              <w:spacing w:before="0" w:after="0" w:line="240" w:lineRule="auto"/>
              <w:rPr>
                <w:sz w:val="18"/>
                <w:szCs w:val="18"/>
              </w:rPr>
            </w:pPr>
            <w:r>
              <w:rPr>
                <w:rFonts w:ascii="Times New Roman" w:hAnsi="Times New Roman" w:eastAsia="Times New Roman" w:cs="Times New Roman"/>
                <w:b w:val="0"/>
                <w:sz w:val="18"/>
                <w:szCs w:val="18"/>
              </w:rPr>
              <w:t>The Bayesian network meta-analysis was retained as contextual evidence and was not included in the formal pairwise anchor-level umbrella-credibility appraisal.</w:t>
            </w:r>
          </w:p>
        </w:tc>
      </w:tr>
    </w:tbl>
    <w:p w14:paraId="3C790735">
      <w:pPr>
        <w:keepNext w:val="0"/>
        <w:keepLines w:val="0"/>
        <w:pageBreakBefore w:val="0"/>
        <w:widowControl/>
        <w:shd w:val="clear"/>
        <w:kinsoku/>
        <w:wordWrap/>
        <w:overflowPunct/>
        <w:topLinePunct w:val="0"/>
        <w:autoSpaceDE/>
        <w:autoSpaceDN/>
        <w:bidi w:val="0"/>
        <w:adjustRightInd/>
        <w:snapToGrid/>
        <w:spacing w:before="0" w:beforeLines="50" w:after="0" w:line="360" w:lineRule="auto"/>
        <w:jc w:val="both"/>
        <w:textAlignment w:val="auto"/>
        <w:rPr>
          <w:rFonts w:hint="default" w:ascii="Times New Roman" w:hAnsi="Times New Roman" w:cs="Times New Roman"/>
          <w:i w:val="0"/>
          <w:iCs/>
          <w:sz w:val="18"/>
          <w:szCs w:val="18"/>
        </w:rPr>
      </w:pPr>
      <w:bookmarkStart w:id="0" w:name="_GoBack"/>
      <w:r>
        <w:rPr>
          <w:rFonts w:ascii="Times New Roman" w:hAnsi="Times New Roman" w:eastAsia="Times New Roman" w:cs="Times New Roman"/>
          <w:sz w:val="18"/>
          <w:szCs w:val="18"/>
        </w:rPr>
        <w:t>Column guide. “Source review” identifies the review from which each estimate was extracted. “Category” distinguishes primary pairwise anchors from supporting subgroup-only and contextual NMA evidence. “Metric” gives the effect measure, “Estimate (95% CI)” gives the retained pooled estimate, and “Umbrella credibility” gives the directional credibility class or NS status for formally appraised anchors and a dash (—) for estimates not included in the formal anchor-level umbrella-credibility appraisal. Notes are intentionally row-specific and brief; category definitions, credibility rules, dose-related evidence, comparator notes, and non-anchor outcome notes are summarized below.</w:t>
      </w:r>
    </w:p>
    <w:p w14:paraId="0697631D">
      <w:pPr>
        <w:keepNext w:val="0"/>
        <w:keepLines w:val="0"/>
        <w:pageBreakBefore w:val="0"/>
        <w:widowControl/>
        <w:shd w:val="clear"/>
        <w:kinsoku/>
        <w:wordWrap/>
        <w:overflowPunct/>
        <w:topLinePunct w:val="0"/>
        <w:autoSpaceDE/>
        <w:autoSpaceDN/>
        <w:bidi w:val="0"/>
        <w:adjustRightInd/>
        <w:snapToGrid/>
        <w:spacing w:before="0" w:after="0" w:line="360" w:lineRule="auto"/>
        <w:jc w:val="both"/>
        <w:textAlignment w:val="auto"/>
        <w:rPr>
          <w:rFonts w:hint="default" w:ascii="Times New Roman" w:hAnsi="Times New Roman" w:cs="Times New Roman"/>
          <w:b w:val="0"/>
          <w:bCs w:val="0"/>
          <w:sz w:val="18"/>
          <w:szCs w:val="18"/>
        </w:rPr>
      </w:pPr>
      <w:r>
        <w:rPr>
          <w:rFonts w:ascii="Times New Roman" w:hAnsi="Times New Roman" w:eastAsia="Times New Roman" w:cs="Times New Roman"/>
          <w:sz w:val="18"/>
          <w:szCs w:val="18"/>
        </w:rPr>
        <w:t>This table presents all six formally retained pairwise anchors and selected supporting or contextual estimates. Figure 3 additionally displays source-reported subgroup and sensitivity estimates that were not included in the formal anchor-level umbrella-credibility appraisal and are shown with a dash in the umbrella-credibility column.</w:t>
      </w:r>
    </w:p>
    <w:p w14:paraId="1D092CD1">
      <w:pPr>
        <w:keepNext w:val="0"/>
        <w:keepLines w:val="0"/>
        <w:pageBreakBefore w:val="0"/>
        <w:widowControl/>
        <w:shd w:val="clear"/>
        <w:kinsoku/>
        <w:wordWrap/>
        <w:overflowPunct/>
        <w:topLinePunct w:val="0"/>
        <w:autoSpaceDE/>
        <w:autoSpaceDN/>
        <w:bidi w:val="0"/>
        <w:adjustRightInd/>
        <w:snapToGrid/>
        <w:spacing w:before="0" w:after="0" w:line="360" w:lineRule="auto"/>
        <w:jc w:val="both"/>
        <w:textAlignment w:val="auto"/>
        <w:rPr>
          <w:rFonts w:hint="default" w:ascii="Times New Roman" w:hAnsi="Times New Roman" w:cs="Times New Roman"/>
          <w:i w:val="0"/>
          <w:iCs/>
          <w:sz w:val="18"/>
          <w:szCs w:val="18"/>
        </w:rPr>
      </w:pPr>
      <w:r>
        <w:rPr>
          <w:rFonts w:ascii="Times New Roman" w:hAnsi="Times New Roman" w:eastAsia="Times New Roman" w:cs="Times New Roman"/>
          <w:sz w:val="18"/>
          <w:szCs w:val="18"/>
        </w:rPr>
        <w:t>Credibility class thresholds. Directional credibility classes I–IV follow the prespecified umbrella-credibility framework described in the Methods. Class I (convincing): p &lt; 10⁻⁶; &gt;1000 outcome events in the comparison (or &gt;20,000 participants for continuous outcomes); largest contributing study significant at α = 0.05; I² &lt; 50%; 95% prediction interval excludes the null; no small-study effects; and no excess significance. Class II (highly suggestive): p &lt; 10⁻⁶; &gt;1000 events (or &gt;20,000 participants); largest study significant. Class III (suggestive): p &lt; 0.001; &gt;1000 events (or &gt;20,000 participants). Class IV (weak): p &lt; 0.05. Supporting subgroup-only and contextual NMA rows were not included in the formal anchor-level umbrella-credibility appraisal and are shown with a dash. When event or participant thresholds or other gate criteria could not be verified, statistically significant associations were classified conservatively at a lower tier.</w:t>
      </w:r>
    </w:p>
    <w:p w14:paraId="60BC1AF3">
      <w:pPr>
        <w:keepNext w:val="0"/>
        <w:keepLines w:val="0"/>
        <w:pageBreakBefore w:val="0"/>
        <w:widowControl/>
        <w:shd w:val="clear"/>
        <w:kinsoku/>
        <w:wordWrap/>
        <w:overflowPunct/>
        <w:topLinePunct w:val="0"/>
        <w:autoSpaceDE/>
        <w:autoSpaceDN/>
        <w:bidi w:val="0"/>
        <w:adjustRightInd/>
        <w:snapToGrid/>
        <w:spacing w:before="0" w:after="0" w:line="360" w:lineRule="auto"/>
        <w:jc w:val="both"/>
        <w:textAlignment w:val="auto"/>
        <w:rPr>
          <w:rFonts w:hint="default" w:ascii="Times New Roman" w:hAnsi="Times New Roman" w:cs="Times New Roman"/>
          <w:i w:val="0"/>
          <w:iCs/>
          <w:sz w:val="18"/>
          <w:szCs w:val="18"/>
        </w:rPr>
      </w:pPr>
      <w:r>
        <w:rPr>
          <w:rFonts w:ascii="Times New Roman" w:hAnsi="Times New Roman" w:eastAsia="Times New Roman" w:cs="Times New Roman"/>
          <w:sz w:val="18"/>
          <w:szCs w:val="18"/>
        </w:rPr>
        <w:t xml:space="preserve">Interpretation </w:t>
      </w:r>
      <w:r>
        <w:rPr>
          <w:rFonts w:ascii="Times New Roman" w:hAnsi="Times New Roman" w:eastAsia="Times New Roman" w:cs="Times New Roman"/>
          <w:sz w:val="18"/>
          <w:szCs w:val="18"/>
          <w:lang w:val="en-US" w:eastAsia="zh-CN"/>
        </w:rPr>
        <w:t>of credibility labels. Directional credibility classes I–IV apply to formally appraised anchor estimates whose 95% confidence intervals excluded the null. NS denotes a formally appraised anchor estimate whose 95% confidence interval included the null and which was therefore not assigned a directional credibility class. A dash indicates that the estimate was not included in the formal anchor-level umbrella-credibility appraisal. Neither NS nor a dash should be interpreted as evidence of equivalence, absence of association, or absence of clinically meaningful risk.</w:t>
      </w:r>
    </w:p>
    <w:p w14:paraId="13A7732B">
      <w:pPr>
        <w:spacing w:before="0" w:after="0" w:line="360" w:lineRule="auto"/>
        <w:jc w:val="both"/>
        <w:rPr>
          <w:sz w:val="18"/>
          <w:szCs w:val="18"/>
        </w:rPr>
      </w:pPr>
      <w:r>
        <w:rPr>
          <w:rFonts w:ascii="Times New Roman" w:hAnsi="Times New Roman" w:eastAsia="Times New Roman" w:cs="Times New Roman"/>
          <w:sz w:val="18"/>
          <w:szCs w:val="18"/>
        </w:rPr>
        <w:t>Dose-related evidence. Dose-stratified neurodevelopmental evidence was extracted where reported. For valproate and ASD, the retained anchor review reported a higher estimate under study-defined high-dose exposure (aHR = 6.32, 95% CI 3.12–12.80; k = 2; I² = 66%; thresholds &gt;1000 or &gt;1100 mg/day), but thresholds differed and only a small number of studies contributed. This was treated as descriptive dose-related evidence rather than a separate umbrella-level dose–response synthesis. For valproate and ADHD, dose-stratified evidence was sparse and not suitable for synthesis.</w:t>
      </w:r>
    </w:p>
    <w:p w14:paraId="1C421175">
      <w:pPr>
        <w:spacing w:before="0" w:after="0" w:line="360" w:lineRule="auto"/>
        <w:jc w:val="both"/>
        <w:rPr>
          <w:sz w:val="18"/>
          <w:szCs w:val="18"/>
        </w:rPr>
      </w:pPr>
      <w:r>
        <w:rPr>
          <w:rFonts w:ascii="Times New Roman" w:hAnsi="Times New Roman" w:eastAsia="Times New Roman" w:cs="Times New Roman"/>
          <w:sz w:val="18"/>
          <w:szCs w:val="18"/>
        </w:rPr>
        <w:t>Comparator note for CBZ, OXC, TPM, and LEV subgroup estimates. The four drug-specific supportive subgroup estimates were extracted from Amaral 2025 and used general-population controls as the specific comparator for those subgroup analyses. Amaral 2025 as a whole used a broader comparator framework with multiple comparator types depending on the analysis. These subgroup estimates are retained as supporting subgroup-only evidence and were not included in the formal anchor-level umbrella-credibility appraisal (shown with a dash in the umbrella-credibility column).</w:t>
      </w:r>
    </w:p>
    <w:p w14:paraId="3E434366">
      <w:pPr>
        <w:spacing w:before="0" w:after="0" w:line="360" w:lineRule="auto"/>
        <w:jc w:val="both"/>
        <w:rPr>
          <w:sz w:val="18"/>
          <w:szCs w:val="18"/>
        </w:rPr>
      </w:pPr>
      <w:r>
        <w:rPr>
          <w:rFonts w:ascii="Times New Roman" w:hAnsi="Times New Roman" w:eastAsia="Times New Roman" w:cs="Times New Roman"/>
          <w:sz w:val="18"/>
          <w:szCs w:val="18"/>
        </w:rPr>
        <w:t>Non-anchor developmental outcomes. Additional eligible neurodevelopmental outcomes beyond ASD and ADHD were considered during data extraction, but no additional non-anchor developmental endpoints were retained as separately comparable meta-analytic estimates because outcome definitions, measurement instruments, follow-up ages, and reporting structures were heterogeneous across reviews. Cognitive or intellectual function, language development, motor development, and broader composite developmental constructs were encountered but were not consistently reported as comparable pooled estimates suitable for umbrella-level retention.</w:t>
      </w:r>
    </w:p>
    <w:p w14:paraId="25862AF5">
      <w:pPr>
        <w:spacing w:before="0" w:after="0" w:line="360" w:lineRule="auto"/>
        <w:jc w:val="both"/>
        <w:rPr>
          <w:sz w:val="18"/>
          <w:szCs w:val="18"/>
        </w:rPr>
      </w:pPr>
      <w:r>
        <w:rPr>
          <w:rFonts w:ascii="Times New Roman" w:hAnsi="Times New Roman" w:eastAsia="Times New Roman" w:cs="Times New Roman"/>
          <w:sz w:val="18"/>
          <w:szCs w:val="18"/>
        </w:rPr>
        <w:t>Abbreviations: ADHD, attention-deficit/hyperactivity disorder; aHR, adjusted hazard ratio; ASM, antiseizure medication; ASD, autism spectrum disorder; CBZ, carbamazepine; CI, confidence interval; CrI, credible interval; HR, hazard ratio; LEV, levetiracetam; LTG, lamotrigine; NS, not statistically significant: a formally appraised anchor estimate whose 95% confidence interval included the null and which was therefore not assigned a directional credibility class; NMA, network meta-analysis; NR, not reported; OR, odds ratio; OXC, oxcarbazepine; TPM, topiramate; VPA, valproate; WWE, women with epilepsy.</w:t>
      </w:r>
    </w:p>
    <w:bookmarkEnd w:id="0"/>
    <w:sectPr>
      <w:pgSz w:w="23811" w:h="16838" w:orient="landscape"/>
      <w:pgMar w:top="567" w:right="567" w:bottom="567" w:left="56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6"/>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Kingsoft Sign">
    <w:panose1 w:val="05050102010706020507"/>
    <w:charset w:val="00"/>
    <w:family w:val="auto"/>
    <w:pitch w:val="default"/>
    <w:sig w:usb0="00000000" w:usb1="1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宋体-简">
    <w:panose1 w:val="02010800040101010101"/>
    <w:charset w:val="86"/>
    <w:family w:val="auto"/>
    <w:pitch w:val="default"/>
    <w:sig w:usb0="00000001" w:usb1="080F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oNotHyphenateCaps/>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6F7A166"/>
    <w:rsid w:val="5FD7C349"/>
    <w:rsid w:val="75EDEDFC"/>
    <w:rsid w:val="9FFF8DC1"/>
    <w:rsid w:val="BFFB4388"/>
    <w:rsid w:val="E6FF3E01"/>
    <w:rsid w:val="FDDCFB14"/>
    <w:rsid w:val="FEFCFFB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imes New Roman" w:hAnsi="Times New Roman" w:eastAsia="Times New Roman"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imes New Roman" w:hAnsi="Times New Roman" w:eastAsia="Times New Roman"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imes New Roman" w:hAnsi="Times New Roman" w:eastAsia="Times New Roman" w:cstheme="majorBidi"/>
      <w:b/>
      <w:bCs/>
      <w:color w:val="4F81BD" w:themeColor="accent1"/>
      <w:sz w:val="17"/>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imes New Roman" w:hAnsi="Times New Roman" w:eastAsia="Times New Roman" w:cstheme="majorBidi"/>
      <w:b/>
      <w:bCs/>
      <w:i/>
      <w:iCs/>
      <w:color w:val="4F81BD" w:themeColor="accent1"/>
      <w:sz w:val="17"/>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imes New Roman" w:hAnsi="Times New Roman" w:eastAsia="Times New Roman" w:cstheme="majorBidi"/>
      <w:color w:val="254061" w:themeColor="accent1" w:themeShade="80"/>
      <w:sz w:val="17"/>
    </w:rPr>
  </w:style>
  <w:style w:type="paragraph" w:styleId="8">
    <w:name w:val="heading 6"/>
    <w:basedOn w:val="1"/>
    <w:next w:val="1"/>
    <w:link w:val="152"/>
    <w:semiHidden/>
    <w:unhideWhenUsed/>
    <w:qFormat/>
    <w:uiPriority w:val="9"/>
    <w:pPr>
      <w:keepNext/>
      <w:keepLines/>
      <w:spacing w:before="200" w:after="0"/>
      <w:outlineLvl w:val="5"/>
    </w:pPr>
    <w:rPr>
      <w:rFonts w:ascii="Times New Roman" w:hAnsi="Times New Roman" w:eastAsia="Times New Roman" w:cstheme="majorBidi"/>
      <w:i/>
      <w:iCs/>
      <w:color w:val="254061" w:themeColor="accent1" w:themeShade="80"/>
      <w:sz w:val="17"/>
    </w:rPr>
  </w:style>
  <w:style w:type="paragraph" w:styleId="9">
    <w:name w:val="heading 7"/>
    <w:basedOn w:val="1"/>
    <w:next w:val="1"/>
    <w:link w:val="153"/>
    <w:semiHidden/>
    <w:unhideWhenUsed/>
    <w:qFormat/>
    <w:uiPriority w:val="9"/>
    <w:pPr>
      <w:keepNext/>
      <w:keepLines/>
      <w:spacing w:before="200" w:after="0"/>
      <w:outlineLvl w:val="6"/>
    </w:pPr>
    <w:rPr>
      <w:rFonts w:ascii="Times New Roman" w:hAnsi="Times New Roman" w:eastAsia="Times New Roman" w:cstheme="majorBidi"/>
      <w:i/>
      <w:iCs/>
      <w:color w:val="404040" w:themeColor="text1" w:themeTint="BF"/>
      <w:sz w:val="17"/>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imes New Roman" w:hAnsi="Times New Roman" w:eastAsia="Times New Roman"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imes New Roman" w:hAnsi="Times New Roman" w:eastAsia="Times New Roman"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rPr>
      <w:rFonts w:ascii="Times New Roman" w:hAnsi="Times New Roman" w:eastAsia="Times New Roman" w:cs="Times New Roman"/>
      <w:sz w:val="17"/>
    </w:rPr>
  </w:style>
  <w:style w:type="table" w:default="1" w:styleId="32">
    <w:name w:val="Normal Table"/>
    <w:semiHidden/>
    <w:unhideWhenUsed/>
    <w:uiPriority w:val="99"/>
    <w:rPr>
      <w:rFonts w:ascii="Times New Roman" w:hAnsi="Times New Roman" w:eastAsia="Times New Roman" w:cs="Times New Roman"/>
      <w:sz w:val="17"/>
    </w:rPr>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Times New Roman" w:hAnsi="Times New Roman" w:eastAsia="Times New Roman" w:cstheme="minorBidi"/>
      <w:sz w:val="20"/>
      <w:szCs w:val="20"/>
      <w:lang w:val="en-US" w:eastAsia="en-US" w:bidi="ar-SA"/>
    </w:rPr>
  </w:style>
  <w:style w:type="paragraph" w:styleId="12">
    <w:name w:val="List 3"/>
    <w:basedOn w:val="1"/>
    <w:unhideWhenUsed/>
    <w:uiPriority w:val="99"/>
    <w:pPr>
      <w:ind w:left="1080" w:hanging="360"/>
      <w:contextualSpacing/>
    </w:pPr>
    <w:rPr>
      <w:rFonts w:ascii="Times New Roman" w:hAnsi="Times New Roman" w:eastAsia="Times New Roman" w:cs="Times New Roman"/>
      <w:sz w:val="17"/>
    </w:rPr>
  </w:style>
  <w:style w:type="paragraph" w:styleId="13">
    <w:name w:val="List Number 2"/>
    <w:basedOn w:val="1"/>
    <w:unhideWhenUsed/>
    <w:uiPriority w:val="99"/>
    <w:pPr>
      <w:numPr>
        <w:ilvl w:val="0"/>
        <w:numId w:val="1"/>
      </w:numPr>
      <w:contextualSpacing/>
    </w:pPr>
    <w:rPr>
      <w:rFonts w:ascii="Times New Roman" w:hAnsi="Times New Roman" w:eastAsia="Times New Roman" w:cs="Times New Roman"/>
      <w:sz w:val="17"/>
    </w:rPr>
  </w:style>
  <w:style w:type="paragraph" w:styleId="14">
    <w:name w:val="List Number"/>
    <w:basedOn w:val="1"/>
    <w:unhideWhenUsed/>
    <w:uiPriority w:val="99"/>
    <w:pPr>
      <w:numPr>
        <w:ilvl w:val="0"/>
        <w:numId w:val="2"/>
      </w:numPr>
      <w:contextualSpacing/>
    </w:pPr>
    <w:rPr>
      <w:rFonts w:ascii="Times New Roman" w:hAnsi="Times New Roman" w:eastAsia="Times New Roman" w:cs="Times New Roman"/>
      <w:sz w:val="17"/>
    </w:rPr>
  </w:style>
  <w:style w:type="paragraph" w:styleId="15">
    <w:name w:val="caption"/>
    <w:basedOn w:val="1"/>
    <w:next w:val="1"/>
    <w:semiHidden/>
    <w:unhideWhenUsed/>
    <w:qFormat/>
    <w:uiPriority w:val="35"/>
    <w:pPr>
      <w:spacing w:line="240" w:lineRule="auto"/>
    </w:pPr>
    <w:rPr>
      <w:rFonts w:ascii="Times New Roman" w:hAnsi="Times New Roman" w:eastAsia="Times New Roman" w:cs="Times New Roman"/>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rPr>
      <w:rFonts w:ascii="Times New Roman" w:hAnsi="Times New Roman" w:eastAsia="Times New Roman" w:cs="Times New Roman"/>
      <w:sz w:val="17"/>
    </w:rPr>
  </w:style>
  <w:style w:type="paragraph" w:styleId="17">
    <w:name w:val="Body Text 3"/>
    <w:basedOn w:val="1"/>
    <w:link w:val="146"/>
    <w:unhideWhenUsed/>
    <w:uiPriority w:val="99"/>
    <w:pPr>
      <w:spacing w:after="120"/>
    </w:pPr>
    <w:rPr>
      <w:rFonts w:ascii="Times New Roman" w:hAnsi="Times New Roman" w:eastAsia="Times New Roman" w:cs="Times New Roman"/>
      <w:sz w:val="16"/>
      <w:szCs w:val="16"/>
    </w:rPr>
  </w:style>
  <w:style w:type="paragraph" w:styleId="18">
    <w:name w:val="List Bullet 3"/>
    <w:basedOn w:val="1"/>
    <w:unhideWhenUsed/>
    <w:uiPriority w:val="99"/>
    <w:pPr>
      <w:numPr>
        <w:ilvl w:val="0"/>
        <w:numId w:val="4"/>
      </w:numPr>
      <w:contextualSpacing/>
    </w:pPr>
    <w:rPr>
      <w:rFonts w:ascii="Times New Roman" w:hAnsi="Times New Roman" w:eastAsia="Times New Roman" w:cs="Times New Roman"/>
      <w:sz w:val="17"/>
    </w:rPr>
  </w:style>
  <w:style w:type="paragraph" w:styleId="19">
    <w:name w:val="Body Text"/>
    <w:basedOn w:val="1"/>
    <w:link w:val="144"/>
    <w:unhideWhenUsed/>
    <w:uiPriority w:val="99"/>
    <w:pPr>
      <w:spacing w:after="120"/>
    </w:pPr>
    <w:rPr>
      <w:rFonts w:ascii="Times New Roman" w:hAnsi="Times New Roman" w:eastAsia="Times New Roman" w:cs="Times New Roman"/>
      <w:sz w:val="17"/>
    </w:rPr>
  </w:style>
  <w:style w:type="paragraph" w:styleId="20">
    <w:name w:val="List Number 3"/>
    <w:basedOn w:val="1"/>
    <w:unhideWhenUsed/>
    <w:uiPriority w:val="99"/>
    <w:pPr>
      <w:numPr>
        <w:ilvl w:val="0"/>
        <w:numId w:val="5"/>
      </w:numPr>
      <w:contextualSpacing/>
    </w:pPr>
    <w:rPr>
      <w:rFonts w:ascii="Times New Roman" w:hAnsi="Times New Roman" w:eastAsia="Times New Roman" w:cs="Times New Roman"/>
      <w:sz w:val="17"/>
    </w:rPr>
  </w:style>
  <w:style w:type="paragraph" w:styleId="21">
    <w:name w:val="List 2"/>
    <w:basedOn w:val="1"/>
    <w:unhideWhenUsed/>
    <w:uiPriority w:val="99"/>
    <w:pPr>
      <w:ind w:left="720" w:hanging="360"/>
      <w:contextualSpacing/>
    </w:pPr>
    <w:rPr>
      <w:rFonts w:ascii="Times New Roman" w:hAnsi="Times New Roman" w:eastAsia="Times New Roman" w:cs="Times New Roman"/>
      <w:sz w:val="17"/>
    </w:rPr>
  </w:style>
  <w:style w:type="paragraph" w:styleId="22">
    <w:name w:val="List Continue"/>
    <w:basedOn w:val="1"/>
    <w:unhideWhenUsed/>
    <w:uiPriority w:val="99"/>
    <w:pPr>
      <w:spacing w:after="120"/>
      <w:ind w:left="360"/>
      <w:contextualSpacing/>
    </w:pPr>
    <w:rPr>
      <w:rFonts w:ascii="Times New Roman" w:hAnsi="Times New Roman" w:eastAsia="Times New Roman" w:cs="Times New Roman"/>
      <w:sz w:val="17"/>
    </w:rPr>
  </w:style>
  <w:style w:type="paragraph" w:styleId="23">
    <w:name w:val="List Bullet 2"/>
    <w:basedOn w:val="1"/>
    <w:unhideWhenUsed/>
    <w:uiPriority w:val="99"/>
    <w:pPr>
      <w:numPr>
        <w:ilvl w:val="0"/>
        <w:numId w:val="6"/>
      </w:numPr>
      <w:contextualSpacing/>
    </w:pPr>
    <w:rPr>
      <w:rFonts w:ascii="Times New Roman" w:hAnsi="Times New Roman" w:eastAsia="Times New Roman" w:cs="Times New Roman"/>
      <w:sz w:val="17"/>
    </w:rPr>
  </w:style>
  <w:style w:type="paragraph" w:styleId="24">
    <w:name w:val="footer"/>
    <w:basedOn w:val="1"/>
    <w:link w:val="136"/>
    <w:unhideWhenUsed/>
    <w:uiPriority w:val="99"/>
    <w:pPr>
      <w:tabs>
        <w:tab w:val="center" w:pos="4680"/>
        <w:tab w:val="right" w:pos="9360"/>
      </w:tabs>
      <w:spacing w:after="0" w:line="240" w:lineRule="auto"/>
    </w:pPr>
    <w:rPr>
      <w:rFonts w:ascii="Times New Roman" w:hAnsi="Times New Roman" w:eastAsia="Times New Roman" w:cs="Times New Roman"/>
      <w:sz w:val="17"/>
    </w:rPr>
  </w:style>
  <w:style w:type="paragraph" w:styleId="25">
    <w:name w:val="header"/>
    <w:basedOn w:val="1"/>
    <w:link w:val="135"/>
    <w:unhideWhenUsed/>
    <w:uiPriority w:val="99"/>
    <w:pPr>
      <w:tabs>
        <w:tab w:val="center" w:pos="4680"/>
        <w:tab w:val="right" w:pos="9360"/>
      </w:tabs>
      <w:spacing w:after="0" w:line="240" w:lineRule="auto"/>
    </w:pPr>
    <w:rPr>
      <w:rFonts w:ascii="Times New Roman" w:hAnsi="Times New Roman" w:eastAsia="Times New Roman" w:cs="Times New Roman"/>
      <w:sz w:val="17"/>
    </w:rPr>
  </w:style>
  <w:style w:type="paragraph" w:styleId="26">
    <w:name w:val="Subtitle"/>
    <w:basedOn w:val="1"/>
    <w:next w:val="1"/>
    <w:link w:val="142"/>
    <w:qFormat/>
    <w:uiPriority w:val="11"/>
    <w:rPr>
      <w:rFonts w:ascii="Times New Roman" w:hAnsi="Times New Roman" w:eastAsia="Times New Roman"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rPr>
      <w:rFonts w:ascii="Times New Roman" w:hAnsi="Times New Roman" w:eastAsia="Times New Roman" w:cs="Times New Roman"/>
      <w:sz w:val="17"/>
    </w:rPr>
  </w:style>
  <w:style w:type="paragraph" w:styleId="28">
    <w:name w:val="Body Text 2"/>
    <w:basedOn w:val="1"/>
    <w:link w:val="145"/>
    <w:unhideWhenUsed/>
    <w:uiPriority w:val="99"/>
    <w:pPr>
      <w:spacing w:after="120" w:line="480" w:lineRule="auto"/>
    </w:pPr>
    <w:rPr>
      <w:rFonts w:ascii="Times New Roman" w:hAnsi="Times New Roman" w:eastAsia="Times New Roman" w:cs="Times New Roman"/>
      <w:sz w:val="17"/>
    </w:rPr>
  </w:style>
  <w:style w:type="paragraph" w:styleId="29">
    <w:name w:val="List Continue 2"/>
    <w:basedOn w:val="1"/>
    <w:unhideWhenUsed/>
    <w:uiPriority w:val="99"/>
    <w:pPr>
      <w:spacing w:after="120"/>
      <w:ind w:left="720"/>
      <w:contextualSpacing/>
    </w:pPr>
    <w:rPr>
      <w:rFonts w:ascii="Times New Roman" w:hAnsi="Times New Roman" w:eastAsia="Times New Roman" w:cs="Times New Roman"/>
      <w:sz w:val="17"/>
    </w:rPr>
  </w:style>
  <w:style w:type="paragraph" w:styleId="30">
    <w:name w:val="List Continue 3"/>
    <w:basedOn w:val="1"/>
    <w:unhideWhenUsed/>
    <w:uiPriority w:val="99"/>
    <w:pPr>
      <w:spacing w:after="120"/>
      <w:ind w:left="1080"/>
      <w:contextualSpacing/>
    </w:pPr>
    <w:rPr>
      <w:rFonts w:ascii="Times New Roman" w:hAnsi="Times New Roman" w:eastAsia="Times New Roman" w:cs="Times New Roman"/>
      <w:sz w:val="17"/>
    </w:r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imes New Roman" w:hAnsi="Times New Roman" w:eastAsia="Times New Roman" w:cstheme="majorBidi"/>
      <w:color w:val="17375E" w:themeColor="text2" w:themeShade="BF"/>
      <w:spacing w:val="5"/>
      <w:kern w:val="28"/>
      <w:sz w:val="52"/>
      <w:szCs w:val="52"/>
    </w:rPr>
  </w:style>
  <w:style w:type="table" w:styleId="33">
    <w:name w:val="Table Grid"/>
    <w:basedOn w:val="32"/>
    <w:uiPriority w:val="59"/>
    <w:pPr>
      <w:spacing w:after="0" w:line="240" w:lineRule="auto"/>
    </w:pPr>
    <w:rPr>
      <w:rFonts w:ascii="Times New Roman" w:hAnsi="Times New Roman" w:eastAsia="Times New Roman" w:cs="Times New Roman"/>
      <w:sz w:val="17"/>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rFonts w:ascii="Times New Roman" w:hAnsi="Times New Roman" w:eastAsia="Times New Roman" w:cs="Times New Roman"/>
      <w:color w:val="000000" w:themeColor="text1" w:themeShade="BF"/>
      <w:sz w:val="17"/>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rFonts w:ascii="Times New Roman" w:hAnsi="Times New Roman" w:eastAsia="Times New Roman" w:cs="Times New Roman"/>
      <w:color w:val="376092" w:themeColor="accent1" w:themeShade="BF"/>
      <w:sz w:val="17"/>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rFonts w:ascii="Times New Roman" w:hAnsi="Times New Roman" w:eastAsia="Times New Roman" w:cs="Times New Roman"/>
      <w:color w:val="953735" w:themeColor="accent2" w:themeShade="BF"/>
      <w:sz w:val="17"/>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rFonts w:ascii="Times New Roman" w:hAnsi="Times New Roman" w:eastAsia="Times New Roman" w:cs="Times New Roman"/>
      <w:color w:val="77933C" w:themeColor="accent3" w:themeShade="BF"/>
      <w:sz w:val="17"/>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rFonts w:ascii="Times New Roman" w:hAnsi="Times New Roman" w:eastAsia="Times New Roman" w:cs="Times New Roman"/>
      <w:color w:val="604A7B" w:themeColor="accent4" w:themeShade="BF"/>
      <w:sz w:val="17"/>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rFonts w:ascii="Times New Roman" w:hAnsi="Times New Roman" w:eastAsia="Times New Roman" w:cs="Times New Roman"/>
      <w:color w:val="31859C" w:themeColor="accent5" w:themeShade="BF"/>
      <w:sz w:val="17"/>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rFonts w:ascii="Times New Roman" w:hAnsi="Times New Roman" w:eastAsia="Times New Roman" w:cs="Times New Roman"/>
      <w:color w:val="E46C0A" w:themeColor="accent6" w:themeShade="BF"/>
      <w:sz w:val="17"/>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rPr>
      <w:rFonts w:ascii="Times New Roman" w:hAnsi="Times New Roman" w:eastAsia="Times New Roman" w:cs="Times New Roman"/>
      <w:sz w:val="17"/>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rPr>
      <w:rFonts w:ascii="Times New Roman" w:hAnsi="Times New Roman" w:eastAsia="Times New Roman" w:cs="Times New Roman"/>
      <w:sz w:val="17"/>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rPr>
      <w:rFonts w:ascii="Times New Roman" w:hAnsi="Times New Roman" w:eastAsia="Times New Roman" w:cs="Times New Roman"/>
      <w:sz w:val="17"/>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rPr>
      <w:rFonts w:ascii="Times New Roman" w:hAnsi="Times New Roman" w:eastAsia="Times New Roman" w:cs="Times New Roman"/>
      <w:sz w:val="17"/>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rPr>
      <w:rFonts w:ascii="Times New Roman" w:hAnsi="Times New Roman" w:eastAsia="Times New Roman" w:cs="Times New Roman"/>
      <w:sz w:val="17"/>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rPr>
      <w:rFonts w:ascii="Times New Roman" w:hAnsi="Times New Roman" w:eastAsia="Times New Roman" w:cs="Times New Roman"/>
      <w:sz w:val="17"/>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rPr>
      <w:rFonts w:ascii="Times New Roman" w:hAnsi="Times New Roman" w:eastAsia="Times New Roman" w:cs="Times New Roman"/>
      <w:sz w:val="17"/>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rPr>
      <w:rFonts w:ascii="Times New Roman" w:hAnsi="Times New Roman" w:eastAsia="Times New Roman" w:cs="Times New Roman"/>
      <w:sz w:val="17"/>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cstheme="majorBidi"/>
        <w:b/>
        <w:bCs/>
      </w:rPr>
    </w:tblStylePr>
    <w:tblStylePr w:type="lastCol">
      <w:rPr>
        <w:rFonts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rPr>
      <w:rFonts w:ascii="Times New Roman" w:hAnsi="Times New Roman" w:eastAsia="Times New Roman" w:cs="Times New Roman"/>
      <w:sz w:val="17"/>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cstheme="majorBidi"/>
        <w:b/>
        <w:bCs/>
      </w:rPr>
    </w:tblStylePr>
    <w:tblStylePr w:type="lastCol">
      <w:rPr>
        <w:rFonts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rPr>
      <w:rFonts w:ascii="Times New Roman" w:hAnsi="Times New Roman" w:eastAsia="Times New Roman" w:cs="Times New Roman"/>
      <w:sz w:val="17"/>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cstheme="majorBidi"/>
        <w:b/>
        <w:bCs/>
      </w:rPr>
    </w:tblStylePr>
    <w:tblStylePr w:type="lastCol">
      <w:rPr>
        <w:rFonts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rPr>
      <w:rFonts w:ascii="Times New Roman" w:hAnsi="Times New Roman" w:eastAsia="Times New Roman" w:cs="Times New Roman"/>
      <w:sz w:val="17"/>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cstheme="majorBidi"/>
        <w:b/>
        <w:bCs/>
      </w:rPr>
    </w:tblStylePr>
    <w:tblStylePr w:type="lastCol">
      <w:rPr>
        <w:rFonts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rPr>
      <w:rFonts w:ascii="Times New Roman" w:hAnsi="Times New Roman" w:eastAsia="Times New Roman" w:cs="Times New Roman"/>
      <w:sz w:val="17"/>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cstheme="majorBidi"/>
        <w:b/>
        <w:bCs/>
      </w:rPr>
    </w:tblStylePr>
    <w:tblStylePr w:type="lastCol">
      <w:rPr>
        <w:rFonts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rPr>
      <w:rFonts w:ascii="Times New Roman" w:hAnsi="Times New Roman" w:eastAsia="Times New Roman" w:cs="Times New Roman"/>
      <w:sz w:val="17"/>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cstheme="majorBidi"/>
        <w:b/>
        <w:bCs/>
      </w:rPr>
    </w:tblStylePr>
    <w:tblStylePr w:type="lastCol">
      <w:rPr>
        <w:rFonts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rPr>
      <w:rFonts w:ascii="Times New Roman" w:hAnsi="Times New Roman" w:eastAsia="Times New Roman" w:cs="Times New Roman"/>
      <w:sz w:val="17"/>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cstheme="majorBidi"/>
        <w:b/>
        <w:bCs/>
      </w:rPr>
    </w:tblStylePr>
    <w:tblStylePr w:type="lastCol">
      <w:rPr>
        <w:rFonts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rPr>
      <w:rFonts w:ascii="Times New Roman" w:hAnsi="Times New Roman" w:eastAsia="Times New Roman" w:cs="Times New Roman"/>
      <w:sz w:val="17"/>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rPr>
      <w:rFonts w:ascii="Times New Roman" w:hAnsi="Times New Roman" w:eastAsia="Times New Roman" w:cs="Times New Roman"/>
      <w:sz w:val="17"/>
    </w:r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rPr>
      <w:rFonts w:ascii="Times New Roman" w:hAnsi="Times New Roman" w:eastAsia="Times New Roman" w:cs="Times New Roman"/>
      <w:sz w:val="17"/>
    </w:r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rPr>
      <w:rFonts w:ascii="Times New Roman" w:hAnsi="Times New Roman" w:eastAsia="Times New Roman" w:cs="Times New Roman"/>
      <w:sz w:val="17"/>
    </w:r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rPr>
      <w:rFonts w:ascii="Times New Roman" w:hAnsi="Times New Roman" w:eastAsia="Times New Roman" w:cs="Times New Roman"/>
      <w:sz w:val="17"/>
    </w:r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rPr>
      <w:rFonts w:ascii="Times New Roman" w:hAnsi="Times New Roman" w:eastAsia="Times New Roman" w:cs="Times New Roman"/>
      <w:sz w:val="17"/>
    </w:r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rPr>
      <w:rFonts w:ascii="Times New Roman" w:hAnsi="Times New Roman" w:eastAsia="Times New Roman" w:cs="Times New Roman"/>
      <w:sz w:val="17"/>
    </w:r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rPr>
      <w:rFonts w:ascii="Times New Roman" w:hAnsi="Times New Roman" w:eastAsia="Times New Roman" w:cs="Times New Roman"/>
      <w:sz w:val="17"/>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rPr>
      <w:rFonts w:ascii="Times New Roman" w:hAnsi="Times New Roman" w:eastAsia="Times New Roman" w:cs="Times New Roman"/>
      <w:sz w:val="17"/>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rPr>
      <w:rFonts w:ascii="Times New Roman" w:hAnsi="Times New Roman" w:eastAsia="Times New Roman" w:cs="Times New Roman"/>
      <w:sz w:val="17"/>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rPr>
      <w:rFonts w:ascii="Times New Roman" w:hAnsi="Times New Roman" w:eastAsia="Times New Roman" w:cs="Times New Roman"/>
      <w:sz w:val="17"/>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rPr>
      <w:rFonts w:ascii="Times New Roman" w:hAnsi="Times New Roman" w:eastAsia="Times New Roman" w:cs="Times New Roman"/>
      <w:sz w:val="17"/>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rPr>
      <w:rFonts w:ascii="Times New Roman" w:hAnsi="Times New Roman" w:eastAsia="Times New Roman" w:cs="Times New Roman"/>
      <w:sz w:val="17"/>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rPr>
      <w:rFonts w:ascii="Times New Roman" w:hAnsi="Times New Roman" w:eastAsia="Times New Roman" w:cs="Times New Roman"/>
      <w:sz w:val="17"/>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imes New Roman" w:hAnsi="Times New Roman" w:eastAsia="Times New Roman" w:cstheme="majorBidi"/>
      <w:color w:val="000000" w:themeColor="text1"/>
      <w:sz w:val="17"/>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imes New Roman" w:hAnsi="Times New Roman" w:eastAsia="Times New Roman" w:cstheme="majorBidi"/>
      <w:color w:val="000000" w:themeColor="text1"/>
      <w:sz w:val="17"/>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imes New Roman" w:hAnsi="Times New Roman" w:eastAsia="Times New Roman" w:cstheme="majorBidi"/>
      <w:color w:val="000000" w:themeColor="text1"/>
      <w:sz w:val="17"/>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imes New Roman" w:hAnsi="Times New Roman" w:eastAsia="Times New Roman" w:cstheme="majorBidi"/>
      <w:color w:val="000000" w:themeColor="text1"/>
      <w:sz w:val="17"/>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imes New Roman" w:hAnsi="Times New Roman" w:eastAsia="Times New Roman" w:cstheme="majorBidi"/>
      <w:color w:val="000000" w:themeColor="text1"/>
      <w:sz w:val="17"/>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imes New Roman" w:hAnsi="Times New Roman" w:eastAsia="Times New Roman" w:cstheme="majorBidi"/>
      <w:color w:val="000000" w:themeColor="text1"/>
      <w:sz w:val="17"/>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imes New Roman" w:hAnsi="Times New Roman" w:eastAsia="Times New Roman" w:cstheme="majorBidi"/>
      <w:color w:val="000000" w:themeColor="text1"/>
      <w:sz w:val="17"/>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rPr>
      <w:rFonts w:ascii="Times New Roman" w:hAnsi="Times New Roman" w:eastAsia="Times New Roman" w:cs="Times New Roman"/>
      <w:sz w:val="17"/>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rPr>
      <w:rFonts w:ascii="Times New Roman" w:hAnsi="Times New Roman" w:eastAsia="Times New Roman" w:cs="Times New Roman"/>
      <w:sz w:val="17"/>
    </w:r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rPr>
      <w:rFonts w:ascii="Times New Roman" w:hAnsi="Times New Roman" w:eastAsia="Times New Roman" w:cs="Times New Roman"/>
      <w:sz w:val="17"/>
    </w:r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rPr>
      <w:rFonts w:ascii="Times New Roman" w:hAnsi="Times New Roman" w:eastAsia="Times New Roman" w:cs="Times New Roman"/>
      <w:sz w:val="17"/>
    </w:r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rPr>
      <w:rFonts w:ascii="Times New Roman" w:hAnsi="Times New Roman" w:eastAsia="Times New Roman" w:cs="Times New Roman"/>
      <w:sz w:val="17"/>
    </w:r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rPr>
      <w:rFonts w:ascii="Times New Roman" w:hAnsi="Times New Roman" w:eastAsia="Times New Roman" w:cs="Times New Roman"/>
      <w:sz w:val="17"/>
    </w:r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rPr>
      <w:rFonts w:ascii="Times New Roman" w:hAnsi="Times New Roman" w:eastAsia="Times New Roman" w:cs="Times New Roman"/>
      <w:sz w:val="17"/>
    </w:r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imes New Roman" w:hAnsi="Times New Roman" w:eastAsia="Times New Roman" w:cstheme="majorBidi"/>
      <w:color w:val="000000" w:themeColor="text1"/>
      <w:sz w:val="17"/>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imes New Roman" w:hAnsi="Times New Roman" w:eastAsia="Times New Roman" w:cstheme="majorBidi"/>
      <w:color w:val="000000" w:themeColor="text1"/>
      <w:sz w:val="17"/>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imes New Roman" w:hAnsi="Times New Roman" w:eastAsia="Times New Roman" w:cstheme="majorBidi"/>
      <w:color w:val="000000" w:themeColor="text1"/>
      <w:sz w:val="17"/>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imes New Roman" w:hAnsi="Times New Roman" w:eastAsia="Times New Roman" w:cstheme="majorBidi"/>
      <w:color w:val="000000" w:themeColor="text1"/>
      <w:sz w:val="17"/>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imes New Roman" w:hAnsi="Times New Roman" w:eastAsia="Times New Roman" w:cstheme="majorBidi"/>
      <w:color w:val="000000" w:themeColor="text1"/>
      <w:sz w:val="17"/>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imes New Roman" w:hAnsi="Times New Roman" w:eastAsia="Times New Roman" w:cstheme="majorBidi"/>
      <w:color w:val="000000" w:themeColor="text1"/>
      <w:sz w:val="17"/>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imes New Roman" w:hAnsi="Times New Roman" w:eastAsia="Times New Roman" w:cstheme="majorBidi"/>
      <w:color w:val="000000" w:themeColor="text1"/>
      <w:sz w:val="17"/>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rPr>
      <w:rFonts w:ascii="Times New Roman" w:hAnsi="Times New Roman" w:eastAsia="Times New Roman" w:cs="Times New Roman"/>
      <w:sz w:val="17"/>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rPr>
      <w:rFonts w:ascii="Times New Roman" w:hAnsi="Times New Roman" w:eastAsia="Times New Roman" w:cs="Times New Roman"/>
      <w:sz w:val="17"/>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rPr>
      <w:rFonts w:ascii="Times New Roman" w:hAnsi="Times New Roman" w:eastAsia="Times New Roman" w:cs="Times New Roman"/>
      <w:sz w:val="17"/>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rPr>
      <w:rFonts w:ascii="Times New Roman" w:hAnsi="Times New Roman" w:eastAsia="Times New Roman" w:cs="Times New Roman"/>
      <w:sz w:val="17"/>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rPr>
      <w:rFonts w:ascii="Times New Roman" w:hAnsi="Times New Roman" w:eastAsia="Times New Roman" w:cs="Times New Roman"/>
      <w:sz w:val="17"/>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rPr>
      <w:rFonts w:ascii="Times New Roman" w:hAnsi="Times New Roman" w:eastAsia="Times New Roman" w:cs="Times New Roman"/>
      <w:sz w:val="17"/>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rPr>
      <w:rFonts w:ascii="Times New Roman" w:hAnsi="Times New Roman" w:eastAsia="Times New Roman" w:cs="Times New Roman"/>
      <w:sz w:val="17"/>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rFonts w:ascii="Times New Roman" w:hAnsi="Times New Roman" w:eastAsia="Times New Roman" w:cs="Times New Roman"/>
      <w:color w:val="FFFFFF" w:themeColor="background1"/>
      <w:sz w:val="17"/>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rFonts w:ascii="Times New Roman" w:hAnsi="Times New Roman" w:eastAsia="Times New Roman" w:cs="Times New Roman"/>
      <w:color w:val="FFFFFF" w:themeColor="background1"/>
      <w:sz w:val="17"/>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rFonts w:ascii="Times New Roman" w:hAnsi="Times New Roman" w:eastAsia="Times New Roman" w:cs="Times New Roman"/>
      <w:color w:val="FFFFFF" w:themeColor="background1"/>
      <w:sz w:val="17"/>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rFonts w:ascii="Times New Roman" w:hAnsi="Times New Roman" w:eastAsia="Times New Roman" w:cs="Times New Roman"/>
      <w:color w:val="FFFFFF" w:themeColor="background1"/>
      <w:sz w:val="17"/>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rFonts w:ascii="Times New Roman" w:hAnsi="Times New Roman" w:eastAsia="Times New Roman" w:cs="Times New Roman"/>
      <w:color w:val="FFFFFF" w:themeColor="background1"/>
      <w:sz w:val="17"/>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rFonts w:ascii="Times New Roman" w:hAnsi="Times New Roman" w:eastAsia="Times New Roman" w:cs="Times New Roman"/>
      <w:color w:val="FFFFFF" w:themeColor="background1"/>
      <w:sz w:val="17"/>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rFonts w:ascii="Times New Roman" w:hAnsi="Times New Roman" w:eastAsia="Times New Roman" w:cs="Times New Roman"/>
      <w:color w:val="FFFFFF" w:themeColor="background1"/>
      <w:sz w:val="17"/>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rFonts w:ascii="Times New Roman" w:hAnsi="Times New Roman" w:eastAsia="Times New Roman" w:cs="Times New Roman"/>
      <w:color w:val="000000" w:themeColor="text1"/>
      <w:sz w:val="17"/>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rFonts w:ascii="Times New Roman" w:hAnsi="Times New Roman" w:eastAsia="Times New Roman" w:cs="Times New Roman"/>
      <w:b/>
      <w:bCs/>
      <w:sz w:val="17"/>
    </w:rPr>
  </w:style>
  <w:style w:type="character" w:styleId="134">
    <w:name w:val="Emphasis"/>
    <w:basedOn w:val="132"/>
    <w:qFormat/>
    <w:uiPriority w:val="20"/>
    <w:rPr>
      <w:rFonts w:ascii="Times New Roman" w:hAnsi="Times New Roman" w:eastAsia="Times New Roman" w:cs="Times New Roman"/>
      <w:i/>
      <w:iCs/>
      <w:sz w:val="17"/>
    </w:rPr>
  </w:style>
  <w:style w:type="character" w:customStyle="1" w:styleId="135">
    <w:name w:val="Header Char"/>
    <w:basedOn w:val="132"/>
    <w:link w:val="25"/>
    <w:uiPriority w:val="99"/>
    <w:rPr>
      <w:rFonts w:ascii="Times New Roman" w:hAnsi="Times New Roman" w:eastAsia="Times New Roman" w:cs="Times New Roman"/>
      <w:sz w:val="17"/>
    </w:rPr>
  </w:style>
  <w:style w:type="character" w:customStyle="1" w:styleId="136">
    <w:name w:val="Footer Char"/>
    <w:basedOn w:val="132"/>
    <w:link w:val="24"/>
    <w:uiPriority w:val="99"/>
    <w:rPr>
      <w:rFonts w:ascii="Times New Roman" w:hAnsi="Times New Roman" w:eastAsia="Times New Roman" w:cs="Times New Roman"/>
      <w:sz w:val="17"/>
    </w:rPr>
  </w:style>
  <w:style w:type="paragraph" w:styleId="137">
    <w:name w:val="No Spacing"/>
    <w:qFormat/>
    <w:uiPriority w:val="1"/>
    <w:pPr>
      <w:spacing w:after="0" w:line="240" w:lineRule="auto"/>
    </w:pPr>
    <w:rPr>
      <w:rFonts w:ascii="Times New Roman" w:hAnsi="Times New Roman" w:eastAsia="Times New Roman" w:cstheme="minorBidi"/>
      <w:sz w:val="22"/>
      <w:szCs w:val="22"/>
      <w:lang w:val="en-US" w:eastAsia="en-US" w:bidi="ar-SA"/>
    </w:rPr>
  </w:style>
  <w:style w:type="character" w:customStyle="1" w:styleId="138">
    <w:name w:val="Heading 1 Char"/>
    <w:basedOn w:val="132"/>
    <w:link w:val="3"/>
    <w:uiPriority w:val="9"/>
    <w:rPr>
      <w:rFonts w:ascii="Times New Roman" w:hAnsi="Times New Roman" w:eastAsia="Times New Roman" w:cstheme="majorBidi"/>
      <w:b/>
      <w:bCs/>
      <w:color w:val="376092" w:themeColor="accent1" w:themeShade="BF"/>
      <w:sz w:val="28"/>
      <w:szCs w:val="28"/>
    </w:rPr>
  </w:style>
  <w:style w:type="character" w:customStyle="1" w:styleId="139">
    <w:name w:val="Heading 2 Char"/>
    <w:basedOn w:val="132"/>
    <w:link w:val="4"/>
    <w:uiPriority w:val="9"/>
    <w:rPr>
      <w:rFonts w:ascii="Times New Roman" w:hAnsi="Times New Roman" w:eastAsia="Times New Roman"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imes New Roman" w:hAnsi="Times New Roman" w:eastAsia="Times New Roman" w:cstheme="majorBidi"/>
      <w:b/>
      <w:bCs/>
      <w:color w:val="4F81BD" w:themeColor="accent1"/>
      <w:sz w:val="17"/>
      <w14:textFill>
        <w14:solidFill>
          <w14:schemeClr w14:val="accent1"/>
        </w14:solidFill>
      </w14:textFill>
    </w:rPr>
  </w:style>
  <w:style w:type="character" w:customStyle="1" w:styleId="141">
    <w:name w:val="Title Char"/>
    <w:basedOn w:val="132"/>
    <w:link w:val="31"/>
    <w:uiPriority w:val="10"/>
    <w:rPr>
      <w:rFonts w:ascii="Times New Roman" w:hAnsi="Times New Roman" w:eastAsia="Times New Roman" w:cstheme="majorBidi"/>
      <w:color w:val="17375E" w:themeColor="text2" w:themeShade="BF"/>
      <w:spacing w:val="5"/>
      <w:kern w:val="28"/>
      <w:sz w:val="52"/>
      <w:szCs w:val="52"/>
    </w:rPr>
  </w:style>
  <w:style w:type="character" w:customStyle="1" w:styleId="142">
    <w:name w:val="Subtitle Char"/>
    <w:basedOn w:val="132"/>
    <w:link w:val="26"/>
    <w:uiPriority w:val="11"/>
    <w:rPr>
      <w:rFonts w:ascii="Times New Roman" w:hAnsi="Times New Roman" w:eastAsia="Times New Roman"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rPr>
      <w:rFonts w:ascii="Times New Roman" w:hAnsi="Times New Roman" w:eastAsia="Times New Roman" w:cs="Times New Roman"/>
      <w:sz w:val="17"/>
    </w:rPr>
  </w:style>
  <w:style w:type="character" w:customStyle="1" w:styleId="144">
    <w:name w:val="Body Text Char"/>
    <w:basedOn w:val="132"/>
    <w:link w:val="19"/>
    <w:uiPriority w:val="99"/>
    <w:rPr>
      <w:rFonts w:ascii="Times New Roman" w:hAnsi="Times New Roman" w:eastAsia="Times New Roman" w:cs="Times New Roman"/>
      <w:sz w:val="17"/>
    </w:rPr>
  </w:style>
  <w:style w:type="character" w:customStyle="1" w:styleId="145">
    <w:name w:val="Body Text 2 Char"/>
    <w:basedOn w:val="132"/>
    <w:link w:val="28"/>
    <w:uiPriority w:val="99"/>
    <w:rPr>
      <w:rFonts w:ascii="Times New Roman" w:hAnsi="Times New Roman" w:eastAsia="Times New Roman" w:cs="Times New Roman"/>
      <w:sz w:val="17"/>
    </w:rPr>
  </w:style>
  <w:style w:type="character" w:customStyle="1" w:styleId="146">
    <w:name w:val="Body Text 3 Char"/>
    <w:basedOn w:val="132"/>
    <w:link w:val="17"/>
    <w:uiPriority w:val="99"/>
    <w:rPr>
      <w:rFonts w:ascii="Times New Roman" w:hAnsi="Times New Roman" w:eastAsia="Times New Roman" w:cs="Times New Roman"/>
      <w:sz w:val="16"/>
      <w:szCs w:val="16"/>
    </w:rPr>
  </w:style>
  <w:style w:type="character" w:customStyle="1" w:styleId="147">
    <w:name w:val="Macro Text Char"/>
    <w:basedOn w:val="132"/>
    <w:link w:val="2"/>
    <w:uiPriority w:val="99"/>
    <w:rPr>
      <w:rFonts w:ascii="Times New Roman" w:hAnsi="Times New Roman" w:eastAsia="Times New Roman" w:cs="Times New Roman"/>
      <w:sz w:val="20"/>
      <w:szCs w:val="20"/>
    </w:rPr>
  </w:style>
  <w:style w:type="paragraph" w:styleId="148">
    <w:name w:val="Quote"/>
    <w:basedOn w:val="1"/>
    <w:next w:val="1"/>
    <w:link w:val="149"/>
    <w:qFormat/>
    <w:uiPriority w:val="29"/>
    <w:rPr>
      <w:rFonts w:ascii="Times New Roman" w:hAnsi="Times New Roman" w:eastAsia="Times New Roman" w:cs="Times New Roman"/>
      <w:i/>
      <w:iCs/>
      <w:color w:val="000000" w:themeColor="text1"/>
      <w:sz w:val="17"/>
      <w14:textFill>
        <w14:solidFill>
          <w14:schemeClr w14:val="tx1"/>
        </w14:solidFill>
      </w14:textFill>
    </w:rPr>
  </w:style>
  <w:style w:type="character" w:customStyle="1" w:styleId="149">
    <w:name w:val="Quote Char"/>
    <w:basedOn w:val="132"/>
    <w:link w:val="148"/>
    <w:uiPriority w:val="29"/>
    <w:rPr>
      <w:rFonts w:ascii="Times New Roman" w:hAnsi="Times New Roman" w:eastAsia="Times New Roman" w:cs="Times New Roman"/>
      <w:i/>
      <w:iCs/>
      <w:color w:val="000000" w:themeColor="text1"/>
      <w:sz w:val="17"/>
      <w14:textFill>
        <w14:solidFill>
          <w14:schemeClr w14:val="tx1"/>
        </w14:solidFill>
      </w14:textFill>
    </w:rPr>
  </w:style>
  <w:style w:type="character" w:customStyle="1" w:styleId="150">
    <w:name w:val="Heading 4 Char"/>
    <w:basedOn w:val="132"/>
    <w:link w:val="6"/>
    <w:semiHidden/>
    <w:uiPriority w:val="9"/>
    <w:rPr>
      <w:rFonts w:ascii="Times New Roman" w:hAnsi="Times New Roman" w:eastAsia="Times New Roman" w:cstheme="majorBidi"/>
      <w:b/>
      <w:bCs/>
      <w:i/>
      <w:iCs/>
      <w:color w:val="4F81BD" w:themeColor="accent1"/>
      <w:sz w:val="17"/>
      <w14:textFill>
        <w14:solidFill>
          <w14:schemeClr w14:val="accent1"/>
        </w14:solidFill>
      </w14:textFill>
    </w:rPr>
  </w:style>
  <w:style w:type="character" w:customStyle="1" w:styleId="151">
    <w:name w:val="Heading 5 Char"/>
    <w:basedOn w:val="132"/>
    <w:link w:val="7"/>
    <w:semiHidden/>
    <w:uiPriority w:val="9"/>
    <w:rPr>
      <w:rFonts w:ascii="Times New Roman" w:hAnsi="Times New Roman" w:eastAsia="Times New Roman" w:cstheme="majorBidi"/>
      <w:color w:val="254061" w:themeColor="accent1" w:themeShade="80"/>
      <w:sz w:val="17"/>
    </w:rPr>
  </w:style>
  <w:style w:type="character" w:customStyle="1" w:styleId="152">
    <w:name w:val="Heading 6 Char"/>
    <w:basedOn w:val="132"/>
    <w:link w:val="8"/>
    <w:semiHidden/>
    <w:uiPriority w:val="9"/>
    <w:rPr>
      <w:rFonts w:ascii="Times New Roman" w:hAnsi="Times New Roman" w:eastAsia="Times New Roman" w:cstheme="majorBidi"/>
      <w:i/>
      <w:iCs/>
      <w:color w:val="254061" w:themeColor="accent1" w:themeShade="80"/>
      <w:sz w:val="17"/>
    </w:rPr>
  </w:style>
  <w:style w:type="character" w:customStyle="1" w:styleId="153">
    <w:name w:val="Heading 7 Char"/>
    <w:basedOn w:val="132"/>
    <w:link w:val="9"/>
    <w:semiHidden/>
    <w:uiPriority w:val="9"/>
    <w:rPr>
      <w:rFonts w:ascii="Times New Roman" w:hAnsi="Times New Roman" w:eastAsia="Times New Roman" w:cstheme="majorBidi"/>
      <w:i/>
      <w:iCs/>
      <w:color w:val="404040" w:themeColor="text1" w:themeTint="BF"/>
      <w:sz w:val="17"/>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imes New Roman" w:hAnsi="Times New Roman" w:eastAsia="Times New Roman"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imes New Roman" w:hAnsi="Times New Roman" w:eastAsia="Times New Roman"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rFonts w:ascii="Times New Roman" w:hAnsi="Times New Roman" w:eastAsia="Times New Roman" w:cs="Times New Roman"/>
      <w:b/>
      <w:bCs/>
      <w:i/>
      <w:iCs/>
      <w:color w:val="4F81BD" w:themeColor="accent1"/>
      <w:sz w:val="17"/>
      <w14:textFill>
        <w14:solidFill>
          <w14:schemeClr w14:val="accent1"/>
        </w14:solidFill>
      </w14:textFill>
    </w:rPr>
  </w:style>
  <w:style w:type="character" w:customStyle="1" w:styleId="157">
    <w:name w:val="Intense Quote Char"/>
    <w:basedOn w:val="132"/>
    <w:link w:val="156"/>
    <w:uiPriority w:val="30"/>
    <w:rPr>
      <w:rFonts w:ascii="Times New Roman" w:hAnsi="Times New Roman" w:eastAsia="Times New Roman" w:cs="Times New Roman"/>
      <w:b/>
      <w:bCs/>
      <w:i/>
      <w:iCs/>
      <w:color w:val="4F81BD" w:themeColor="accent1"/>
      <w:sz w:val="17"/>
      <w14:textFill>
        <w14:solidFill>
          <w14:schemeClr w14:val="accent1"/>
        </w14:solidFill>
      </w14:textFill>
    </w:rPr>
  </w:style>
  <w:style w:type="character" w:customStyle="1" w:styleId="158">
    <w:name w:val="Subtle Emphasis"/>
    <w:basedOn w:val="132"/>
    <w:qFormat/>
    <w:uiPriority w:val="19"/>
    <w:rPr>
      <w:rFonts w:ascii="Times New Roman" w:hAnsi="Times New Roman" w:eastAsia="Times New Roman" w:cs="Times New Roman"/>
      <w:i/>
      <w:iCs/>
      <w:color w:val="808080" w:themeColor="text1" w:themeTint="80"/>
      <w:sz w:val="17"/>
      <w14:textFill>
        <w14:solidFill>
          <w14:schemeClr w14:val="tx1">
            <w14:lumMod w14:val="50000"/>
            <w14:lumOff w14:val="50000"/>
          </w14:schemeClr>
        </w14:solidFill>
      </w14:textFill>
    </w:rPr>
  </w:style>
  <w:style w:type="character" w:customStyle="1" w:styleId="159">
    <w:name w:val="Intense Emphasis"/>
    <w:basedOn w:val="132"/>
    <w:qFormat/>
    <w:uiPriority w:val="21"/>
    <w:rPr>
      <w:rFonts w:ascii="Times New Roman" w:hAnsi="Times New Roman" w:eastAsia="Times New Roman" w:cs="Times New Roman"/>
      <w:b/>
      <w:bCs/>
      <w:i/>
      <w:iCs/>
      <w:color w:val="4F81BD" w:themeColor="accent1"/>
      <w:sz w:val="17"/>
      <w14:textFill>
        <w14:solidFill>
          <w14:schemeClr w14:val="accent1"/>
        </w14:solidFill>
      </w14:textFill>
    </w:rPr>
  </w:style>
  <w:style w:type="character" w:customStyle="1" w:styleId="160">
    <w:name w:val="Subtle Reference"/>
    <w:basedOn w:val="132"/>
    <w:qFormat/>
    <w:uiPriority w:val="31"/>
    <w:rPr>
      <w:rFonts w:ascii="Times New Roman" w:hAnsi="Times New Roman" w:eastAsia="Times New Roman" w:cs="Times New Roman"/>
      <w:smallCaps/>
      <w:color w:val="C0504D" w:themeColor="accent2"/>
      <w:sz w:val="17"/>
      <w:u w:val="single"/>
      <w14:textFill>
        <w14:solidFill>
          <w14:schemeClr w14:val="accent2"/>
        </w14:solidFill>
      </w14:textFill>
    </w:rPr>
  </w:style>
  <w:style w:type="character" w:customStyle="1" w:styleId="161">
    <w:name w:val="Intense Reference"/>
    <w:basedOn w:val="132"/>
    <w:qFormat/>
    <w:uiPriority w:val="32"/>
    <w:rPr>
      <w:rFonts w:ascii="Times New Roman" w:hAnsi="Times New Roman" w:eastAsia="Times New Roman" w:cs="Times New Roman"/>
      <w:b/>
      <w:bCs/>
      <w:smallCaps/>
      <w:color w:val="C0504D" w:themeColor="accent2"/>
      <w:spacing w:val="5"/>
      <w:sz w:val="17"/>
      <w:u w:val="single"/>
      <w14:textFill>
        <w14:solidFill>
          <w14:schemeClr w14:val="accent2"/>
        </w14:solidFill>
      </w14:textFill>
    </w:rPr>
  </w:style>
  <w:style w:type="character" w:customStyle="1" w:styleId="162">
    <w:name w:val="Book Title"/>
    <w:basedOn w:val="132"/>
    <w:qFormat/>
    <w:uiPriority w:val="33"/>
    <w:rPr>
      <w:rFonts w:ascii="Times New Roman" w:hAnsi="Times New Roman" w:eastAsia="Times New Roman" w:cs="Times New Roman"/>
      <w:b/>
      <w:bCs/>
      <w:smallCaps/>
      <w:spacing w:val="5"/>
      <w:sz w:val="17"/>
    </w:rPr>
  </w:style>
  <w:style w:type="paragraph" w:customStyle="1" w:styleId="163">
    <w:name w:val="TOC Heading"/>
    <w:basedOn w:val="3"/>
    <w:next w:val="1"/>
    <w:semiHidden/>
    <w:unhideWhenUsed/>
    <w:qFormat/>
    <w:uiPriority w:val="39"/>
    <w:pPr>
      <w:outlineLvl w:val="9"/>
    </w:pPr>
    <w:rPr>
      <w:rFonts w:ascii="Times New Roman" w:hAnsi="Times New Roman" w:eastAsia="Times New Roman" w:cs="Times New Roman"/>
      <w:sz w:val="17"/>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2013-12-25T15:15:00Z</dcterms:created>
  <dc:creator>python-docx</dc:creator>
  <dc:description>generated by python-docx</dc:description>
  <cp:lastModifiedBy>Yulong Li</cp:lastModifiedBy>
  <dcterms:modified xsi:type="dcterms:W3CDTF">2026-07-16T21:09:35Z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97F4E5BC0C886AC3A87EEC6995D084F5_43</vt:lpwstr>
  </property>
</Properties>
</file>