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18FC60">
      <w:pPr>
        <w:keepNext w:val="0"/>
        <w:keepLines w:val="0"/>
        <w:widowControl/>
        <w:suppressLineNumbers w:val="0"/>
        <w:jc w:val="center"/>
        <w:rPr>
          <w:rFonts w:hint="default" w:ascii="Times New Roman Regular" w:hAnsi="Times New Roman Regular" w:cs="Times New Roman Regular"/>
          <w:sz w:val="22"/>
          <w:szCs w:val="22"/>
        </w:rPr>
      </w:pPr>
      <w:bookmarkStart w:id="0" w:name="_GoBack"/>
      <w:r>
        <w:rPr>
          <w:rFonts w:hint="default" w:ascii="Times New Roman Bold" w:hAnsi="Times New Roman Bold" w:cs="Times New Roman Bold"/>
          <w:b/>
          <w:bCs/>
          <w:sz w:val="28"/>
          <w:szCs w:val="28"/>
        </w:rPr>
        <w:t xml:space="preserve">Supplementary Table </w:t>
      </w:r>
      <w:r>
        <w:rPr>
          <w:rFonts w:hint="eastAsia" w:ascii="Times New Roman Bold" w:hAnsi="Times New Roman Bold" w:eastAsia="宋体" w:cs="Times New Roman Bold"/>
          <w:b/>
          <w:bCs/>
          <w:sz w:val="28"/>
          <w:szCs w:val="28"/>
          <w:lang w:val="en-US" w:eastAsia="zh-CN"/>
        </w:rPr>
        <w:t>6</w:t>
      </w:r>
      <w:r>
        <w:rPr>
          <w:rFonts w:hint="default" w:ascii="Times New Roman Bold" w:hAnsi="Times New Roman Bold" w:cs="Times New Roman Bold"/>
          <w:b/>
          <w:bCs/>
          <w:sz w:val="28"/>
          <w:szCs w:val="28"/>
        </w:rPr>
        <w:t>. Heterogeneity, prediction intervals, small-study effects, overlap, and alternative-anchor availability diagnostics for retained anchor estimates</w:t>
      </w:r>
    </w:p>
    <w:bookmarkEnd w:id="0"/>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61"/>
        <w:gridCol w:w="1880"/>
        <w:gridCol w:w="1115"/>
        <w:gridCol w:w="1382"/>
        <w:gridCol w:w="1371"/>
        <w:gridCol w:w="1383"/>
        <w:gridCol w:w="394"/>
        <w:gridCol w:w="542"/>
        <w:gridCol w:w="1283"/>
        <w:gridCol w:w="1006"/>
        <w:gridCol w:w="947"/>
        <w:gridCol w:w="1046"/>
        <w:gridCol w:w="996"/>
        <w:gridCol w:w="1303"/>
        <w:gridCol w:w="1211"/>
        <w:gridCol w:w="1133"/>
        <w:gridCol w:w="1131"/>
        <w:gridCol w:w="1056"/>
        <w:gridCol w:w="1135"/>
        <w:gridCol w:w="1452"/>
      </w:tblGrid>
      <w:tr w14:paraId="13390356">
        <w:trPr>
          <w:jc w:val="center"/>
          <w:tblHeader/>
          <w:cantSplit/>
        </w:trPr>
        <w:tc>
          <w:tcPr>
            <w:tcW w:w="7692" w:type="dxa"/>
            <w:gridSpan w:val="6"/>
            <w:shd w:val="clear" w:color="auto" w:fill="auto"/>
            <w:vAlign w:val="center"/>
          </w:tcPr>
          <w:p w14:paraId="43D7D5BD">
            <w:pPr>
              <w:spacing w:after="0" w:line="240" w:lineRule="auto"/>
              <w:jc w:val="center"/>
              <w:rPr>
                <w:rFonts w:hint="default" w:ascii="Times New Roman Bold" w:hAnsi="Times New Roman Bold" w:cs="Times New Roman Bold"/>
                <w:b/>
                <w:bCs w:val="0"/>
                <w:color w:val="auto"/>
                <w:sz w:val="22"/>
                <w:szCs w:val="22"/>
              </w:rPr>
            </w:pPr>
            <w:r>
              <w:rPr>
                <w:rFonts w:hint="default" w:ascii="Times New Roman Bold" w:hAnsi="Times New Roman Bold" w:cs="Times New Roman Bold"/>
                <w:b/>
                <w:bCs w:val="0"/>
                <w:i w:val="0"/>
                <w:color w:val="auto"/>
                <w:sz w:val="22"/>
                <w:szCs w:val="22"/>
              </w:rPr>
              <w:t>Identification</w:t>
            </w:r>
          </w:p>
        </w:tc>
        <w:tc>
          <w:tcPr>
            <w:tcW w:w="2219" w:type="dxa"/>
            <w:gridSpan w:val="3"/>
            <w:shd w:val="clear" w:color="auto" w:fill="auto"/>
            <w:vAlign w:val="center"/>
          </w:tcPr>
          <w:p w14:paraId="42D06A20">
            <w:pPr>
              <w:spacing w:after="0" w:line="240" w:lineRule="auto"/>
              <w:jc w:val="center"/>
              <w:rPr>
                <w:rFonts w:hint="default" w:ascii="Times New Roman Bold" w:hAnsi="Times New Roman Bold" w:cs="Times New Roman Bold"/>
                <w:b/>
                <w:bCs w:val="0"/>
                <w:color w:val="auto"/>
                <w:sz w:val="22"/>
                <w:szCs w:val="22"/>
              </w:rPr>
            </w:pPr>
            <w:r>
              <w:rPr>
                <w:rFonts w:hint="default" w:ascii="Times New Roman Bold" w:hAnsi="Times New Roman Bold" w:cs="Times New Roman Bold"/>
                <w:b/>
                <w:bCs w:val="0"/>
                <w:i w:val="0"/>
                <w:color w:val="auto"/>
                <w:sz w:val="22"/>
                <w:szCs w:val="22"/>
              </w:rPr>
              <w:t>Heterogeneity</w:t>
            </w:r>
          </w:p>
        </w:tc>
        <w:tc>
          <w:tcPr>
            <w:tcW w:w="1953" w:type="dxa"/>
            <w:gridSpan w:val="2"/>
            <w:shd w:val="clear" w:color="auto" w:fill="auto"/>
            <w:vAlign w:val="center"/>
          </w:tcPr>
          <w:p w14:paraId="46455CD5">
            <w:pPr>
              <w:spacing w:after="0" w:line="240" w:lineRule="auto"/>
              <w:jc w:val="center"/>
              <w:rPr>
                <w:rFonts w:hint="default" w:ascii="Times New Roman Bold" w:hAnsi="Times New Roman Bold" w:cs="Times New Roman Bold"/>
                <w:b/>
                <w:bCs w:val="0"/>
                <w:color w:val="auto"/>
                <w:sz w:val="22"/>
                <w:szCs w:val="22"/>
              </w:rPr>
            </w:pPr>
            <w:r>
              <w:rPr>
                <w:rFonts w:hint="default" w:ascii="Times New Roman Bold" w:hAnsi="Times New Roman Bold" w:cs="Times New Roman Bold"/>
                <w:b/>
                <w:bCs w:val="0"/>
                <w:i w:val="0"/>
                <w:color w:val="auto"/>
                <w:sz w:val="22"/>
                <w:szCs w:val="22"/>
              </w:rPr>
              <w:t>Prediction interval</w:t>
            </w:r>
          </w:p>
        </w:tc>
        <w:tc>
          <w:tcPr>
            <w:tcW w:w="2042" w:type="dxa"/>
            <w:gridSpan w:val="2"/>
            <w:shd w:val="clear" w:color="auto" w:fill="auto"/>
            <w:vAlign w:val="center"/>
          </w:tcPr>
          <w:p w14:paraId="784D0DD5">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Bold" w:hAnsi="Times New Roman Bold" w:cs="Times New Roman Bold"/>
                <w:b/>
                <w:bCs w:val="0"/>
                <w:color w:val="auto"/>
                <w:sz w:val="22"/>
                <w:szCs w:val="22"/>
              </w:rPr>
            </w:pPr>
            <w:r>
              <w:rPr>
                <w:rFonts w:hint="default" w:ascii="Times New Roman Bold" w:hAnsi="Times New Roman Bold" w:cs="Times New Roman Bold"/>
                <w:b/>
                <w:bCs w:val="0"/>
                <w:color w:val="auto"/>
                <w:sz w:val="22"/>
                <w:szCs w:val="22"/>
              </w:rPr>
              <w:t>Small-study effect assessment</w:t>
            </w:r>
          </w:p>
        </w:tc>
        <w:tc>
          <w:tcPr>
            <w:tcW w:w="2514" w:type="dxa"/>
            <w:gridSpan w:val="2"/>
            <w:shd w:val="clear" w:color="auto" w:fill="auto"/>
            <w:vAlign w:val="center"/>
          </w:tcPr>
          <w:p w14:paraId="0F2AA641">
            <w:pPr>
              <w:spacing w:after="0" w:line="240" w:lineRule="auto"/>
              <w:jc w:val="center"/>
              <w:rPr>
                <w:rFonts w:hint="default" w:ascii="Times New Roman Bold" w:hAnsi="Times New Roman Bold" w:cs="Times New Roman Bold"/>
                <w:b/>
                <w:bCs w:val="0"/>
                <w:color w:val="auto"/>
                <w:sz w:val="22"/>
                <w:szCs w:val="22"/>
              </w:rPr>
            </w:pPr>
            <w:r>
              <w:rPr>
                <w:rFonts w:hint="default" w:ascii="Times New Roman Bold" w:hAnsi="Times New Roman Bold" w:cs="Times New Roman Bold"/>
                <w:b/>
                <w:bCs w:val="0"/>
                <w:i w:val="0"/>
                <w:color w:val="auto"/>
                <w:sz w:val="22"/>
                <w:szCs w:val="22"/>
              </w:rPr>
              <w:t>Overlap (CCA)</w:t>
            </w:r>
          </w:p>
        </w:tc>
        <w:tc>
          <w:tcPr>
            <w:tcW w:w="5907" w:type="dxa"/>
            <w:gridSpan w:val="5"/>
            <w:shd w:val="clear" w:color="auto" w:fill="auto"/>
            <w:vAlign w:val="center"/>
          </w:tcPr>
          <w:p w14:paraId="39CC7669">
            <w:pPr>
              <w:spacing w:after="0" w:line="240" w:lineRule="auto"/>
              <w:jc w:val="center"/>
              <w:rPr>
                <w:rFonts w:hint="default" w:ascii="Times New Roman Bold" w:hAnsi="Times New Roman Bold" w:cs="Times New Roman Bold"/>
                <w:b/>
                <w:bCs w:val="0"/>
                <w:color w:val="auto"/>
                <w:sz w:val="22"/>
                <w:szCs w:val="22"/>
              </w:rPr>
            </w:pPr>
            <w:r>
              <w:rPr>
                <w:rFonts w:hint="default" w:ascii="Times New Roman Bold" w:hAnsi="Times New Roman Bold" w:cs="Times New Roman Bold"/>
                <w:b/>
                <w:bCs w:val="0"/>
                <w:i w:val="0"/>
                <w:color w:val="auto"/>
                <w:sz w:val="22"/>
                <w:szCs w:val="22"/>
              </w:rPr>
              <w:t>Alternative evidence availability and robustness</w:t>
            </w:r>
          </w:p>
        </w:tc>
      </w:tr>
      <w:tr w14:paraId="7794D2B5">
        <w:trPr>
          <w:jc w:val="center"/>
          <w:tblHeader/>
          <w:cantSplit/>
        </w:trPr>
        <w:tc>
          <w:tcPr>
            <w:tcW w:w="561" w:type="dxa"/>
            <w:shd w:val="clear" w:color="auto" w:fill="auto"/>
            <w:vAlign w:val="center"/>
          </w:tcPr>
          <w:p w14:paraId="7C3088D8">
            <w:pPr>
              <w:spacing w:after="0" w:line="240" w:lineRule="auto"/>
              <w:jc w:val="center"/>
              <w:rPr>
                <w:rFonts w:hint="default" w:ascii="Times New Roman Bold" w:hAnsi="Times New Roman Bold" w:cs="Times New Roman Bold"/>
                <w:b/>
                <w:bCs w:val="0"/>
                <w:color w:val="auto"/>
                <w:sz w:val="21"/>
                <w:szCs w:val="21"/>
              </w:rPr>
            </w:pPr>
            <w:r>
              <w:rPr>
                <w:rFonts w:hint="default" w:ascii="Times New Roman Bold" w:hAnsi="Times New Roman Bold" w:cs="Times New Roman Bold"/>
                <w:b/>
                <w:bCs w:val="0"/>
                <w:i w:val="0"/>
                <w:color w:val="auto"/>
                <w:sz w:val="21"/>
                <w:szCs w:val="21"/>
              </w:rPr>
              <w:t>No.</w:t>
            </w:r>
          </w:p>
        </w:tc>
        <w:tc>
          <w:tcPr>
            <w:tcW w:w="1880" w:type="dxa"/>
            <w:shd w:val="clear" w:color="auto" w:fill="auto"/>
            <w:vAlign w:val="center"/>
          </w:tcPr>
          <w:p w14:paraId="16CDA38B">
            <w:pPr>
              <w:spacing w:after="0" w:line="240" w:lineRule="auto"/>
              <w:jc w:val="both"/>
              <w:rPr>
                <w:rFonts w:hint="default" w:ascii="Times New Roman Bold" w:hAnsi="Times New Roman Bold" w:cs="Times New Roman Bold"/>
                <w:b/>
                <w:bCs w:val="0"/>
                <w:color w:val="auto"/>
                <w:sz w:val="21"/>
                <w:szCs w:val="21"/>
              </w:rPr>
            </w:pPr>
            <w:r>
              <w:rPr>
                <w:rFonts w:hint="default" w:ascii="Times New Roman Bold" w:hAnsi="Times New Roman Bold" w:cs="Times New Roman Bold"/>
                <w:b/>
                <w:bCs w:val="0"/>
                <w:i w:val="0"/>
                <w:color w:val="auto"/>
                <w:sz w:val="21"/>
                <w:szCs w:val="21"/>
              </w:rPr>
              <w:t>Domain</w:t>
            </w:r>
          </w:p>
        </w:tc>
        <w:tc>
          <w:tcPr>
            <w:tcW w:w="1115" w:type="dxa"/>
            <w:shd w:val="clear" w:color="auto" w:fill="auto"/>
            <w:vAlign w:val="center"/>
          </w:tcPr>
          <w:p w14:paraId="5E679E03">
            <w:pPr>
              <w:spacing w:after="0" w:line="240" w:lineRule="auto"/>
              <w:jc w:val="center"/>
              <w:rPr>
                <w:rFonts w:hint="default" w:ascii="Times New Roman Bold" w:hAnsi="Times New Roman Bold" w:cs="Times New Roman Bold"/>
                <w:b/>
                <w:bCs w:val="0"/>
                <w:color w:val="auto"/>
                <w:sz w:val="21"/>
                <w:szCs w:val="21"/>
              </w:rPr>
            </w:pPr>
            <w:r>
              <w:rPr>
                <w:rFonts w:hint="default" w:ascii="Times New Roman Bold" w:hAnsi="Times New Roman Bold" w:cs="Times New Roman Bold"/>
                <w:b/>
                <w:bCs w:val="0"/>
                <w:i w:val="0"/>
                <w:color w:val="auto"/>
                <w:sz w:val="21"/>
                <w:szCs w:val="21"/>
              </w:rPr>
              <w:t>Exposure</w:t>
            </w:r>
            <w:r>
              <w:rPr>
                <w:rFonts w:hint="default" w:ascii="Times New Roman Bold" w:hAnsi="Times New Roman Bold" w:cs="Times New Roman Bold"/>
                <w:b/>
                <w:bCs w:val="0"/>
                <w:i w:val="0"/>
                <w:color w:val="auto"/>
                <w:sz w:val="21"/>
                <w:szCs w:val="21"/>
              </w:rPr>
              <w:br w:type="textWrapping"/>
            </w:r>
            <w:r>
              <w:rPr>
                <w:rFonts w:hint="default" w:ascii="Times New Roman Bold" w:hAnsi="Times New Roman Bold" w:cs="Times New Roman Bold"/>
                <w:b/>
                <w:bCs w:val="0"/>
                <w:i w:val="0"/>
                <w:color w:val="auto"/>
                <w:sz w:val="21"/>
                <w:szCs w:val="21"/>
              </w:rPr>
              <w:t>(ASM)</w:t>
            </w:r>
          </w:p>
        </w:tc>
        <w:tc>
          <w:tcPr>
            <w:tcW w:w="1382" w:type="dxa"/>
            <w:shd w:val="clear" w:color="auto" w:fill="auto"/>
            <w:vAlign w:val="center"/>
          </w:tcPr>
          <w:p w14:paraId="3D598479">
            <w:pPr>
              <w:spacing w:after="0" w:line="240" w:lineRule="auto"/>
              <w:jc w:val="center"/>
              <w:rPr>
                <w:rFonts w:hint="default" w:ascii="Times New Roman Bold" w:hAnsi="Times New Roman Bold" w:cs="Times New Roman Bold"/>
                <w:b/>
                <w:bCs w:val="0"/>
                <w:color w:val="auto"/>
                <w:sz w:val="21"/>
                <w:szCs w:val="21"/>
              </w:rPr>
            </w:pPr>
            <w:r>
              <w:rPr>
                <w:rFonts w:hint="default" w:ascii="Times New Roman Bold" w:hAnsi="Times New Roman Bold" w:cs="Times New Roman Bold"/>
                <w:b/>
                <w:bCs w:val="0"/>
                <w:i w:val="0"/>
                <w:color w:val="auto"/>
                <w:sz w:val="21"/>
                <w:szCs w:val="21"/>
              </w:rPr>
              <w:t>Outcome</w:t>
            </w:r>
          </w:p>
        </w:tc>
        <w:tc>
          <w:tcPr>
            <w:tcW w:w="1371" w:type="dxa"/>
            <w:shd w:val="clear" w:color="auto" w:fill="auto"/>
            <w:vAlign w:val="center"/>
          </w:tcPr>
          <w:p w14:paraId="4D95E3F5">
            <w:pPr>
              <w:spacing w:after="0" w:line="240" w:lineRule="auto"/>
              <w:jc w:val="center"/>
              <w:rPr>
                <w:rFonts w:hint="default" w:ascii="Times New Roman Bold" w:hAnsi="Times New Roman Bold" w:cs="Times New Roman Bold"/>
                <w:b/>
                <w:bCs w:val="0"/>
                <w:color w:val="auto"/>
                <w:sz w:val="21"/>
                <w:szCs w:val="21"/>
              </w:rPr>
            </w:pPr>
            <w:r>
              <w:rPr>
                <w:rFonts w:hint="default" w:ascii="Times New Roman Bold" w:hAnsi="Times New Roman Bold" w:cs="Times New Roman Bold"/>
                <w:b/>
                <w:bCs w:val="0"/>
                <w:i w:val="0"/>
                <w:color w:val="auto"/>
                <w:sz w:val="21"/>
                <w:szCs w:val="21"/>
              </w:rPr>
              <w:t>Anchor</w:t>
            </w:r>
            <w:r>
              <w:rPr>
                <w:rFonts w:hint="default" w:ascii="Times New Roman Bold" w:hAnsi="Times New Roman Bold" w:cs="Times New Roman Bold"/>
                <w:b/>
                <w:bCs w:val="0"/>
                <w:i w:val="0"/>
                <w:color w:val="auto"/>
                <w:sz w:val="21"/>
                <w:szCs w:val="21"/>
              </w:rPr>
              <w:br w:type="textWrapping"/>
            </w:r>
            <w:r>
              <w:rPr>
                <w:rFonts w:hint="default" w:ascii="Times New Roman Bold" w:hAnsi="Times New Roman Bold" w:cs="Times New Roman Bold"/>
                <w:b/>
                <w:bCs w:val="0"/>
                <w:i w:val="0"/>
                <w:color w:val="auto"/>
                <w:sz w:val="21"/>
                <w:szCs w:val="21"/>
              </w:rPr>
              <w:t>review</w:t>
            </w:r>
          </w:p>
        </w:tc>
        <w:tc>
          <w:tcPr>
            <w:tcW w:w="1383" w:type="dxa"/>
            <w:shd w:val="clear" w:color="auto" w:fill="auto"/>
            <w:vAlign w:val="center"/>
          </w:tcPr>
          <w:p w14:paraId="08634662">
            <w:pPr>
              <w:spacing w:after="0" w:line="240" w:lineRule="auto"/>
              <w:jc w:val="center"/>
              <w:rPr>
                <w:rFonts w:hint="default" w:ascii="Times New Roman Bold" w:hAnsi="Times New Roman Bold" w:cs="Times New Roman Bold"/>
                <w:b/>
                <w:bCs w:val="0"/>
                <w:color w:val="auto"/>
                <w:sz w:val="21"/>
                <w:szCs w:val="21"/>
              </w:rPr>
            </w:pPr>
            <w:r>
              <w:rPr>
                <w:rFonts w:hint="default" w:ascii="Times New Roman Bold" w:hAnsi="Times New Roman Bold" w:cs="Times New Roman Bold"/>
                <w:b/>
                <w:bCs w:val="0"/>
                <w:i w:val="0"/>
                <w:color w:val="auto"/>
                <w:sz w:val="21"/>
                <w:szCs w:val="21"/>
              </w:rPr>
              <w:t>Comparator</w:t>
            </w:r>
          </w:p>
        </w:tc>
        <w:tc>
          <w:tcPr>
            <w:tcW w:w="394" w:type="dxa"/>
            <w:shd w:val="clear" w:color="auto" w:fill="auto"/>
            <w:vAlign w:val="center"/>
          </w:tcPr>
          <w:p w14:paraId="1AB444E6">
            <w:pPr>
              <w:spacing w:after="0" w:line="240" w:lineRule="auto"/>
              <w:jc w:val="center"/>
              <w:rPr>
                <w:rFonts w:hint="default" w:ascii="Times New Roman Bold" w:hAnsi="Times New Roman Bold" w:cs="Times New Roman Bold"/>
                <w:b/>
                <w:bCs w:val="0"/>
                <w:color w:val="auto"/>
                <w:sz w:val="21"/>
                <w:szCs w:val="21"/>
              </w:rPr>
            </w:pPr>
            <w:r>
              <w:rPr>
                <w:rFonts w:hint="default" w:ascii="Times New Roman Bold" w:hAnsi="Times New Roman Bold" w:cs="Times New Roman Bold"/>
                <w:b/>
                <w:bCs w:val="0"/>
                <w:i w:val="0"/>
                <w:color w:val="auto"/>
                <w:sz w:val="21"/>
                <w:szCs w:val="21"/>
              </w:rPr>
              <w:t>k</w:t>
            </w:r>
          </w:p>
        </w:tc>
        <w:tc>
          <w:tcPr>
            <w:tcW w:w="542" w:type="dxa"/>
            <w:shd w:val="clear" w:color="auto" w:fill="auto"/>
            <w:vAlign w:val="center"/>
          </w:tcPr>
          <w:p w14:paraId="58A32E83">
            <w:pPr>
              <w:spacing w:after="0" w:line="240" w:lineRule="auto"/>
              <w:jc w:val="center"/>
              <w:rPr>
                <w:rFonts w:hint="default" w:ascii="Times New Roman Bold" w:hAnsi="Times New Roman Bold" w:cs="Times New Roman Bold"/>
                <w:b/>
                <w:bCs w:val="0"/>
                <w:color w:val="auto"/>
                <w:sz w:val="21"/>
                <w:szCs w:val="21"/>
              </w:rPr>
            </w:pPr>
            <w:r>
              <w:rPr>
                <w:rFonts w:hint="default" w:ascii="Times New Roman Bold" w:hAnsi="Times New Roman Bold" w:cs="Times New Roman Bold"/>
                <w:b/>
                <w:bCs w:val="0"/>
                <w:i w:val="0"/>
                <w:color w:val="auto"/>
                <w:sz w:val="21"/>
                <w:szCs w:val="21"/>
              </w:rPr>
              <w:t>I²</w:t>
            </w:r>
            <w:r>
              <w:rPr>
                <w:rFonts w:hint="default" w:ascii="Times New Roman Bold" w:hAnsi="Times New Roman Bold" w:cs="Times New Roman Bold"/>
                <w:b/>
                <w:bCs w:val="0"/>
                <w:i w:val="0"/>
                <w:color w:val="auto"/>
                <w:sz w:val="21"/>
                <w:szCs w:val="21"/>
              </w:rPr>
              <w:br w:type="textWrapping"/>
            </w:r>
            <w:r>
              <w:rPr>
                <w:rFonts w:hint="default" w:ascii="Times New Roman Bold" w:hAnsi="Times New Roman Bold" w:cs="Times New Roman Bold"/>
                <w:b/>
                <w:bCs w:val="0"/>
                <w:i w:val="0"/>
                <w:color w:val="auto"/>
                <w:sz w:val="21"/>
                <w:szCs w:val="21"/>
              </w:rPr>
              <w:t>(%)</w:t>
            </w:r>
          </w:p>
        </w:tc>
        <w:tc>
          <w:tcPr>
            <w:tcW w:w="1283" w:type="dxa"/>
            <w:shd w:val="clear" w:color="auto" w:fill="auto"/>
            <w:vAlign w:val="center"/>
          </w:tcPr>
          <w:p w14:paraId="0390A6CC">
            <w:pPr>
              <w:spacing w:after="0" w:line="240" w:lineRule="auto"/>
              <w:jc w:val="center"/>
              <w:rPr>
                <w:rFonts w:hint="default" w:ascii="Times New Roman Bold" w:hAnsi="Times New Roman Bold" w:cs="Times New Roman Bold"/>
                <w:b/>
                <w:bCs w:val="0"/>
                <w:color w:val="auto"/>
                <w:sz w:val="21"/>
                <w:szCs w:val="21"/>
              </w:rPr>
            </w:pPr>
            <w:r>
              <w:rPr>
                <w:rFonts w:hint="default" w:ascii="Times New Roman Bold" w:hAnsi="Times New Roman Bold" w:cs="Times New Roman Bold"/>
                <w:b/>
                <w:bCs w:val="0"/>
                <w:i w:val="0"/>
                <w:color w:val="auto"/>
                <w:sz w:val="21"/>
                <w:szCs w:val="21"/>
              </w:rPr>
              <w:t>Heterogeneity</w:t>
            </w:r>
            <w:r>
              <w:rPr>
                <w:rFonts w:hint="default" w:ascii="Times New Roman Bold" w:hAnsi="Times New Roman Bold" w:cs="Times New Roman Bold"/>
                <w:b/>
                <w:bCs w:val="0"/>
                <w:i w:val="0"/>
                <w:color w:val="auto"/>
                <w:sz w:val="21"/>
                <w:szCs w:val="21"/>
              </w:rPr>
              <w:br w:type="textWrapping"/>
            </w:r>
            <w:r>
              <w:rPr>
                <w:rFonts w:hint="default" w:ascii="Times New Roman Bold" w:hAnsi="Times New Roman Bold" w:cs="Times New Roman Bold"/>
                <w:b/>
                <w:bCs w:val="0"/>
                <w:i w:val="0"/>
                <w:color w:val="auto"/>
                <w:sz w:val="21"/>
                <w:szCs w:val="21"/>
              </w:rPr>
              <w:t>interpretation</w:t>
            </w:r>
          </w:p>
        </w:tc>
        <w:tc>
          <w:tcPr>
            <w:tcW w:w="1006" w:type="dxa"/>
            <w:shd w:val="clear" w:color="auto" w:fill="auto"/>
            <w:vAlign w:val="center"/>
          </w:tcPr>
          <w:p w14:paraId="37D757BF">
            <w:pPr>
              <w:spacing w:after="0" w:line="240" w:lineRule="auto"/>
              <w:jc w:val="center"/>
              <w:rPr>
                <w:rFonts w:hint="default" w:ascii="Times New Roman Bold" w:hAnsi="Times New Roman Bold" w:cs="Times New Roman Bold"/>
                <w:b/>
                <w:bCs w:val="0"/>
                <w:color w:val="auto"/>
                <w:sz w:val="21"/>
                <w:szCs w:val="21"/>
              </w:rPr>
            </w:pPr>
            <w:r>
              <w:rPr>
                <w:rFonts w:hint="default" w:ascii="Times New Roman Bold" w:hAnsi="Times New Roman Bold" w:cs="Times New Roman Bold"/>
                <w:b/>
                <w:bCs w:val="0"/>
                <w:i w:val="0"/>
                <w:color w:val="auto"/>
                <w:sz w:val="21"/>
                <w:szCs w:val="21"/>
              </w:rPr>
              <w:t>95% Prediction</w:t>
            </w:r>
            <w:r>
              <w:rPr>
                <w:rFonts w:hint="default" w:ascii="Times New Roman Bold" w:hAnsi="Times New Roman Bold" w:cs="Times New Roman Bold"/>
                <w:b/>
                <w:bCs w:val="0"/>
                <w:i w:val="0"/>
                <w:color w:val="auto"/>
                <w:sz w:val="21"/>
                <w:szCs w:val="21"/>
              </w:rPr>
              <w:br w:type="textWrapping"/>
            </w:r>
            <w:r>
              <w:rPr>
                <w:rFonts w:hint="default" w:ascii="Times New Roman Bold" w:hAnsi="Times New Roman Bold" w:cs="Times New Roman Bold"/>
                <w:b/>
                <w:bCs w:val="0"/>
                <w:i w:val="0"/>
                <w:color w:val="auto"/>
                <w:sz w:val="21"/>
                <w:szCs w:val="21"/>
              </w:rPr>
              <w:t>interval</w:t>
            </w:r>
          </w:p>
        </w:tc>
        <w:tc>
          <w:tcPr>
            <w:tcW w:w="947" w:type="dxa"/>
            <w:shd w:val="clear" w:color="auto" w:fill="auto"/>
            <w:vAlign w:val="center"/>
          </w:tcPr>
          <w:p w14:paraId="13831D29">
            <w:pPr>
              <w:spacing w:after="0" w:line="240" w:lineRule="auto"/>
              <w:jc w:val="center"/>
              <w:rPr>
                <w:rFonts w:hint="default" w:ascii="Times New Roman Bold" w:hAnsi="Times New Roman Bold" w:cs="Times New Roman Bold"/>
                <w:b/>
                <w:bCs w:val="0"/>
                <w:color w:val="auto"/>
                <w:sz w:val="21"/>
                <w:szCs w:val="21"/>
              </w:rPr>
            </w:pPr>
            <w:r>
              <w:rPr>
                <w:rFonts w:hint="default" w:ascii="Times New Roman Bold" w:hAnsi="Times New Roman Bold" w:cs="Times New Roman Bold"/>
                <w:b/>
                <w:bCs w:val="0"/>
                <w:i w:val="0"/>
                <w:color w:val="auto"/>
                <w:sz w:val="21"/>
                <w:szCs w:val="21"/>
              </w:rPr>
              <w:t>PI crosses</w:t>
            </w:r>
            <w:r>
              <w:rPr>
                <w:rFonts w:hint="default" w:ascii="Times New Roman Bold" w:hAnsi="Times New Roman Bold" w:cs="Times New Roman Bold"/>
                <w:b/>
                <w:bCs w:val="0"/>
                <w:i w:val="0"/>
                <w:color w:val="auto"/>
                <w:sz w:val="21"/>
                <w:szCs w:val="21"/>
              </w:rPr>
              <w:br w:type="textWrapping"/>
            </w:r>
            <w:r>
              <w:rPr>
                <w:rFonts w:hint="default" w:ascii="Times New Roman Bold" w:hAnsi="Times New Roman Bold" w:cs="Times New Roman Bold"/>
                <w:b/>
                <w:bCs w:val="0"/>
                <w:i w:val="0"/>
                <w:color w:val="auto"/>
                <w:sz w:val="21"/>
                <w:szCs w:val="21"/>
              </w:rPr>
              <w:t>null</w:t>
            </w:r>
          </w:p>
        </w:tc>
        <w:tc>
          <w:tcPr>
            <w:tcW w:w="1046" w:type="dxa"/>
            <w:shd w:val="clear" w:color="auto" w:fill="auto"/>
            <w:vAlign w:val="center"/>
          </w:tcPr>
          <w:p w14:paraId="4B092179">
            <w:pPr>
              <w:spacing w:after="0" w:line="240" w:lineRule="auto"/>
              <w:jc w:val="center"/>
              <w:rPr>
                <w:rFonts w:hint="default" w:ascii="Times New Roman Bold" w:hAnsi="Times New Roman Bold" w:eastAsia="宋体" w:cs="Times New Roman Bold"/>
                <w:b/>
                <w:bCs w:val="0"/>
                <w:color w:val="auto"/>
                <w:sz w:val="21"/>
                <w:szCs w:val="21"/>
                <w:lang w:eastAsia="zh-CN"/>
              </w:rPr>
            </w:pPr>
            <w:r>
              <w:rPr>
                <w:rFonts w:hint="default" w:ascii="Times New Roman Bold" w:hAnsi="Times New Roman Bold" w:cs="Times New Roman Bold"/>
                <w:b/>
                <w:bCs w:val="0"/>
                <w:i w:val="0"/>
                <w:color w:val="auto"/>
                <w:sz w:val="21"/>
                <w:szCs w:val="21"/>
              </w:rPr>
              <w:t>Small-study</w:t>
            </w:r>
            <w:r>
              <w:rPr>
                <w:rFonts w:hint="default" w:ascii="Times New Roman Bold" w:hAnsi="Times New Roman Bold" w:cs="Times New Roman Bold"/>
                <w:b/>
                <w:bCs w:val="0"/>
                <w:i w:val="0"/>
                <w:color w:val="auto"/>
                <w:sz w:val="21"/>
                <w:szCs w:val="21"/>
              </w:rPr>
              <w:br w:type="textWrapping"/>
            </w:r>
            <w:r>
              <w:rPr>
                <w:rFonts w:hint="default" w:ascii="Times New Roman Bold" w:hAnsi="Times New Roman Bold" w:cs="Times New Roman Bold"/>
                <w:b/>
                <w:bCs w:val="0"/>
                <w:i w:val="0"/>
                <w:color w:val="auto"/>
                <w:sz w:val="21"/>
                <w:szCs w:val="21"/>
              </w:rPr>
              <w:t>assessment</w:t>
            </w:r>
            <w:r>
              <w:rPr>
                <w:rFonts w:hint="default" w:ascii="Times New Roman Bold" w:hAnsi="Times New Roman Bold" w:cs="Times New Roman Bold"/>
                <w:b/>
                <w:bCs w:val="0"/>
                <w:i w:val="0"/>
                <w:color w:val="auto"/>
                <w:sz w:val="21"/>
                <w:szCs w:val="21"/>
              </w:rPr>
              <w:br w:type="textWrapping"/>
            </w:r>
            <w:r>
              <w:rPr>
                <w:rFonts w:hint="default" w:ascii="Times New Roman Bold" w:hAnsi="Times New Roman Bold" w:cs="Times New Roman Bold"/>
                <w:b/>
                <w:bCs w:val="0"/>
                <w:i w:val="0"/>
                <w:color w:val="auto"/>
                <w:sz w:val="21"/>
                <w:szCs w:val="21"/>
              </w:rPr>
              <w:t>feasible</w:t>
            </w:r>
          </w:p>
        </w:tc>
        <w:tc>
          <w:tcPr>
            <w:tcW w:w="996" w:type="dxa"/>
            <w:shd w:val="clear" w:color="auto" w:fill="auto"/>
            <w:vAlign w:val="center"/>
          </w:tcPr>
          <w:p w14:paraId="4A2A3811">
            <w:pPr>
              <w:spacing w:after="0" w:line="240" w:lineRule="auto"/>
              <w:jc w:val="center"/>
              <w:rPr>
                <w:rFonts w:hint="default" w:ascii="Times New Roman Bold" w:hAnsi="Times New Roman Bold" w:cs="Times New Roman Bold"/>
                <w:b/>
                <w:bCs w:val="0"/>
                <w:color w:val="auto"/>
                <w:sz w:val="21"/>
                <w:szCs w:val="21"/>
              </w:rPr>
            </w:pPr>
            <w:r>
              <w:rPr>
                <w:rFonts w:hint="default" w:ascii="Times New Roman Bold" w:hAnsi="Times New Roman Bold" w:cs="Times New Roman Bold"/>
                <w:b/>
                <w:bCs w:val="0"/>
                <w:i w:val="0"/>
                <w:color w:val="auto"/>
                <w:sz w:val="21"/>
                <w:szCs w:val="21"/>
              </w:rPr>
              <w:t>Reason / Egger p</w:t>
            </w:r>
          </w:p>
        </w:tc>
        <w:tc>
          <w:tcPr>
            <w:tcW w:w="1303" w:type="dxa"/>
            <w:shd w:val="clear" w:color="auto" w:fill="auto"/>
            <w:vAlign w:val="center"/>
          </w:tcPr>
          <w:p w14:paraId="7A1B6F9F">
            <w:pPr>
              <w:rPr>
                <w:rFonts w:hint="default" w:ascii="Times New Roman Bold" w:hAnsi="Times New Roman Bold" w:cs="Times New Roman Bold"/>
                <w:b/>
                <w:bCs w:val="0"/>
                <w:color w:val="auto"/>
                <w:sz w:val="21"/>
                <w:szCs w:val="21"/>
              </w:rPr>
            </w:pPr>
            <w:r>
              <w:rPr>
                <w:rFonts w:hint="default" w:ascii="Times New Roman Bold" w:hAnsi="Times New Roman Bold" w:cs="Times New Roman Bold"/>
                <w:b/>
                <w:bCs w:val="0"/>
                <w:color w:val="auto"/>
                <w:sz w:val="21"/>
                <w:szCs w:val="21"/>
              </w:rPr>
              <w:t>CCA / overlap estimate (%)</w:t>
            </w:r>
          </w:p>
        </w:tc>
        <w:tc>
          <w:tcPr>
            <w:tcW w:w="1211" w:type="dxa"/>
            <w:shd w:val="clear" w:color="auto" w:fill="auto"/>
            <w:vAlign w:val="center"/>
          </w:tcPr>
          <w:p w14:paraId="4E1C7890">
            <w:pPr>
              <w:spacing w:after="0" w:line="240" w:lineRule="auto"/>
              <w:jc w:val="center"/>
              <w:rPr>
                <w:rFonts w:hint="default" w:ascii="Times New Roman Bold" w:hAnsi="Times New Roman Bold" w:cs="Times New Roman Bold"/>
                <w:b/>
                <w:bCs w:val="0"/>
                <w:color w:val="auto"/>
                <w:sz w:val="21"/>
                <w:szCs w:val="21"/>
              </w:rPr>
            </w:pPr>
            <w:r>
              <w:rPr>
                <w:rFonts w:hint="default" w:ascii="Times New Roman Bold" w:hAnsi="Times New Roman Bold" w:cs="Times New Roman Bold"/>
                <w:b/>
                <w:bCs w:val="0"/>
                <w:i w:val="0"/>
                <w:color w:val="auto"/>
                <w:sz w:val="21"/>
                <w:szCs w:val="21"/>
              </w:rPr>
              <w:t>Overlap</w:t>
            </w:r>
            <w:r>
              <w:rPr>
                <w:rFonts w:hint="default" w:ascii="Times New Roman Bold" w:hAnsi="Times New Roman Bold" w:cs="Times New Roman Bold"/>
                <w:b/>
                <w:bCs w:val="0"/>
                <w:i w:val="0"/>
                <w:color w:val="auto"/>
                <w:sz w:val="21"/>
                <w:szCs w:val="21"/>
              </w:rPr>
              <w:br w:type="textWrapping"/>
            </w:r>
            <w:r>
              <w:rPr>
                <w:rFonts w:hint="default" w:ascii="Times New Roman Bold" w:hAnsi="Times New Roman Bold" w:cs="Times New Roman Bold"/>
                <w:b/>
                <w:bCs w:val="0"/>
                <w:i w:val="0"/>
                <w:color w:val="auto"/>
                <w:sz w:val="21"/>
                <w:szCs w:val="21"/>
              </w:rPr>
              <w:t>interpretation</w:t>
            </w:r>
          </w:p>
        </w:tc>
        <w:tc>
          <w:tcPr>
            <w:tcW w:w="1133" w:type="dxa"/>
            <w:shd w:val="clear" w:color="auto" w:fill="auto"/>
            <w:vAlign w:val="center"/>
          </w:tcPr>
          <w:p w14:paraId="61D96B97">
            <w:pPr>
              <w:spacing w:after="0" w:line="240" w:lineRule="auto"/>
              <w:jc w:val="center"/>
              <w:rPr>
                <w:rFonts w:hint="default" w:ascii="Times New Roman Bold" w:hAnsi="Times New Roman Bold" w:cs="Times New Roman Bold"/>
                <w:b/>
                <w:bCs w:val="0"/>
                <w:color w:val="auto"/>
                <w:sz w:val="21"/>
                <w:szCs w:val="21"/>
              </w:rPr>
            </w:pPr>
            <w:r>
              <w:rPr>
                <w:rFonts w:hint="default" w:ascii="Times New Roman Bold" w:hAnsi="Times New Roman Bold" w:cs="Times New Roman Bold"/>
                <w:b/>
                <w:bCs w:val="0"/>
                <w:i w:val="0"/>
                <w:color w:val="auto"/>
                <w:sz w:val="21"/>
                <w:szCs w:val="21"/>
              </w:rPr>
              <w:t>Alternative evidence available</w:t>
            </w:r>
          </w:p>
        </w:tc>
        <w:tc>
          <w:tcPr>
            <w:tcW w:w="1131" w:type="dxa"/>
            <w:shd w:val="clear" w:color="auto" w:fill="auto"/>
            <w:vAlign w:val="center"/>
          </w:tcPr>
          <w:p w14:paraId="13C270C9">
            <w:pPr>
              <w:spacing w:after="0" w:line="240" w:lineRule="auto"/>
              <w:jc w:val="center"/>
              <w:rPr>
                <w:rFonts w:hint="default" w:ascii="Times New Roman Bold" w:hAnsi="Times New Roman Bold" w:cs="Times New Roman Bold"/>
                <w:b/>
                <w:bCs w:val="0"/>
                <w:color w:val="auto"/>
                <w:sz w:val="21"/>
                <w:szCs w:val="21"/>
              </w:rPr>
            </w:pPr>
            <w:r>
              <w:rPr>
                <w:rFonts w:hint="default" w:ascii="Times New Roman Bold" w:hAnsi="Times New Roman Bold" w:cs="Times New Roman Bold"/>
                <w:b/>
                <w:bCs w:val="0"/>
                <w:i w:val="0"/>
                <w:color w:val="auto"/>
                <w:sz w:val="21"/>
                <w:szCs w:val="21"/>
              </w:rPr>
              <w:t>Replacement / robustness check performed</w:t>
            </w:r>
          </w:p>
        </w:tc>
        <w:tc>
          <w:tcPr>
            <w:tcW w:w="1056" w:type="dxa"/>
            <w:shd w:val="clear" w:color="auto" w:fill="auto"/>
            <w:vAlign w:val="center"/>
          </w:tcPr>
          <w:p w14:paraId="6CC19160">
            <w:pPr>
              <w:spacing w:after="0" w:line="240" w:lineRule="auto"/>
              <w:jc w:val="center"/>
              <w:rPr>
                <w:rFonts w:hint="default" w:ascii="Times New Roman Bold" w:hAnsi="Times New Roman Bold" w:cs="Times New Roman Bold"/>
                <w:b/>
                <w:bCs w:val="0"/>
                <w:color w:val="auto"/>
                <w:sz w:val="21"/>
                <w:szCs w:val="21"/>
              </w:rPr>
            </w:pPr>
            <w:r>
              <w:rPr>
                <w:rFonts w:hint="default" w:ascii="Times New Roman Bold" w:hAnsi="Times New Roman Bold" w:cs="Times New Roman Bold"/>
                <w:b/>
                <w:bCs w:val="0"/>
                <w:i w:val="0"/>
                <w:color w:val="auto"/>
                <w:sz w:val="21"/>
                <w:szCs w:val="21"/>
              </w:rPr>
              <w:t>Direction</w:t>
            </w:r>
            <w:r>
              <w:rPr>
                <w:rFonts w:hint="default" w:ascii="Times New Roman Bold" w:hAnsi="Times New Roman Bold" w:cs="Times New Roman Bold"/>
                <w:b/>
                <w:bCs w:val="0"/>
                <w:i w:val="0"/>
                <w:color w:val="auto"/>
                <w:sz w:val="21"/>
                <w:szCs w:val="21"/>
              </w:rPr>
              <w:br w:type="textWrapping"/>
            </w:r>
            <w:r>
              <w:rPr>
                <w:rFonts w:hint="default" w:ascii="Times New Roman Bold" w:hAnsi="Times New Roman Bold" w:cs="Times New Roman Bold"/>
                <w:b/>
                <w:bCs w:val="0"/>
                <w:i w:val="0"/>
                <w:color w:val="auto"/>
                <w:sz w:val="21"/>
                <w:szCs w:val="21"/>
              </w:rPr>
              <w:t>preserved</w:t>
            </w:r>
          </w:p>
        </w:tc>
        <w:tc>
          <w:tcPr>
            <w:tcW w:w="1135" w:type="dxa"/>
            <w:shd w:val="clear" w:color="auto" w:fill="auto"/>
            <w:vAlign w:val="center"/>
          </w:tcPr>
          <w:p w14:paraId="4F2912A3">
            <w:pPr>
              <w:spacing w:after="0" w:line="240" w:lineRule="auto"/>
              <w:jc w:val="center"/>
              <w:rPr>
                <w:rFonts w:hint="default" w:ascii="Times New Roman Bold" w:hAnsi="Times New Roman Bold" w:eastAsia="宋体" w:cs="Times New Roman Bold"/>
                <w:b/>
                <w:bCs w:val="0"/>
                <w:color w:val="auto"/>
                <w:sz w:val="21"/>
                <w:szCs w:val="21"/>
                <w:lang w:eastAsia="zh-CN"/>
              </w:rPr>
            </w:pPr>
            <w:r>
              <w:rPr>
                <w:rFonts w:hint="default" w:ascii="Times New Roman Bold" w:hAnsi="Times New Roman Bold" w:cs="Times New Roman Bold"/>
                <w:b/>
                <w:bCs w:val="0"/>
                <w:i w:val="0"/>
                <w:color w:val="auto"/>
                <w:sz w:val="21"/>
                <w:szCs w:val="21"/>
              </w:rPr>
              <w:t>Significance</w:t>
            </w:r>
            <w:r>
              <w:rPr>
                <w:rFonts w:hint="default" w:ascii="Times New Roman Bold" w:hAnsi="Times New Roman Bold" w:cs="Times New Roman Bold"/>
                <w:b/>
                <w:bCs w:val="0"/>
                <w:i w:val="0"/>
                <w:color w:val="auto"/>
                <w:sz w:val="21"/>
                <w:szCs w:val="21"/>
              </w:rPr>
              <w:br w:type="textWrapping"/>
            </w:r>
            <w:r>
              <w:rPr>
                <w:rFonts w:hint="default" w:ascii="Times New Roman Bold" w:hAnsi="Times New Roman Bold" w:cs="Times New Roman Bold"/>
                <w:b/>
                <w:bCs w:val="0"/>
                <w:i w:val="0"/>
                <w:color w:val="auto"/>
                <w:sz w:val="21"/>
                <w:szCs w:val="21"/>
              </w:rPr>
              <w:t>preserved</w:t>
            </w:r>
          </w:p>
        </w:tc>
        <w:tc>
          <w:tcPr>
            <w:tcW w:w="1452" w:type="dxa"/>
            <w:shd w:val="clear" w:color="auto" w:fill="auto"/>
            <w:vAlign w:val="center"/>
          </w:tcPr>
          <w:p w14:paraId="3F87664D">
            <w:pPr>
              <w:spacing w:after="0" w:line="240" w:lineRule="auto"/>
              <w:jc w:val="center"/>
              <w:rPr>
                <w:rFonts w:hint="default" w:ascii="Times New Roman Bold" w:hAnsi="Times New Roman Bold" w:cs="Times New Roman Bold"/>
                <w:b/>
                <w:bCs w:val="0"/>
                <w:color w:val="auto"/>
                <w:sz w:val="21"/>
                <w:szCs w:val="21"/>
              </w:rPr>
            </w:pPr>
            <w:r>
              <w:rPr>
                <w:rFonts w:hint="default" w:ascii="Times New Roman Bold" w:hAnsi="Times New Roman Bold" w:cs="Times New Roman Bold"/>
                <w:b/>
                <w:bCs w:val="0"/>
                <w:i w:val="0"/>
                <w:color w:val="auto"/>
                <w:sz w:val="21"/>
                <w:szCs w:val="21"/>
              </w:rPr>
              <w:t>Alternative evidence / robustness comment</w:t>
            </w:r>
          </w:p>
        </w:tc>
      </w:tr>
      <w:tr w14:paraId="12973C0B">
        <w:trPr>
          <w:jc w:val="center"/>
          <w:cantSplit/>
        </w:trPr>
        <w:tc>
          <w:tcPr>
            <w:tcW w:w="561" w:type="dxa"/>
            <w:shd w:val="clear" w:color="auto" w:fill="auto"/>
            <w:vAlign w:val="center"/>
          </w:tcPr>
          <w:p w14:paraId="41612459">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1</w:t>
            </w:r>
          </w:p>
        </w:tc>
        <w:tc>
          <w:tcPr>
            <w:tcW w:w="1880" w:type="dxa"/>
            <w:shd w:val="clear" w:color="auto" w:fill="auto"/>
            <w:vAlign w:val="center"/>
          </w:tcPr>
          <w:p w14:paraId="710C3E79">
            <w:pPr>
              <w:jc w:val="both"/>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Structural</w:t>
            </w:r>
          </w:p>
        </w:tc>
        <w:tc>
          <w:tcPr>
            <w:tcW w:w="1115" w:type="dxa"/>
            <w:shd w:val="clear" w:color="auto" w:fill="auto"/>
            <w:vAlign w:val="center"/>
          </w:tcPr>
          <w:p w14:paraId="3E869AEC">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Valproate</w:t>
            </w:r>
          </w:p>
        </w:tc>
        <w:tc>
          <w:tcPr>
            <w:tcW w:w="1382" w:type="dxa"/>
            <w:shd w:val="clear" w:color="auto" w:fill="auto"/>
            <w:vAlign w:val="center"/>
          </w:tcPr>
          <w:p w14:paraId="4C581E63">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Combined major congenital anomalies</w:t>
            </w:r>
          </w:p>
        </w:tc>
        <w:tc>
          <w:tcPr>
            <w:tcW w:w="1371" w:type="dxa"/>
            <w:shd w:val="clear" w:color="auto" w:fill="auto"/>
            <w:vAlign w:val="center"/>
          </w:tcPr>
          <w:p w14:paraId="29CF9E7D">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Yang 2025</w:t>
            </w:r>
          </w:p>
        </w:tc>
        <w:tc>
          <w:tcPr>
            <w:tcW w:w="1383" w:type="dxa"/>
            <w:shd w:val="clear" w:color="auto" w:fill="auto"/>
            <w:vAlign w:val="center"/>
          </w:tcPr>
          <w:p w14:paraId="5FEDF396">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Other ASMs (monotherapy)</w:t>
            </w:r>
          </w:p>
        </w:tc>
        <w:tc>
          <w:tcPr>
            <w:tcW w:w="394" w:type="dxa"/>
            <w:shd w:val="clear" w:color="auto" w:fill="auto"/>
            <w:vAlign w:val="center"/>
          </w:tcPr>
          <w:p w14:paraId="54A9EC0B">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20</w:t>
            </w:r>
          </w:p>
        </w:tc>
        <w:tc>
          <w:tcPr>
            <w:tcW w:w="542" w:type="dxa"/>
            <w:shd w:val="clear" w:color="auto" w:fill="auto"/>
            <w:vAlign w:val="center"/>
          </w:tcPr>
          <w:p w14:paraId="5533BB77">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38%</w:t>
            </w:r>
          </w:p>
        </w:tc>
        <w:tc>
          <w:tcPr>
            <w:tcW w:w="1283" w:type="dxa"/>
            <w:shd w:val="clear" w:color="auto" w:fill="auto"/>
            <w:vAlign w:val="center"/>
          </w:tcPr>
          <w:p w14:paraId="589C2DED">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Moderate</w:t>
            </w:r>
          </w:p>
        </w:tc>
        <w:tc>
          <w:tcPr>
            <w:tcW w:w="1006" w:type="dxa"/>
            <w:shd w:val="clear" w:color="auto" w:fill="auto"/>
            <w:vAlign w:val="center"/>
          </w:tcPr>
          <w:p w14:paraId="0E9DDA8E">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[1.731 – 3.218]</w:t>
            </w:r>
          </w:p>
        </w:tc>
        <w:tc>
          <w:tcPr>
            <w:tcW w:w="947" w:type="dxa"/>
            <w:shd w:val="clear" w:color="auto" w:fill="auto"/>
            <w:vAlign w:val="center"/>
          </w:tcPr>
          <w:p w14:paraId="22A9ADCC">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1046" w:type="dxa"/>
            <w:shd w:val="clear" w:color="auto" w:fill="auto"/>
            <w:vAlign w:val="center"/>
          </w:tcPr>
          <w:p w14:paraId="47E28DA6">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996" w:type="dxa"/>
            <w:shd w:val="clear" w:color="auto" w:fill="auto"/>
            <w:vAlign w:val="center"/>
          </w:tcPr>
          <w:p w14:paraId="1BCB0DE0">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Egger p = 0.783</w:t>
            </w:r>
          </w:p>
        </w:tc>
        <w:tc>
          <w:tcPr>
            <w:tcW w:w="1303" w:type="dxa"/>
            <w:shd w:val="clear" w:color="auto" w:fill="auto"/>
            <w:vAlign w:val="center"/>
          </w:tcPr>
          <w:p w14:paraId="29ED7985">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NE†</w:t>
            </w:r>
          </w:p>
        </w:tc>
        <w:tc>
          <w:tcPr>
            <w:tcW w:w="1211" w:type="dxa"/>
            <w:shd w:val="clear" w:color="auto" w:fill="auto"/>
            <w:vAlign w:val="center"/>
          </w:tcPr>
          <w:p w14:paraId="6569BF0D">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Likely very high</w:t>
            </w:r>
          </w:p>
        </w:tc>
        <w:tc>
          <w:tcPr>
            <w:tcW w:w="1133" w:type="dxa"/>
            <w:shd w:val="clear" w:color="auto" w:fill="auto"/>
            <w:vAlign w:val="center"/>
          </w:tcPr>
          <w:p w14:paraId="163277B7">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Strict like-for-like alternative</w:t>
            </w:r>
          </w:p>
        </w:tc>
        <w:tc>
          <w:tcPr>
            <w:tcW w:w="1131" w:type="dxa"/>
            <w:shd w:val="clear" w:color="auto" w:fill="auto"/>
            <w:vAlign w:val="center"/>
          </w:tcPr>
          <w:p w14:paraId="0C64D7A1">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1056" w:type="dxa"/>
            <w:shd w:val="clear" w:color="auto" w:fill="auto"/>
            <w:vAlign w:val="center"/>
          </w:tcPr>
          <w:p w14:paraId="590F8948">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1135" w:type="dxa"/>
            <w:shd w:val="clear" w:color="auto" w:fill="auto"/>
            <w:vAlign w:val="center"/>
          </w:tcPr>
          <w:p w14:paraId="5641A40B">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1452" w:type="dxa"/>
            <w:shd w:val="clear" w:color="auto" w:fill="auto"/>
            <w:vAlign w:val="center"/>
          </w:tcPr>
          <w:p w14:paraId="1E0A6437">
            <w:pPr>
              <w:jc w:val="both"/>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Tanoshima 2015 provides a pairwise alternative with the same direction and statistical significance; Veroniki 2017a provides contextual NMA support.</w:t>
            </w:r>
          </w:p>
        </w:tc>
      </w:tr>
      <w:tr w14:paraId="73917F7F">
        <w:trPr>
          <w:jc w:val="center"/>
          <w:cantSplit/>
        </w:trPr>
        <w:tc>
          <w:tcPr>
            <w:tcW w:w="561" w:type="dxa"/>
            <w:shd w:val="clear" w:color="auto" w:fill="auto"/>
            <w:vAlign w:val="center"/>
          </w:tcPr>
          <w:p w14:paraId="7E2ED8EC">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2</w:t>
            </w:r>
          </w:p>
        </w:tc>
        <w:tc>
          <w:tcPr>
            <w:tcW w:w="1880" w:type="dxa"/>
            <w:shd w:val="clear" w:color="auto" w:fill="auto"/>
            <w:vAlign w:val="center"/>
          </w:tcPr>
          <w:p w14:paraId="50E50B37">
            <w:pPr>
              <w:spacing w:after="0" w:line="240" w:lineRule="auto"/>
              <w:jc w:val="both"/>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sz w:val="21"/>
                <w:szCs w:val="21"/>
              </w:rPr>
              <w:t>Structural</w:t>
            </w:r>
          </w:p>
        </w:tc>
        <w:tc>
          <w:tcPr>
            <w:tcW w:w="1115" w:type="dxa"/>
            <w:shd w:val="clear" w:color="auto" w:fill="auto"/>
            <w:vAlign w:val="center"/>
          </w:tcPr>
          <w:p w14:paraId="56E45453">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Valproate</w:t>
            </w:r>
          </w:p>
        </w:tc>
        <w:tc>
          <w:tcPr>
            <w:tcW w:w="1382" w:type="dxa"/>
            <w:shd w:val="clear" w:color="auto" w:fill="auto"/>
            <w:vAlign w:val="center"/>
          </w:tcPr>
          <w:p w14:paraId="76BFDC23">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Neural tube defects</w:t>
            </w:r>
          </w:p>
        </w:tc>
        <w:tc>
          <w:tcPr>
            <w:tcW w:w="1371" w:type="dxa"/>
            <w:shd w:val="clear" w:color="auto" w:fill="auto"/>
            <w:vAlign w:val="center"/>
          </w:tcPr>
          <w:p w14:paraId="1F39EB8C">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Yang 2025</w:t>
            </w:r>
          </w:p>
        </w:tc>
        <w:tc>
          <w:tcPr>
            <w:tcW w:w="1383" w:type="dxa"/>
            <w:shd w:val="clear" w:color="auto" w:fill="auto"/>
            <w:vAlign w:val="center"/>
          </w:tcPr>
          <w:p w14:paraId="2EF45C06">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Other ASMs (monotherapy)</w:t>
            </w:r>
          </w:p>
        </w:tc>
        <w:tc>
          <w:tcPr>
            <w:tcW w:w="394" w:type="dxa"/>
            <w:shd w:val="clear" w:color="auto" w:fill="auto"/>
            <w:vAlign w:val="center"/>
          </w:tcPr>
          <w:p w14:paraId="1978A33B">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12</w:t>
            </w:r>
          </w:p>
        </w:tc>
        <w:tc>
          <w:tcPr>
            <w:tcW w:w="542" w:type="dxa"/>
            <w:shd w:val="clear" w:color="auto" w:fill="auto"/>
            <w:vAlign w:val="center"/>
          </w:tcPr>
          <w:p w14:paraId="2ED219B9">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0%</w:t>
            </w:r>
          </w:p>
        </w:tc>
        <w:tc>
          <w:tcPr>
            <w:tcW w:w="1283" w:type="dxa"/>
            <w:shd w:val="clear" w:color="auto" w:fill="auto"/>
            <w:vAlign w:val="center"/>
          </w:tcPr>
          <w:p w14:paraId="0E4AC666">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Low</w:t>
            </w:r>
          </w:p>
        </w:tc>
        <w:tc>
          <w:tcPr>
            <w:tcW w:w="1006" w:type="dxa"/>
            <w:shd w:val="clear" w:color="auto" w:fill="auto"/>
            <w:vAlign w:val="center"/>
          </w:tcPr>
          <w:p w14:paraId="1A3CD94C">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[4.290 – 9.970]</w:t>
            </w:r>
          </w:p>
        </w:tc>
        <w:tc>
          <w:tcPr>
            <w:tcW w:w="947" w:type="dxa"/>
            <w:shd w:val="clear" w:color="auto" w:fill="auto"/>
            <w:vAlign w:val="center"/>
          </w:tcPr>
          <w:p w14:paraId="09AC33DD">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1046" w:type="dxa"/>
            <w:shd w:val="clear" w:color="auto" w:fill="auto"/>
            <w:vAlign w:val="center"/>
          </w:tcPr>
          <w:p w14:paraId="373A13A5">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996" w:type="dxa"/>
            <w:shd w:val="clear" w:color="auto" w:fill="auto"/>
            <w:vAlign w:val="center"/>
          </w:tcPr>
          <w:p w14:paraId="278F6173">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Egger p = 0.246</w:t>
            </w:r>
          </w:p>
        </w:tc>
        <w:tc>
          <w:tcPr>
            <w:tcW w:w="1303" w:type="dxa"/>
            <w:shd w:val="clear" w:color="auto" w:fill="auto"/>
            <w:vAlign w:val="center"/>
          </w:tcPr>
          <w:p w14:paraId="013A0AB7">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NE†</w:t>
            </w:r>
          </w:p>
        </w:tc>
        <w:tc>
          <w:tcPr>
            <w:tcW w:w="1211" w:type="dxa"/>
            <w:shd w:val="clear" w:color="auto" w:fill="auto"/>
            <w:vAlign w:val="center"/>
          </w:tcPr>
          <w:p w14:paraId="78C4E3CF">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Likely very high</w:t>
            </w:r>
          </w:p>
        </w:tc>
        <w:tc>
          <w:tcPr>
            <w:tcW w:w="1133" w:type="dxa"/>
            <w:shd w:val="clear" w:color="auto" w:fill="auto"/>
            <w:vAlign w:val="center"/>
          </w:tcPr>
          <w:p w14:paraId="0069C67B">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Strict like-for-like alternative</w:t>
            </w:r>
          </w:p>
        </w:tc>
        <w:tc>
          <w:tcPr>
            <w:tcW w:w="1131" w:type="dxa"/>
            <w:shd w:val="clear" w:color="auto" w:fill="auto"/>
            <w:vAlign w:val="center"/>
          </w:tcPr>
          <w:p w14:paraId="0019C553">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1056" w:type="dxa"/>
            <w:shd w:val="clear" w:color="auto" w:fill="auto"/>
            <w:vAlign w:val="center"/>
          </w:tcPr>
          <w:p w14:paraId="12A9F4FE">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1135" w:type="dxa"/>
            <w:shd w:val="clear" w:color="auto" w:fill="auto"/>
            <w:vAlign w:val="center"/>
          </w:tcPr>
          <w:p w14:paraId="3F790FB8">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1452" w:type="dxa"/>
            <w:shd w:val="clear" w:color="auto" w:fill="auto"/>
            <w:vAlign w:val="center"/>
          </w:tcPr>
          <w:p w14:paraId="5F9916F6">
            <w:pPr>
              <w:jc w:val="both"/>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Tanoshima 2015 shows consistent signal.</w:t>
            </w:r>
          </w:p>
        </w:tc>
      </w:tr>
      <w:tr w14:paraId="61788B6E">
        <w:trPr>
          <w:jc w:val="center"/>
          <w:cantSplit/>
        </w:trPr>
        <w:tc>
          <w:tcPr>
            <w:tcW w:w="561" w:type="dxa"/>
            <w:shd w:val="clear" w:color="auto" w:fill="auto"/>
            <w:vAlign w:val="center"/>
          </w:tcPr>
          <w:p w14:paraId="0601CD28">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3</w:t>
            </w:r>
          </w:p>
        </w:tc>
        <w:tc>
          <w:tcPr>
            <w:tcW w:w="1880" w:type="dxa"/>
            <w:shd w:val="clear" w:color="auto" w:fill="auto"/>
            <w:vAlign w:val="center"/>
          </w:tcPr>
          <w:p w14:paraId="53320127">
            <w:pPr>
              <w:spacing w:after="0" w:line="240" w:lineRule="auto"/>
              <w:jc w:val="both"/>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sz w:val="21"/>
                <w:szCs w:val="21"/>
              </w:rPr>
              <w:t>Structural</w:t>
            </w:r>
          </w:p>
        </w:tc>
        <w:tc>
          <w:tcPr>
            <w:tcW w:w="1115" w:type="dxa"/>
            <w:shd w:val="clear" w:color="auto" w:fill="auto"/>
            <w:vAlign w:val="center"/>
          </w:tcPr>
          <w:p w14:paraId="2245BD87">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Valproate</w:t>
            </w:r>
          </w:p>
        </w:tc>
        <w:tc>
          <w:tcPr>
            <w:tcW w:w="1382" w:type="dxa"/>
            <w:shd w:val="clear" w:color="auto" w:fill="auto"/>
            <w:vAlign w:val="center"/>
          </w:tcPr>
          <w:p w14:paraId="5BDBBEC3">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Congenital heart defects</w:t>
            </w:r>
          </w:p>
        </w:tc>
        <w:tc>
          <w:tcPr>
            <w:tcW w:w="1371" w:type="dxa"/>
            <w:shd w:val="clear" w:color="auto" w:fill="auto"/>
            <w:vAlign w:val="center"/>
          </w:tcPr>
          <w:p w14:paraId="34FA274C">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Yang 2025</w:t>
            </w:r>
          </w:p>
        </w:tc>
        <w:tc>
          <w:tcPr>
            <w:tcW w:w="1383" w:type="dxa"/>
            <w:shd w:val="clear" w:color="auto" w:fill="auto"/>
            <w:vAlign w:val="center"/>
          </w:tcPr>
          <w:p w14:paraId="17F457C4">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Other ASMs (monotherapy)</w:t>
            </w:r>
          </w:p>
        </w:tc>
        <w:tc>
          <w:tcPr>
            <w:tcW w:w="394" w:type="dxa"/>
            <w:shd w:val="clear" w:color="auto" w:fill="auto"/>
            <w:vAlign w:val="center"/>
          </w:tcPr>
          <w:p w14:paraId="1A36FF7A">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17</w:t>
            </w:r>
          </w:p>
        </w:tc>
        <w:tc>
          <w:tcPr>
            <w:tcW w:w="542" w:type="dxa"/>
            <w:shd w:val="clear" w:color="auto" w:fill="auto"/>
            <w:vAlign w:val="center"/>
          </w:tcPr>
          <w:p w14:paraId="6BECBEB7">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18%</w:t>
            </w:r>
          </w:p>
        </w:tc>
        <w:tc>
          <w:tcPr>
            <w:tcW w:w="1283" w:type="dxa"/>
            <w:shd w:val="clear" w:color="auto" w:fill="auto"/>
            <w:vAlign w:val="center"/>
          </w:tcPr>
          <w:p w14:paraId="1D7710A3">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Low</w:t>
            </w:r>
          </w:p>
        </w:tc>
        <w:tc>
          <w:tcPr>
            <w:tcW w:w="1006" w:type="dxa"/>
            <w:shd w:val="clear" w:color="auto" w:fill="auto"/>
            <w:vAlign w:val="center"/>
          </w:tcPr>
          <w:p w14:paraId="059A55EB">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[1.684 – 3.801]</w:t>
            </w:r>
          </w:p>
        </w:tc>
        <w:tc>
          <w:tcPr>
            <w:tcW w:w="947" w:type="dxa"/>
            <w:shd w:val="clear" w:color="auto" w:fill="auto"/>
            <w:vAlign w:val="center"/>
          </w:tcPr>
          <w:p w14:paraId="27D0F805">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1046" w:type="dxa"/>
            <w:shd w:val="clear" w:color="auto" w:fill="auto"/>
            <w:vAlign w:val="center"/>
          </w:tcPr>
          <w:p w14:paraId="39F651BE">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996" w:type="dxa"/>
            <w:shd w:val="clear" w:color="auto" w:fill="auto"/>
            <w:vAlign w:val="center"/>
          </w:tcPr>
          <w:p w14:paraId="26F05085">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Egger p = 0.472</w:t>
            </w:r>
          </w:p>
        </w:tc>
        <w:tc>
          <w:tcPr>
            <w:tcW w:w="1303" w:type="dxa"/>
            <w:shd w:val="clear" w:color="auto" w:fill="auto"/>
            <w:vAlign w:val="center"/>
          </w:tcPr>
          <w:p w14:paraId="2F1E1390">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NE†</w:t>
            </w:r>
          </w:p>
        </w:tc>
        <w:tc>
          <w:tcPr>
            <w:tcW w:w="1211" w:type="dxa"/>
            <w:shd w:val="clear" w:color="auto" w:fill="auto"/>
            <w:vAlign w:val="center"/>
          </w:tcPr>
          <w:p w14:paraId="58A61BFD">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Likely very high</w:t>
            </w:r>
          </w:p>
        </w:tc>
        <w:tc>
          <w:tcPr>
            <w:tcW w:w="1133" w:type="dxa"/>
            <w:shd w:val="clear" w:color="auto" w:fill="auto"/>
            <w:vAlign w:val="center"/>
          </w:tcPr>
          <w:p w14:paraId="5E87D1BE">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Strict like-for-like alternative</w:t>
            </w:r>
          </w:p>
        </w:tc>
        <w:tc>
          <w:tcPr>
            <w:tcW w:w="1131" w:type="dxa"/>
            <w:shd w:val="clear" w:color="auto" w:fill="auto"/>
            <w:vAlign w:val="center"/>
          </w:tcPr>
          <w:p w14:paraId="38971A5D">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1056" w:type="dxa"/>
            <w:shd w:val="clear" w:color="auto" w:fill="auto"/>
            <w:vAlign w:val="center"/>
          </w:tcPr>
          <w:p w14:paraId="07704B52">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1135" w:type="dxa"/>
            <w:shd w:val="clear" w:color="auto" w:fill="auto"/>
            <w:vAlign w:val="center"/>
          </w:tcPr>
          <w:p w14:paraId="04316839">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1452" w:type="dxa"/>
            <w:shd w:val="clear" w:color="auto" w:fill="auto"/>
            <w:vAlign w:val="center"/>
          </w:tcPr>
          <w:p w14:paraId="1807251C">
            <w:pPr>
              <w:jc w:val="both"/>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Tanoshima 2015 shows consistent signal.</w:t>
            </w:r>
          </w:p>
        </w:tc>
      </w:tr>
      <w:tr w14:paraId="62D50C32">
        <w:trPr>
          <w:jc w:val="center"/>
          <w:cantSplit/>
        </w:trPr>
        <w:tc>
          <w:tcPr>
            <w:tcW w:w="561" w:type="dxa"/>
            <w:shd w:val="clear" w:color="auto" w:fill="auto"/>
            <w:vAlign w:val="center"/>
          </w:tcPr>
          <w:p w14:paraId="39878B57">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4</w:t>
            </w:r>
          </w:p>
        </w:tc>
        <w:tc>
          <w:tcPr>
            <w:tcW w:w="1880" w:type="dxa"/>
            <w:shd w:val="clear" w:color="auto" w:fill="auto"/>
            <w:vAlign w:val="center"/>
          </w:tcPr>
          <w:p w14:paraId="1E62B5C1">
            <w:pPr>
              <w:spacing w:after="0" w:line="240" w:lineRule="auto"/>
              <w:jc w:val="both"/>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sz w:val="21"/>
                <w:szCs w:val="21"/>
              </w:rPr>
              <w:t>Structural</w:t>
            </w:r>
          </w:p>
        </w:tc>
        <w:tc>
          <w:tcPr>
            <w:tcW w:w="1115" w:type="dxa"/>
            <w:shd w:val="clear" w:color="auto" w:fill="auto"/>
            <w:vAlign w:val="center"/>
          </w:tcPr>
          <w:p w14:paraId="7DC7BEB3">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Valproate</w:t>
            </w:r>
          </w:p>
        </w:tc>
        <w:tc>
          <w:tcPr>
            <w:tcW w:w="1382" w:type="dxa"/>
            <w:shd w:val="clear" w:color="auto" w:fill="auto"/>
            <w:vAlign w:val="center"/>
          </w:tcPr>
          <w:p w14:paraId="1884D24A">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Cleft lip and/or palate</w:t>
            </w:r>
          </w:p>
        </w:tc>
        <w:tc>
          <w:tcPr>
            <w:tcW w:w="1371" w:type="dxa"/>
            <w:shd w:val="clear" w:color="auto" w:fill="auto"/>
            <w:vAlign w:val="center"/>
          </w:tcPr>
          <w:p w14:paraId="4E0D9204">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Yang 2025</w:t>
            </w:r>
          </w:p>
        </w:tc>
        <w:tc>
          <w:tcPr>
            <w:tcW w:w="1383" w:type="dxa"/>
            <w:shd w:val="clear" w:color="auto" w:fill="auto"/>
            <w:vAlign w:val="center"/>
          </w:tcPr>
          <w:p w14:paraId="4D95E559">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Other ASMs (monotherapy)</w:t>
            </w:r>
          </w:p>
        </w:tc>
        <w:tc>
          <w:tcPr>
            <w:tcW w:w="394" w:type="dxa"/>
            <w:shd w:val="clear" w:color="auto" w:fill="auto"/>
            <w:vAlign w:val="center"/>
          </w:tcPr>
          <w:p w14:paraId="4D7D852D">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15</w:t>
            </w:r>
          </w:p>
        </w:tc>
        <w:tc>
          <w:tcPr>
            <w:tcW w:w="542" w:type="dxa"/>
            <w:shd w:val="clear" w:color="auto" w:fill="auto"/>
            <w:vAlign w:val="center"/>
          </w:tcPr>
          <w:p w14:paraId="6C1EE476">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0%</w:t>
            </w:r>
          </w:p>
        </w:tc>
        <w:tc>
          <w:tcPr>
            <w:tcW w:w="1283" w:type="dxa"/>
            <w:shd w:val="clear" w:color="auto" w:fill="auto"/>
            <w:vAlign w:val="center"/>
          </w:tcPr>
          <w:p w14:paraId="75EA14CE">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Low</w:t>
            </w:r>
          </w:p>
        </w:tc>
        <w:tc>
          <w:tcPr>
            <w:tcW w:w="1006" w:type="dxa"/>
            <w:shd w:val="clear" w:color="auto" w:fill="auto"/>
            <w:vAlign w:val="center"/>
          </w:tcPr>
          <w:p w14:paraId="592DCC05">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[2.952 – 6.292]</w:t>
            </w:r>
          </w:p>
        </w:tc>
        <w:tc>
          <w:tcPr>
            <w:tcW w:w="947" w:type="dxa"/>
            <w:shd w:val="clear" w:color="auto" w:fill="auto"/>
            <w:vAlign w:val="center"/>
          </w:tcPr>
          <w:p w14:paraId="23583DD4">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1046" w:type="dxa"/>
            <w:shd w:val="clear" w:color="auto" w:fill="auto"/>
            <w:vAlign w:val="center"/>
          </w:tcPr>
          <w:p w14:paraId="1A174903">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996" w:type="dxa"/>
            <w:shd w:val="clear" w:color="auto" w:fill="auto"/>
            <w:vAlign w:val="center"/>
          </w:tcPr>
          <w:p w14:paraId="26C275EF">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Egger p = 0.658</w:t>
            </w:r>
          </w:p>
        </w:tc>
        <w:tc>
          <w:tcPr>
            <w:tcW w:w="1303" w:type="dxa"/>
            <w:shd w:val="clear" w:color="auto" w:fill="auto"/>
            <w:vAlign w:val="center"/>
          </w:tcPr>
          <w:p w14:paraId="223ADD94">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NE†</w:t>
            </w:r>
          </w:p>
        </w:tc>
        <w:tc>
          <w:tcPr>
            <w:tcW w:w="1211" w:type="dxa"/>
            <w:shd w:val="clear" w:color="auto" w:fill="auto"/>
            <w:vAlign w:val="center"/>
          </w:tcPr>
          <w:p w14:paraId="2AA7C2FB">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Likely very high</w:t>
            </w:r>
          </w:p>
        </w:tc>
        <w:tc>
          <w:tcPr>
            <w:tcW w:w="1133" w:type="dxa"/>
            <w:shd w:val="clear" w:color="auto" w:fill="auto"/>
            <w:vAlign w:val="center"/>
          </w:tcPr>
          <w:p w14:paraId="76ACF75B">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Strict like-for-like alternative</w:t>
            </w:r>
          </w:p>
        </w:tc>
        <w:tc>
          <w:tcPr>
            <w:tcW w:w="1131" w:type="dxa"/>
            <w:shd w:val="clear" w:color="auto" w:fill="auto"/>
            <w:vAlign w:val="center"/>
          </w:tcPr>
          <w:p w14:paraId="5ACB93A5">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1056" w:type="dxa"/>
            <w:shd w:val="clear" w:color="auto" w:fill="auto"/>
            <w:vAlign w:val="center"/>
          </w:tcPr>
          <w:p w14:paraId="01CE8DBF">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1135" w:type="dxa"/>
            <w:shd w:val="clear" w:color="auto" w:fill="auto"/>
            <w:vAlign w:val="center"/>
          </w:tcPr>
          <w:p w14:paraId="4F54CEFC">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1452" w:type="dxa"/>
            <w:shd w:val="clear" w:color="auto" w:fill="auto"/>
            <w:vAlign w:val="center"/>
          </w:tcPr>
          <w:p w14:paraId="1B017144">
            <w:pPr>
              <w:jc w:val="both"/>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Tanoshima 2015 provides a pairwise alternative with the same direction and statistical significance; Veroniki 2017a provides contextual NMA support.</w:t>
            </w:r>
          </w:p>
        </w:tc>
      </w:tr>
      <w:tr w14:paraId="66669FC9">
        <w:trPr>
          <w:jc w:val="center"/>
          <w:cantSplit/>
        </w:trPr>
        <w:tc>
          <w:tcPr>
            <w:tcW w:w="561" w:type="dxa"/>
            <w:shd w:val="clear" w:color="auto" w:fill="auto"/>
            <w:vAlign w:val="center"/>
          </w:tcPr>
          <w:p w14:paraId="00181F58">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5</w:t>
            </w:r>
          </w:p>
        </w:tc>
        <w:tc>
          <w:tcPr>
            <w:tcW w:w="1880" w:type="dxa"/>
            <w:shd w:val="clear" w:color="auto" w:fill="auto"/>
            <w:vAlign w:val="center"/>
          </w:tcPr>
          <w:p w14:paraId="7D7C0D57">
            <w:pPr>
              <w:spacing w:after="0" w:line="240" w:lineRule="auto"/>
              <w:jc w:val="both"/>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sz w:val="21"/>
                <w:szCs w:val="21"/>
              </w:rPr>
              <w:t>Structural</w:t>
            </w:r>
          </w:p>
        </w:tc>
        <w:tc>
          <w:tcPr>
            <w:tcW w:w="1115" w:type="dxa"/>
            <w:shd w:val="clear" w:color="auto" w:fill="auto"/>
            <w:vAlign w:val="center"/>
          </w:tcPr>
          <w:p w14:paraId="18AD146C">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Valproate</w:t>
            </w:r>
          </w:p>
        </w:tc>
        <w:tc>
          <w:tcPr>
            <w:tcW w:w="1382" w:type="dxa"/>
            <w:shd w:val="clear" w:color="auto" w:fill="auto"/>
            <w:vAlign w:val="center"/>
          </w:tcPr>
          <w:p w14:paraId="62ED1E84">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Genitourinary anomalies</w:t>
            </w:r>
          </w:p>
        </w:tc>
        <w:tc>
          <w:tcPr>
            <w:tcW w:w="1371" w:type="dxa"/>
            <w:shd w:val="clear" w:color="auto" w:fill="auto"/>
            <w:vAlign w:val="center"/>
          </w:tcPr>
          <w:p w14:paraId="34726ECE">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Yang 2025</w:t>
            </w:r>
          </w:p>
        </w:tc>
        <w:tc>
          <w:tcPr>
            <w:tcW w:w="1383" w:type="dxa"/>
            <w:shd w:val="clear" w:color="auto" w:fill="auto"/>
            <w:vAlign w:val="center"/>
          </w:tcPr>
          <w:p w14:paraId="4C814A20">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Other ASMs (monotherapy)</w:t>
            </w:r>
          </w:p>
        </w:tc>
        <w:tc>
          <w:tcPr>
            <w:tcW w:w="394" w:type="dxa"/>
            <w:shd w:val="clear" w:color="auto" w:fill="auto"/>
            <w:vAlign w:val="center"/>
          </w:tcPr>
          <w:p w14:paraId="197B785A">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18</w:t>
            </w:r>
          </w:p>
        </w:tc>
        <w:tc>
          <w:tcPr>
            <w:tcW w:w="542" w:type="dxa"/>
            <w:shd w:val="clear" w:color="auto" w:fill="auto"/>
            <w:vAlign w:val="center"/>
          </w:tcPr>
          <w:p w14:paraId="5903E968">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0%</w:t>
            </w:r>
          </w:p>
        </w:tc>
        <w:tc>
          <w:tcPr>
            <w:tcW w:w="1283" w:type="dxa"/>
            <w:shd w:val="clear" w:color="auto" w:fill="auto"/>
            <w:vAlign w:val="center"/>
          </w:tcPr>
          <w:p w14:paraId="4A0DA747">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Low</w:t>
            </w:r>
          </w:p>
        </w:tc>
        <w:tc>
          <w:tcPr>
            <w:tcW w:w="1006" w:type="dxa"/>
            <w:shd w:val="clear" w:color="auto" w:fill="auto"/>
            <w:vAlign w:val="center"/>
          </w:tcPr>
          <w:p w14:paraId="6CBD736A">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[2.619 – 4.209]</w:t>
            </w:r>
          </w:p>
        </w:tc>
        <w:tc>
          <w:tcPr>
            <w:tcW w:w="947" w:type="dxa"/>
            <w:shd w:val="clear" w:color="auto" w:fill="auto"/>
            <w:vAlign w:val="center"/>
          </w:tcPr>
          <w:p w14:paraId="2E8BB00A">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1046" w:type="dxa"/>
            <w:shd w:val="clear" w:color="auto" w:fill="auto"/>
            <w:vAlign w:val="center"/>
          </w:tcPr>
          <w:p w14:paraId="06E6F052">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996" w:type="dxa"/>
            <w:shd w:val="clear" w:color="auto" w:fill="auto"/>
            <w:vAlign w:val="center"/>
          </w:tcPr>
          <w:p w14:paraId="7C3D6B21">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Egger p = 0.861</w:t>
            </w:r>
          </w:p>
        </w:tc>
        <w:tc>
          <w:tcPr>
            <w:tcW w:w="1303" w:type="dxa"/>
            <w:shd w:val="clear" w:color="auto" w:fill="auto"/>
            <w:vAlign w:val="center"/>
          </w:tcPr>
          <w:p w14:paraId="10627131">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NE†</w:t>
            </w:r>
          </w:p>
        </w:tc>
        <w:tc>
          <w:tcPr>
            <w:tcW w:w="1211" w:type="dxa"/>
            <w:shd w:val="clear" w:color="auto" w:fill="auto"/>
            <w:vAlign w:val="center"/>
          </w:tcPr>
          <w:p w14:paraId="04887B73">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Likely very high</w:t>
            </w:r>
          </w:p>
        </w:tc>
        <w:tc>
          <w:tcPr>
            <w:tcW w:w="1133" w:type="dxa"/>
            <w:shd w:val="clear" w:color="auto" w:fill="auto"/>
            <w:vAlign w:val="center"/>
          </w:tcPr>
          <w:p w14:paraId="4200F1B4">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Strict like-for-like alternative</w:t>
            </w:r>
          </w:p>
        </w:tc>
        <w:tc>
          <w:tcPr>
            <w:tcW w:w="1131" w:type="dxa"/>
            <w:shd w:val="clear" w:color="auto" w:fill="auto"/>
            <w:vAlign w:val="center"/>
          </w:tcPr>
          <w:p w14:paraId="55FF1371">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1056" w:type="dxa"/>
            <w:shd w:val="clear" w:color="auto" w:fill="auto"/>
            <w:vAlign w:val="center"/>
          </w:tcPr>
          <w:p w14:paraId="6D01B390">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1135" w:type="dxa"/>
            <w:shd w:val="clear" w:color="auto" w:fill="auto"/>
            <w:vAlign w:val="center"/>
          </w:tcPr>
          <w:p w14:paraId="29F40670">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1452" w:type="dxa"/>
            <w:shd w:val="clear" w:color="auto" w:fill="auto"/>
            <w:vAlign w:val="center"/>
          </w:tcPr>
          <w:p w14:paraId="1DDBE772">
            <w:pPr>
              <w:jc w:val="both"/>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Tanoshima 2015 shows consistent signal.</w:t>
            </w:r>
          </w:p>
        </w:tc>
      </w:tr>
      <w:tr w14:paraId="1EC411F9">
        <w:trPr>
          <w:jc w:val="center"/>
          <w:cantSplit/>
        </w:trPr>
        <w:tc>
          <w:tcPr>
            <w:tcW w:w="561" w:type="dxa"/>
            <w:shd w:val="clear" w:color="auto" w:fill="auto"/>
            <w:vAlign w:val="center"/>
          </w:tcPr>
          <w:p w14:paraId="12B13D0B">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6</w:t>
            </w:r>
          </w:p>
        </w:tc>
        <w:tc>
          <w:tcPr>
            <w:tcW w:w="1880" w:type="dxa"/>
            <w:shd w:val="clear" w:color="auto" w:fill="auto"/>
            <w:vAlign w:val="center"/>
          </w:tcPr>
          <w:p w14:paraId="044EDE7A">
            <w:pPr>
              <w:spacing w:after="0" w:line="240" w:lineRule="auto"/>
              <w:jc w:val="both"/>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sz w:val="21"/>
                <w:szCs w:val="21"/>
              </w:rPr>
              <w:t>Structural</w:t>
            </w:r>
          </w:p>
        </w:tc>
        <w:tc>
          <w:tcPr>
            <w:tcW w:w="1115" w:type="dxa"/>
            <w:shd w:val="clear" w:color="auto" w:fill="auto"/>
            <w:vAlign w:val="center"/>
          </w:tcPr>
          <w:p w14:paraId="36D5D1C3">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Valproate</w:t>
            </w:r>
          </w:p>
        </w:tc>
        <w:tc>
          <w:tcPr>
            <w:tcW w:w="1382" w:type="dxa"/>
            <w:shd w:val="clear" w:color="auto" w:fill="auto"/>
            <w:vAlign w:val="center"/>
          </w:tcPr>
          <w:p w14:paraId="4A2F59F7">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Musculoskeletal anomalies</w:t>
            </w:r>
          </w:p>
        </w:tc>
        <w:tc>
          <w:tcPr>
            <w:tcW w:w="1371" w:type="dxa"/>
            <w:shd w:val="clear" w:color="auto" w:fill="auto"/>
            <w:vAlign w:val="center"/>
          </w:tcPr>
          <w:p w14:paraId="203C8A84">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Yang 2025</w:t>
            </w:r>
          </w:p>
        </w:tc>
        <w:tc>
          <w:tcPr>
            <w:tcW w:w="1383" w:type="dxa"/>
            <w:shd w:val="clear" w:color="auto" w:fill="auto"/>
            <w:vAlign w:val="center"/>
          </w:tcPr>
          <w:p w14:paraId="4399C277">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Other ASMs (monotherapy)</w:t>
            </w:r>
          </w:p>
        </w:tc>
        <w:tc>
          <w:tcPr>
            <w:tcW w:w="394" w:type="dxa"/>
            <w:shd w:val="clear" w:color="auto" w:fill="auto"/>
            <w:vAlign w:val="center"/>
          </w:tcPr>
          <w:p w14:paraId="054C0A10">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15</w:t>
            </w:r>
          </w:p>
        </w:tc>
        <w:tc>
          <w:tcPr>
            <w:tcW w:w="542" w:type="dxa"/>
            <w:shd w:val="clear" w:color="auto" w:fill="auto"/>
            <w:vAlign w:val="center"/>
          </w:tcPr>
          <w:p w14:paraId="47ACC20B">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0%</w:t>
            </w:r>
          </w:p>
        </w:tc>
        <w:tc>
          <w:tcPr>
            <w:tcW w:w="1283" w:type="dxa"/>
            <w:shd w:val="clear" w:color="auto" w:fill="auto"/>
            <w:vAlign w:val="center"/>
          </w:tcPr>
          <w:p w14:paraId="0D2242F6">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Low</w:t>
            </w:r>
          </w:p>
        </w:tc>
        <w:tc>
          <w:tcPr>
            <w:tcW w:w="1006" w:type="dxa"/>
            <w:shd w:val="clear" w:color="auto" w:fill="auto"/>
            <w:vAlign w:val="center"/>
          </w:tcPr>
          <w:p w14:paraId="725F621D">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[1.905 – 4.353]</w:t>
            </w:r>
          </w:p>
        </w:tc>
        <w:tc>
          <w:tcPr>
            <w:tcW w:w="947" w:type="dxa"/>
            <w:shd w:val="clear" w:color="auto" w:fill="auto"/>
            <w:vAlign w:val="center"/>
          </w:tcPr>
          <w:p w14:paraId="12E3B95C">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1046" w:type="dxa"/>
            <w:shd w:val="clear" w:color="auto" w:fill="auto"/>
            <w:vAlign w:val="center"/>
          </w:tcPr>
          <w:p w14:paraId="432ACF98">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996" w:type="dxa"/>
            <w:shd w:val="clear" w:color="auto" w:fill="auto"/>
            <w:vAlign w:val="center"/>
          </w:tcPr>
          <w:p w14:paraId="3D8F64FF">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Egger p = 0.941</w:t>
            </w:r>
          </w:p>
        </w:tc>
        <w:tc>
          <w:tcPr>
            <w:tcW w:w="1303" w:type="dxa"/>
            <w:shd w:val="clear" w:color="auto" w:fill="auto"/>
            <w:vAlign w:val="center"/>
          </w:tcPr>
          <w:p w14:paraId="4746B009">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NE†</w:t>
            </w:r>
          </w:p>
        </w:tc>
        <w:tc>
          <w:tcPr>
            <w:tcW w:w="1211" w:type="dxa"/>
            <w:shd w:val="clear" w:color="auto" w:fill="auto"/>
            <w:vAlign w:val="center"/>
          </w:tcPr>
          <w:p w14:paraId="1B8080AA">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Likely very high</w:t>
            </w:r>
          </w:p>
        </w:tc>
        <w:tc>
          <w:tcPr>
            <w:tcW w:w="1133" w:type="dxa"/>
            <w:shd w:val="clear" w:color="auto" w:fill="auto"/>
            <w:vAlign w:val="center"/>
          </w:tcPr>
          <w:p w14:paraId="4D8801EC">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Strict like-for-like alternative</w:t>
            </w:r>
          </w:p>
        </w:tc>
        <w:tc>
          <w:tcPr>
            <w:tcW w:w="1131" w:type="dxa"/>
            <w:shd w:val="clear" w:color="auto" w:fill="auto"/>
            <w:vAlign w:val="center"/>
          </w:tcPr>
          <w:p w14:paraId="2EE4829F">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1056" w:type="dxa"/>
            <w:shd w:val="clear" w:color="auto" w:fill="auto"/>
            <w:vAlign w:val="center"/>
          </w:tcPr>
          <w:p w14:paraId="296EFADD">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1135" w:type="dxa"/>
            <w:shd w:val="clear" w:color="auto" w:fill="auto"/>
            <w:vAlign w:val="center"/>
          </w:tcPr>
          <w:p w14:paraId="0F04D4E2">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w:t>
            </w:r>
          </w:p>
        </w:tc>
        <w:tc>
          <w:tcPr>
            <w:tcW w:w="1452" w:type="dxa"/>
            <w:shd w:val="clear" w:color="auto" w:fill="auto"/>
            <w:vAlign w:val="center"/>
          </w:tcPr>
          <w:p w14:paraId="51BAE02F">
            <w:pPr>
              <w:jc w:val="both"/>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Tanoshima 2015 supports a consistent signal.</w:t>
            </w:r>
          </w:p>
        </w:tc>
      </w:tr>
      <w:tr w14:paraId="5E20EB4C">
        <w:trPr>
          <w:jc w:val="center"/>
          <w:cantSplit/>
        </w:trPr>
        <w:tc>
          <w:tcPr>
            <w:tcW w:w="561" w:type="dxa"/>
            <w:shd w:val="clear" w:color="auto" w:fill="auto"/>
            <w:vAlign w:val="center"/>
          </w:tcPr>
          <w:p w14:paraId="24ED9B89">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7</w:t>
            </w:r>
          </w:p>
        </w:tc>
        <w:tc>
          <w:tcPr>
            <w:tcW w:w="1880" w:type="dxa"/>
            <w:shd w:val="clear" w:color="auto" w:fill="auto"/>
            <w:vAlign w:val="center"/>
          </w:tcPr>
          <w:p w14:paraId="1131F508">
            <w:pPr>
              <w:spacing w:after="0" w:line="240" w:lineRule="auto"/>
              <w:jc w:val="both"/>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sz w:val="21"/>
                <w:szCs w:val="21"/>
              </w:rPr>
              <w:t>Structural</w:t>
            </w:r>
          </w:p>
        </w:tc>
        <w:tc>
          <w:tcPr>
            <w:tcW w:w="1115" w:type="dxa"/>
            <w:shd w:val="clear" w:color="auto" w:fill="auto"/>
            <w:vAlign w:val="center"/>
          </w:tcPr>
          <w:p w14:paraId="691BC79E">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Lamotrigine</w:t>
            </w:r>
          </w:p>
        </w:tc>
        <w:tc>
          <w:tcPr>
            <w:tcW w:w="1382" w:type="dxa"/>
            <w:shd w:val="clear" w:color="auto" w:fill="auto"/>
            <w:vAlign w:val="center"/>
          </w:tcPr>
          <w:p w14:paraId="2D2E0AA2">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Major congenital anomalies</w:t>
            </w:r>
          </w:p>
        </w:tc>
        <w:tc>
          <w:tcPr>
            <w:tcW w:w="1371" w:type="dxa"/>
            <w:shd w:val="clear" w:color="auto" w:fill="auto"/>
            <w:vAlign w:val="center"/>
          </w:tcPr>
          <w:p w14:paraId="41A26CE0">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Pariente 2017</w:t>
            </w:r>
          </w:p>
        </w:tc>
        <w:tc>
          <w:tcPr>
            <w:tcW w:w="1383" w:type="dxa"/>
            <w:shd w:val="clear" w:color="auto" w:fill="auto"/>
            <w:vAlign w:val="center"/>
          </w:tcPr>
          <w:p w14:paraId="3E7AA303">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Disease-matched controls</w:t>
            </w:r>
          </w:p>
        </w:tc>
        <w:tc>
          <w:tcPr>
            <w:tcW w:w="394" w:type="dxa"/>
            <w:shd w:val="clear" w:color="auto" w:fill="auto"/>
            <w:vAlign w:val="center"/>
          </w:tcPr>
          <w:p w14:paraId="7D576086">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3</w:t>
            </w:r>
          </w:p>
        </w:tc>
        <w:tc>
          <w:tcPr>
            <w:tcW w:w="542" w:type="dxa"/>
            <w:shd w:val="clear" w:color="auto" w:fill="auto"/>
            <w:vAlign w:val="center"/>
          </w:tcPr>
          <w:p w14:paraId="6E6F9007">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0%</w:t>
            </w:r>
          </w:p>
        </w:tc>
        <w:tc>
          <w:tcPr>
            <w:tcW w:w="1283" w:type="dxa"/>
            <w:shd w:val="clear" w:color="auto" w:fill="auto"/>
            <w:vAlign w:val="center"/>
          </w:tcPr>
          <w:p w14:paraId="1411DF5E">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Low</w:t>
            </w:r>
          </w:p>
        </w:tc>
        <w:tc>
          <w:tcPr>
            <w:tcW w:w="1006" w:type="dxa"/>
            <w:shd w:val="clear" w:color="auto" w:fill="auto"/>
            <w:vAlign w:val="center"/>
          </w:tcPr>
          <w:p w14:paraId="2CA76432">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NR</w:t>
            </w:r>
          </w:p>
        </w:tc>
        <w:tc>
          <w:tcPr>
            <w:tcW w:w="947" w:type="dxa"/>
            <w:shd w:val="clear" w:color="auto" w:fill="auto"/>
            <w:vAlign w:val="center"/>
          </w:tcPr>
          <w:p w14:paraId="7DE28A13">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assessable</w:t>
            </w:r>
          </w:p>
        </w:tc>
        <w:tc>
          <w:tcPr>
            <w:tcW w:w="1046" w:type="dxa"/>
            <w:shd w:val="clear" w:color="auto" w:fill="auto"/>
            <w:vAlign w:val="center"/>
          </w:tcPr>
          <w:p w14:paraId="57DBB818">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996" w:type="dxa"/>
            <w:shd w:val="clear" w:color="auto" w:fill="auto"/>
            <w:vAlign w:val="center"/>
          </w:tcPr>
          <w:p w14:paraId="4924E241">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formally assessable: k &lt; 10</w:t>
            </w:r>
          </w:p>
        </w:tc>
        <w:tc>
          <w:tcPr>
            <w:tcW w:w="1303" w:type="dxa"/>
            <w:shd w:val="clear" w:color="auto" w:fill="auto"/>
            <w:vAlign w:val="center"/>
          </w:tcPr>
          <w:p w14:paraId="56C173F1">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24.1% (outcome-domain-restricted pairwise report-level CCA vs Wan 2024)</w:t>
            </w:r>
          </w:p>
        </w:tc>
        <w:tc>
          <w:tcPr>
            <w:tcW w:w="1211" w:type="dxa"/>
            <w:shd w:val="clear" w:color="auto" w:fill="auto"/>
            <w:vAlign w:val="center"/>
          </w:tcPr>
          <w:p w14:paraId="23E2AE24">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Very high</w:t>
            </w:r>
          </w:p>
        </w:tc>
        <w:tc>
          <w:tcPr>
            <w:tcW w:w="1133" w:type="dxa"/>
            <w:shd w:val="clear" w:color="auto" w:fill="auto"/>
            <w:vAlign w:val="center"/>
          </w:tcPr>
          <w:p w14:paraId="10655C48">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Analogous only (different comparator)</w:t>
            </w:r>
          </w:p>
        </w:tc>
        <w:tc>
          <w:tcPr>
            <w:tcW w:w="1131" w:type="dxa"/>
            <w:shd w:val="clear" w:color="auto" w:fill="auto"/>
            <w:vAlign w:val="center"/>
          </w:tcPr>
          <w:p w14:paraId="5AB7F2C8">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w:t>
            </w:r>
          </w:p>
        </w:tc>
        <w:tc>
          <w:tcPr>
            <w:tcW w:w="1056" w:type="dxa"/>
            <w:shd w:val="clear" w:color="auto" w:fill="auto"/>
            <w:vAlign w:val="center"/>
          </w:tcPr>
          <w:p w14:paraId="2AD612A2">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N/A</w:t>
            </w:r>
          </w:p>
        </w:tc>
        <w:tc>
          <w:tcPr>
            <w:tcW w:w="1135" w:type="dxa"/>
            <w:shd w:val="clear" w:color="auto" w:fill="auto"/>
            <w:vAlign w:val="center"/>
          </w:tcPr>
          <w:p w14:paraId="03D06568">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N/A</w:t>
            </w:r>
          </w:p>
        </w:tc>
        <w:tc>
          <w:tcPr>
            <w:tcW w:w="1452" w:type="dxa"/>
            <w:shd w:val="clear" w:color="auto" w:fill="auto"/>
            <w:vAlign w:val="center"/>
          </w:tcPr>
          <w:p w14:paraId="1BC024D0">
            <w:pPr>
              <w:jc w:val="both"/>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Wan 2024 provided analogous LTG-versus-untreated-WWE evidence using a different comparator framework; both estimates were non-significant, and this evidence was not treated as a formal replacement. The outcome-domain-restricted CCA was 24.1%, and the whole-review alternative was 21.2% (see Supplementary Table 3).</w:t>
            </w:r>
          </w:p>
        </w:tc>
      </w:tr>
      <w:tr w14:paraId="1D739924">
        <w:trPr>
          <w:jc w:val="center"/>
          <w:cantSplit/>
        </w:trPr>
        <w:tc>
          <w:tcPr>
            <w:tcW w:w="561" w:type="dxa"/>
            <w:shd w:val="clear" w:color="auto" w:fill="auto"/>
            <w:vAlign w:val="center"/>
          </w:tcPr>
          <w:p w14:paraId="45A55AFC">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8</w:t>
            </w:r>
          </w:p>
        </w:tc>
        <w:tc>
          <w:tcPr>
            <w:tcW w:w="1880" w:type="dxa"/>
            <w:shd w:val="clear" w:color="auto" w:fill="auto"/>
            <w:vAlign w:val="center"/>
          </w:tcPr>
          <w:p w14:paraId="3624F2DA">
            <w:pPr>
              <w:spacing w:after="0" w:line="240" w:lineRule="auto"/>
              <w:jc w:val="both"/>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sz w:val="21"/>
                <w:szCs w:val="21"/>
              </w:rPr>
              <w:t>Structural</w:t>
            </w:r>
          </w:p>
        </w:tc>
        <w:tc>
          <w:tcPr>
            <w:tcW w:w="1115" w:type="dxa"/>
            <w:shd w:val="clear" w:color="auto" w:fill="auto"/>
            <w:vAlign w:val="center"/>
          </w:tcPr>
          <w:p w14:paraId="26806FFD">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Lamotrigine</w:t>
            </w:r>
          </w:p>
        </w:tc>
        <w:tc>
          <w:tcPr>
            <w:tcW w:w="1382" w:type="dxa"/>
            <w:shd w:val="clear" w:color="auto" w:fill="auto"/>
            <w:vAlign w:val="center"/>
          </w:tcPr>
          <w:p w14:paraId="43245053">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Orofacial clefts</w:t>
            </w:r>
          </w:p>
        </w:tc>
        <w:tc>
          <w:tcPr>
            <w:tcW w:w="1371" w:type="dxa"/>
            <w:shd w:val="clear" w:color="auto" w:fill="auto"/>
            <w:vAlign w:val="center"/>
          </w:tcPr>
          <w:p w14:paraId="13B503AD">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Zhao 2025</w:t>
            </w:r>
          </w:p>
        </w:tc>
        <w:tc>
          <w:tcPr>
            <w:tcW w:w="1383" w:type="dxa"/>
            <w:shd w:val="clear" w:color="auto" w:fill="auto"/>
            <w:vAlign w:val="center"/>
          </w:tcPr>
          <w:p w14:paraId="23615064">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Unexposed controls (no ASM)</w:t>
            </w:r>
          </w:p>
        </w:tc>
        <w:tc>
          <w:tcPr>
            <w:tcW w:w="394" w:type="dxa"/>
            <w:shd w:val="clear" w:color="auto" w:fill="auto"/>
            <w:vAlign w:val="center"/>
          </w:tcPr>
          <w:p w14:paraId="747163D1">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8</w:t>
            </w:r>
          </w:p>
        </w:tc>
        <w:tc>
          <w:tcPr>
            <w:tcW w:w="542" w:type="dxa"/>
            <w:shd w:val="clear" w:color="auto" w:fill="auto"/>
            <w:vAlign w:val="center"/>
          </w:tcPr>
          <w:p w14:paraId="460CE00F">
            <w:pPr>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39.8%</w:t>
            </w:r>
          </w:p>
        </w:tc>
        <w:tc>
          <w:tcPr>
            <w:tcW w:w="1283" w:type="dxa"/>
            <w:shd w:val="clear" w:color="auto" w:fill="auto"/>
            <w:vAlign w:val="center"/>
          </w:tcPr>
          <w:p w14:paraId="36E28BDD">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Moderate</w:t>
            </w:r>
          </w:p>
        </w:tc>
        <w:tc>
          <w:tcPr>
            <w:tcW w:w="1006" w:type="dxa"/>
            <w:shd w:val="clear" w:color="auto" w:fill="auto"/>
            <w:vAlign w:val="center"/>
          </w:tcPr>
          <w:p w14:paraId="5C0EEAB4">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NR</w:t>
            </w:r>
          </w:p>
        </w:tc>
        <w:tc>
          <w:tcPr>
            <w:tcW w:w="947" w:type="dxa"/>
            <w:shd w:val="clear" w:color="auto" w:fill="auto"/>
            <w:vAlign w:val="center"/>
          </w:tcPr>
          <w:p w14:paraId="63C4589F">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assessable</w:t>
            </w:r>
          </w:p>
        </w:tc>
        <w:tc>
          <w:tcPr>
            <w:tcW w:w="1046" w:type="dxa"/>
            <w:shd w:val="clear" w:color="auto" w:fill="auto"/>
            <w:vAlign w:val="center"/>
          </w:tcPr>
          <w:p w14:paraId="129AAB99">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996" w:type="dxa"/>
            <w:shd w:val="clear" w:color="auto" w:fill="auto"/>
            <w:vAlign w:val="center"/>
          </w:tcPr>
          <w:p w14:paraId="579B870C">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formally assessable: k &lt; 10</w:t>
            </w:r>
          </w:p>
        </w:tc>
        <w:tc>
          <w:tcPr>
            <w:tcW w:w="1303" w:type="dxa"/>
            <w:shd w:val="clear" w:color="auto" w:fill="auto"/>
            <w:vAlign w:val="center"/>
          </w:tcPr>
          <w:p w14:paraId="338DA0E0">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NE†</w:t>
            </w:r>
          </w:p>
        </w:tc>
        <w:tc>
          <w:tcPr>
            <w:tcW w:w="1211" w:type="dxa"/>
            <w:shd w:val="clear" w:color="auto" w:fill="auto"/>
            <w:vAlign w:val="center"/>
          </w:tcPr>
          <w:p w14:paraId="478B93CA">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Likely moderate</w:t>
            </w:r>
          </w:p>
        </w:tc>
        <w:tc>
          <w:tcPr>
            <w:tcW w:w="1133" w:type="dxa"/>
            <w:shd w:val="clear" w:color="auto" w:fill="auto"/>
            <w:vAlign w:val="center"/>
          </w:tcPr>
          <w:p w14:paraId="73A866FB">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Analogous only (not a strict replacement)</w:t>
            </w:r>
          </w:p>
        </w:tc>
        <w:tc>
          <w:tcPr>
            <w:tcW w:w="1131" w:type="dxa"/>
            <w:shd w:val="clear" w:color="auto" w:fill="auto"/>
            <w:vAlign w:val="center"/>
          </w:tcPr>
          <w:p w14:paraId="070F18C0">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1056" w:type="dxa"/>
            <w:shd w:val="clear" w:color="auto" w:fill="auto"/>
            <w:vAlign w:val="center"/>
          </w:tcPr>
          <w:p w14:paraId="744AA3D1">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N/A</w:t>
            </w:r>
          </w:p>
        </w:tc>
        <w:tc>
          <w:tcPr>
            <w:tcW w:w="1135" w:type="dxa"/>
            <w:shd w:val="clear" w:color="auto" w:fill="auto"/>
            <w:vAlign w:val="center"/>
          </w:tcPr>
          <w:p w14:paraId="2EA13B39">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N/A</w:t>
            </w:r>
          </w:p>
        </w:tc>
        <w:tc>
          <w:tcPr>
            <w:tcW w:w="1452" w:type="dxa"/>
            <w:shd w:val="clear" w:color="auto" w:fill="auto"/>
            <w:vAlign w:val="center"/>
          </w:tcPr>
          <w:p w14:paraId="49F4E5AC">
            <w:pPr>
              <w:jc w:val="both"/>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Pariente 2017 includes OFC as one endpoint; cohort-only and adjusted subgroup analyses within Zhao 2025 itself attenuate the overall OR to non-significance.</w:t>
            </w:r>
          </w:p>
        </w:tc>
      </w:tr>
      <w:tr w14:paraId="58CC5D45">
        <w:trPr>
          <w:jc w:val="center"/>
          <w:cantSplit/>
        </w:trPr>
        <w:tc>
          <w:tcPr>
            <w:tcW w:w="561" w:type="dxa"/>
            <w:shd w:val="clear" w:color="auto" w:fill="auto"/>
            <w:vAlign w:val="center"/>
          </w:tcPr>
          <w:p w14:paraId="5EBCC018">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9</w:t>
            </w:r>
          </w:p>
        </w:tc>
        <w:tc>
          <w:tcPr>
            <w:tcW w:w="1880" w:type="dxa"/>
            <w:shd w:val="clear" w:color="auto" w:fill="auto"/>
            <w:vAlign w:val="center"/>
          </w:tcPr>
          <w:p w14:paraId="6BE0677B">
            <w:pPr>
              <w:spacing w:after="0" w:line="240" w:lineRule="auto"/>
              <w:jc w:val="both"/>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sz w:val="21"/>
                <w:szCs w:val="21"/>
              </w:rPr>
              <w:t>Structural</w:t>
            </w:r>
          </w:p>
        </w:tc>
        <w:tc>
          <w:tcPr>
            <w:tcW w:w="1115" w:type="dxa"/>
            <w:shd w:val="clear" w:color="auto" w:fill="auto"/>
            <w:vAlign w:val="center"/>
          </w:tcPr>
          <w:p w14:paraId="52365C1B">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Topiramate</w:t>
            </w:r>
          </w:p>
        </w:tc>
        <w:tc>
          <w:tcPr>
            <w:tcW w:w="1382" w:type="dxa"/>
            <w:shd w:val="clear" w:color="auto" w:fill="auto"/>
            <w:vAlign w:val="center"/>
          </w:tcPr>
          <w:p w14:paraId="70939B26">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Oral clefts</w:t>
            </w:r>
          </w:p>
        </w:tc>
        <w:tc>
          <w:tcPr>
            <w:tcW w:w="1371" w:type="dxa"/>
            <w:shd w:val="clear" w:color="auto" w:fill="auto"/>
            <w:vAlign w:val="center"/>
          </w:tcPr>
          <w:p w14:paraId="6EAA3207">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Alsaad 2015</w:t>
            </w:r>
          </w:p>
        </w:tc>
        <w:tc>
          <w:tcPr>
            <w:tcW w:w="1383" w:type="dxa"/>
            <w:shd w:val="clear" w:color="auto" w:fill="auto"/>
            <w:vAlign w:val="center"/>
          </w:tcPr>
          <w:p w14:paraId="54714117">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TPM-unexposed controls</w:t>
            </w:r>
          </w:p>
        </w:tc>
        <w:tc>
          <w:tcPr>
            <w:tcW w:w="394" w:type="dxa"/>
            <w:shd w:val="clear" w:color="auto" w:fill="auto"/>
            <w:vAlign w:val="center"/>
          </w:tcPr>
          <w:p w14:paraId="1F92143C">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6</w:t>
            </w:r>
          </w:p>
        </w:tc>
        <w:tc>
          <w:tcPr>
            <w:tcW w:w="542" w:type="dxa"/>
            <w:shd w:val="clear" w:color="auto" w:fill="auto"/>
            <w:vAlign w:val="center"/>
          </w:tcPr>
          <w:p w14:paraId="3C007A84">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46%</w:t>
            </w:r>
          </w:p>
        </w:tc>
        <w:tc>
          <w:tcPr>
            <w:tcW w:w="1283" w:type="dxa"/>
            <w:shd w:val="clear" w:color="auto" w:fill="auto"/>
            <w:vAlign w:val="center"/>
          </w:tcPr>
          <w:p w14:paraId="2208EEFA">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Moderate</w:t>
            </w:r>
          </w:p>
        </w:tc>
        <w:tc>
          <w:tcPr>
            <w:tcW w:w="1006" w:type="dxa"/>
            <w:shd w:val="clear" w:color="auto" w:fill="auto"/>
            <w:vAlign w:val="center"/>
          </w:tcPr>
          <w:p w14:paraId="21CAAA35">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NR</w:t>
            </w:r>
          </w:p>
        </w:tc>
        <w:tc>
          <w:tcPr>
            <w:tcW w:w="947" w:type="dxa"/>
            <w:shd w:val="clear" w:color="auto" w:fill="auto"/>
            <w:vAlign w:val="center"/>
          </w:tcPr>
          <w:p w14:paraId="4061EF47">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assessable</w:t>
            </w:r>
          </w:p>
        </w:tc>
        <w:tc>
          <w:tcPr>
            <w:tcW w:w="1046" w:type="dxa"/>
            <w:shd w:val="clear" w:color="auto" w:fill="auto"/>
            <w:vAlign w:val="center"/>
          </w:tcPr>
          <w:p w14:paraId="16BBCFAA">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996" w:type="dxa"/>
            <w:shd w:val="clear" w:color="auto" w:fill="auto"/>
            <w:vAlign w:val="center"/>
          </w:tcPr>
          <w:p w14:paraId="0A730C99">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formally assessable: k &lt; 10</w:t>
            </w:r>
          </w:p>
        </w:tc>
        <w:tc>
          <w:tcPr>
            <w:tcW w:w="1303" w:type="dxa"/>
            <w:shd w:val="clear" w:color="auto" w:fill="auto"/>
            <w:vAlign w:val="center"/>
          </w:tcPr>
          <w:p w14:paraId="02544CAB">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N/A</w:t>
            </w:r>
          </w:p>
        </w:tc>
        <w:tc>
          <w:tcPr>
            <w:tcW w:w="1211" w:type="dxa"/>
            <w:shd w:val="clear" w:color="auto" w:fill="auto"/>
            <w:vAlign w:val="center"/>
          </w:tcPr>
          <w:p w14:paraId="10F1E309">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Not applicable (single eligible review)</w:t>
            </w:r>
          </w:p>
        </w:tc>
        <w:tc>
          <w:tcPr>
            <w:tcW w:w="1133" w:type="dxa"/>
            <w:shd w:val="clear" w:color="auto" w:fill="auto"/>
            <w:vAlign w:val="center"/>
          </w:tcPr>
          <w:p w14:paraId="288EAFD2">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 alternative available</w:t>
            </w:r>
          </w:p>
        </w:tc>
        <w:tc>
          <w:tcPr>
            <w:tcW w:w="1131" w:type="dxa"/>
            <w:shd w:val="clear" w:color="auto" w:fill="auto"/>
            <w:vAlign w:val="center"/>
          </w:tcPr>
          <w:p w14:paraId="71EFEA97">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1056" w:type="dxa"/>
            <w:shd w:val="clear" w:color="auto" w:fill="auto"/>
            <w:vAlign w:val="center"/>
          </w:tcPr>
          <w:p w14:paraId="5C9A9ED0">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N/A</w:t>
            </w:r>
          </w:p>
        </w:tc>
        <w:tc>
          <w:tcPr>
            <w:tcW w:w="1135" w:type="dxa"/>
            <w:shd w:val="clear" w:color="auto" w:fill="auto"/>
            <w:vAlign w:val="center"/>
          </w:tcPr>
          <w:p w14:paraId="5FB482EE">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N/A</w:t>
            </w:r>
          </w:p>
        </w:tc>
        <w:tc>
          <w:tcPr>
            <w:tcW w:w="1452" w:type="dxa"/>
            <w:shd w:val="clear" w:color="auto" w:fill="auto"/>
            <w:vAlign w:val="center"/>
          </w:tcPr>
          <w:p w14:paraId="085636FA">
            <w:pPr>
              <w:spacing w:after="0" w:line="240" w:lineRule="auto"/>
              <w:jc w:val="both"/>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iCs/>
                <w:color w:val="auto"/>
                <w:sz w:val="21"/>
                <w:szCs w:val="21"/>
              </w:rPr>
              <w:t>Only focused TPM oral-cleft review in included set; no replacement available.</w:t>
            </w:r>
          </w:p>
        </w:tc>
      </w:tr>
      <w:tr w14:paraId="37F45050">
        <w:trPr>
          <w:jc w:val="center"/>
          <w:cantSplit/>
        </w:trPr>
        <w:tc>
          <w:tcPr>
            <w:tcW w:w="561" w:type="dxa"/>
            <w:shd w:val="clear" w:color="auto" w:fill="auto"/>
            <w:vAlign w:val="center"/>
          </w:tcPr>
          <w:p w14:paraId="1AEF97F5">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10</w:t>
            </w:r>
          </w:p>
        </w:tc>
        <w:tc>
          <w:tcPr>
            <w:tcW w:w="1880" w:type="dxa"/>
            <w:shd w:val="clear" w:color="auto" w:fill="auto"/>
            <w:vAlign w:val="center"/>
          </w:tcPr>
          <w:p w14:paraId="25405428">
            <w:pPr>
              <w:spacing w:after="0" w:line="240" w:lineRule="auto"/>
              <w:jc w:val="both"/>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sz w:val="21"/>
                <w:szCs w:val="21"/>
              </w:rPr>
              <w:t>Structural</w:t>
            </w:r>
          </w:p>
        </w:tc>
        <w:tc>
          <w:tcPr>
            <w:tcW w:w="1115" w:type="dxa"/>
            <w:shd w:val="clear" w:color="auto" w:fill="auto"/>
            <w:vAlign w:val="center"/>
          </w:tcPr>
          <w:p w14:paraId="3D4F8410">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Oxcarbazepine</w:t>
            </w:r>
          </w:p>
        </w:tc>
        <w:tc>
          <w:tcPr>
            <w:tcW w:w="1382" w:type="dxa"/>
            <w:shd w:val="clear" w:color="auto" w:fill="auto"/>
            <w:vAlign w:val="center"/>
          </w:tcPr>
          <w:p w14:paraId="08BD1505">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Congenital anomalies</w:t>
            </w:r>
          </w:p>
        </w:tc>
        <w:tc>
          <w:tcPr>
            <w:tcW w:w="1371" w:type="dxa"/>
            <w:shd w:val="clear" w:color="auto" w:fill="auto"/>
            <w:vAlign w:val="center"/>
          </w:tcPr>
          <w:p w14:paraId="79710D88">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Athar 2022</w:t>
            </w:r>
          </w:p>
        </w:tc>
        <w:tc>
          <w:tcPr>
            <w:tcW w:w="1383" w:type="dxa"/>
            <w:shd w:val="clear" w:color="auto" w:fill="auto"/>
            <w:vAlign w:val="center"/>
          </w:tcPr>
          <w:p w14:paraId="553C6145">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Unexposed controls</w:t>
            </w:r>
          </w:p>
        </w:tc>
        <w:tc>
          <w:tcPr>
            <w:tcW w:w="394" w:type="dxa"/>
            <w:shd w:val="clear" w:color="auto" w:fill="auto"/>
            <w:vAlign w:val="center"/>
          </w:tcPr>
          <w:p w14:paraId="3F9955A9">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7</w:t>
            </w:r>
          </w:p>
        </w:tc>
        <w:tc>
          <w:tcPr>
            <w:tcW w:w="542" w:type="dxa"/>
            <w:shd w:val="clear" w:color="auto" w:fill="auto"/>
            <w:vAlign w:val="center"/>
          </w:tcPr>
          <w:p w14:paraId="5A943FB8">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2%</w:t>
            </w:r>
          </w:p>
        </w:tc>
        <w:tc>
          <w:tcPr>
            <w:tcW w:w="1283" w:type="dxa"/>
            <w:shd w:val="clear" w:color="auto" w:fill="auto"/>
            <w:vAlign w:val="center"/>
          </w:tcPr>
          <w:p w14:paraId="793C73FE">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Low</w:t>
            </w:r>
          </w:p>
        </w:tc>
        <w:tc>
          <w:tcPr>
            <w:tcW w:w="1006" w:type="dxa"/>
            <w:shd w:val="clear" w:color="auto" w:fill="auto"/>
            <w:vAlign w:val="center"/>
          </w:tcPr>
          <w:p w14:paraId="2CB0044B">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NR</w:t>
            </w:r>
          </w:p>
        </w:tc>
        <w:tc>
          <w:tcPr>
            <w:tcW w:w="947" w:type="dxa"/>
            <w:shd w:val="clear" w:color="auto" w:fill="auto"/>
            <w:vAlign w:val="center"/>
          </w:tcPr>
          <w:p w14:paraId="55FEE72C">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assessable</w:t>
            </w:r>
          </w:p>
        </w:tc>
        <w:tc>
          <w:tcPr>
            <w:tcW w:w="1046" w:type="dxa"/>
            <w:shd w:val="clear" w:color="auto" w:fill="auto"/>
            <w:vAlign w:val="center"/>
          </w:tcPr>
          <w:p w14:paraId="502D0710">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996" w:type="dxa"/>
            <w:shd w:val="clear" w:color="auto" w:fill="auto"/>
            <w:vAlign w:val="center"/>
          </w:tcPr>
          <w:p w14:paraId="61D62FF3">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formally assessable: k &lt; 10</w:t>
            </w:r>
          </w:p>
        </w:tc>
        <w:tc>
          <w:tcPr>
            <w:tcW w:w="1303" w:type="dxa"/>
            <w:shd w:val="clear" w:color="auto" w:fill="auto"/>
            <w:vAlign w:val="center"/>
          </w:tcPr>
          <w:p w14:paraId="6758140F">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NE†</w:t>
            </w:r>
          </w:p>
        </w:tc>
        <w:tc>
          <w:tcPr>
            <w:tcW w:w="1211" w:type="dxa"/>
            <w:shd w:val="clear" w:color="auto" w:fill="auto"/>
            <w:vAlign w:val="center"/>
          </w:tcPr>
          <w:p w14:paraId="0165E58F">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Likely moderate</w:t>
            </w:r>
          </w:p>
        </w:tc>
        <w:tc>
          <w:tcPr>
            <w:tcW w:w="1133" w:type="dxa"/>
            <w:shd w:val="clear" w:color="auto" w:fill="auto"/>
            <w:vAlign w:val="center"/>
          </w:tcPr>
          <w:p w14:paraId="2534BCDF">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Analogous/contextual only (NMA, different comparator)</w:t>
            </w:r>
          </w:p>
        </w:tc>
        <w:tc>
          <w:tcPr>
            <w:tcW w:w="1131" w:type="dxa"/>
            <w:shd w:val="clear" w:color="auto" w:fill="auto"/>
            <w:vAlign w:val="center"/>
          </w:tcPr>
          <w:p w14:paraId="5E10AFB5">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1056" w:type="dxa"/>
            <w:shd w:val="clear" w:color="auto" w:fill="auto"/>
            <w:vAlign w:val="center"/>
          </w:tcPr>
          <w:p w14:paraId="37DDA903">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N/A</w:t>
            </w:r>
          </w:p>
        </w:tc>
        <w:tc>
          <w:tcPr>
            <w:tcW w:w="1135" w:type="dxa"/>
            <w:shd w:val="clear" w:color="auto" w:fill="auto"/>
            <w:vAlign w:val="center"/>
          </w:tcPr>
          <w:p w14:paraId="5E226D93">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N/A</w:t>
            </w:r>
          </w:p>
        </w:tc>
        <w:tc>
          <w:tcPr>
            <w:tcW w:w="1452" w:type="dxa"/>
            <w:shd w:val="clear" w:color="auto" w:fill="auto"/>
            <w:vAlign w:val="center"/>
          </w:tcPr>
          <w:p w14:paraId="35953040">
            <w:pPr>
              <w:jc w:val="both"/>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Veroniki 2017a NMA provides an OXC estimate but with different comparator structure; CI crosses null in both reviews.</w:t>
            </w:r>
          </w:p>
        </w:tc>
      </w:tr>
      <w:tr w14:paraId="6041D609">
        <w:trPr>
          <w:jc w:val="center"/>
          <w:cantSplit/>
        </w:trPr>
        <w:tc>
          <w:tcPr>
            <w:tcW w:w="561" w:type="dxa"/>
            <w:shd w:val="clear" w:color="auto" w:fill="auto"/>
            <w:vAlign w:val="center"/>
          </w:tcPr>
          <w:p w14:paraId="01685A34">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11</w:t>
            </w:r>
          </w:p>
        </w:tc>
        <w:tc>
          <w:tcPr>
            <w:tcW w:w="1880" w:type="dxa"/>
            <w:shd w:val="clear" w:color="auto" w:fill="auto"/>
            <w:vAlign w:val="center"/>
          </w:tcPr>
          <w:p w14:paraId="00A5FE8E">
            <w:pPr>
              <w:spacing w:after="0" w:line="240" w:lineRule="auto"/>
              <w:jc w:val="both"/>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sz w:val="21"/>
                <w:szCs w:val="21"/>
              </w:rPr>
              <w:t>Structural</w:t>
            </w:r>
          </w:p>
        </w:tc>
        <w:tc>
          <w:tcPr>
            <w:tcW w:w="1115" w:type="dxa"/>
            <w:shd w:val="clear" w:color="auto" w:fill="auto"/>
            <w:vAlign w:val="center"/>
          </w:tcPr>
          <w:p w14:paraId="16FF656E">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Pregabalin</w:t>
            </w:r>
          </w:p>
        </w:tc>
        <w:tc>
          <w:tcPr>
            <w:tcW w:w="1382" w:type="dxa"/>
            <w:shd w:val="clear" w:color="auto" w:fill="auto"/>
            <w:vAlign w:val="center"/>
          </w:tcPr>
          <w:p w14:paraId="230081F2">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Major congenital anomalies</w:t>
            </w:r>
          </w:p>
        </w:tc>
        <w:tc>
          <w:tcPr>
            <w:tcW w:w="1371" w:type="dxa"/>
            <w:shd w:val="clear" w:color="auto" w:fill="auto"/>
            <w:vAlign w:val="center"/>
          </w:tcPr>
          <w:p w14:paraId="74999157">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Atzenhoffer 2025</w:t>
            </w:r>
          </w:p>
        </w:tc>
        <w:tc>
          <w:tcPr>
            <w:tcW w:w="1383" w:type="dxa"/>
            <w:shd w:val="clear" w:color="auto" w:fill="auto"/>
            <w:vAlign w:val="center"/>
          </w:tcPr>
          <w:p w14:paraId="3ED4D2A5">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One comparator per study, selected hierarchically: unexposed sick, unexposed not otherwise specified, unexposed disease-free, then lamotrigine-exposed</w:t>
            </w:r>
          </w:p>
        </w:tc>
        <w:tc>
          <w:tcPr>
            <w:tcW w:w="394" w:type="dxa"/>
            <w:shd w:val="clear" w:color="auto" w:fill="auto"/>
            <w:vAlign w:val="center"/>
          </w:tcPr>
          <w:p w14:paraId="5ED63ADA">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7</w:t>
            </w:r>
          </w:p>
        </w:tc>
        <w:tc>
          <w:tcPr>
            <w:tcW w:w="542" w:type="dxa"/>
            <w:shd w:val="clear" w:color="auto" w:fill="auto"/>
            <w:vAlign w:val="center"/>
          </w:tcPr>
          <w:p w14:paraId="0C5F668F">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51%</w:t>
            </w:r>
          </w:p>
        </w:tc>
        <w:tc>
          <w:tcPr>
            <w:tcW w:w="1283" w:type="dxa"/>
            <w:shd w:val="clear" w:color="auto" w:fill="auto"/>
            <w:vAlign w:val="center"/>
          </w:tcPr>
          <w:p w14:paraId="2DC6F787">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Substantial</w:t>
            </w:r>
          </w:p>
        </w:tc>
        <w:tc>
          <w:tcPr>
            <w:tcW w:w="1006" w:type="dxa"/>
            <w:shd w:val="clear" w:color="auto" w:fill="auto"/>
            <w:vAlign w:val="center"/>
          </w:tcPr>
          <w:p w14:paraId="2E3B06B4">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NR</w:t>
            </w:r>
          </w:p>
        </w:tc>
        <w:tc>
          <w:tcPr>
            <w:tcW w:w="947" w:type="dxa"/>
            <w:shd w:val="clear" w:color="auto" w:fill="auto"/>
            <w:vAlign w:val="center"/>
          </w:tcPr>
          <w:p w14:paraId="6C79DFCF">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assessable</w:t>
            </w:r>
          </w:p>
        </w:tc>
        <w:tc>
          <w:tcPr>
            <w:tcW w:w="1046" w:type="dxa"/>
            <w:shd w:val="clear" w:color="auto" w:fill="auto"/>
            <w:vAlign w:val="center"/>
          </w:tcPr>
          <w:p w14:paraId="37824FAF">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996" w:type="dxa"/>
            <w:shd w:val="clear" w:color="auto" w:fill="auto"/>
            <w:vAlign w:val="center"/>
          </w:tcPr>
          <w:p w14:paraId="36EC085A">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formally assessable: k &lt; 10</w:t>
            </w:r>
          </w:p>
        </w:tc>
        <w:tc>
          <w:tcPr>
            <w:tcW w:w="1303" w:type="dxa"/>
            <w:shd w:val="clear" w:color="auto" w:fill="auto"/>
            <w:vAlign w:val="center"/>
          </w:tcPr>
          <w:p w14:paraId="11A885EA">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N/A</w:t>
            </w:r>
          </w:p>
        </w:tc>
        <w:tc>
          <w:tcPr>
            <w:tcW w:w="1211" w:type="dxa"/>
            <w:shd w:val="clear" w:color="auto" w:fill="auto"/>
            <w:vAlign w:val="center"/>
          </w:tcPr>
          <w:p w14:paraId="774BBB07">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Not applicable (single eligible review)</w:t>
            </w:r>
          </w:p>
        </w:tc>
        <w:tc>
          <w:tcPr>
            <w:tcW w:w="1133" w:type="dxa"/>
            <w:shd w:val="clear" w:color="auto" w:fill="auto"/>
            <w:vAlign w:val="center"/>
          </w:tcPr>
          <w:p w14:paraId="12E7D0DF">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 alternative available</w:t>
            </w:r>
          </w:p>
        </w:tc>
        <w:tc>
          <w:tcPr>
            <w:tcW w:w="1131" w:type="dxa"/>
            <w:shd w:val="clear" w:color="auto" w:fill="auto"/>
            <w:vAlign w:val="center"/>
          </w:tcPr>
          <w:p w14:paraId="568DE523">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1056" w:type="dxa"/>
            <w:shd w:val="clear" w:color="auto" w:fill="auto"/>
            <w:vAlign w:val="center"/>
          </w:tcPr>
          <w:p w14:paraId="2210BB18">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N/A</w:t>
            </w:r>
          </w:p>
        </w:tc>
        <w:tc>
          <w:tcPr>
            <w:tcW w:w="1135" w:type="dxa"/>
            <w:shd w:val="clear" w:color="auto" w:fill="auto"/>
            <w:vAlign w:val="center"/>
          </w:tcPr>
          <w:p w14:paraId="61330E4E">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N/A</w:t>
            </w:r>
          </w:p>
        </w:tc>
        <w:tc>
          <w:tcPr>
            <w:tcW w:w="1452" w:type="dxa"/>
            <w:shd w:val="clear" w:color="auto" w:fill="auto"/>
            <w:vAlign w:val="center"/>
          </w:tcPr>
          <w:p w14:paraId="641196F1">
            <w:pPr>
              <w:spacing w:after="0" w:line="240" w:lineRule="auto"/>
              <w:jc w:val="both"/>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iCs/>
                <w:color w:val="auto"/>
                <w:sz w:val="21"/>
                <w:szCs w:val="21"/>
              </w:rPr>
              <w:t>Only focused PGB review in included set; the source review judged all contributing studies as being at critical risk of confounding; non-significant main estimate.</w:t>
            </w:r>
          </w:p>
        </w:tc>
      </w:tr>
      <w:tr w14:paraId="26D62D82">
        <w:trPr>
          <w:jc w:val="center"/>
          <w:cantSplit/>
        </w:trPr>
        <w:tc>
          <w:tcPr>
            <w:tcW w:w="561" w:type="dxa"/>
            <w:shd w:val="clear" w:color="auto" w:fill="auto"/>
            <w:vAlign w:val="center"/>
          </w:tcPr>
          <w:p w14:paraId="2E4CC5FF">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12</w:t>
            </w:r>
          </w:p>
        </w:tc>
        <w:tc>
          <w:tcPr>
            <w:tcW w:w="1880" w:type="dxa"/>
            <w:shd w:val="clear" w:color="auto" w:fill="auto"/>
            <w:vAlign w:val="center"/>
          </w:tcPr>
          <w:p w14:paraId="4FE511E7">
            <w:pPr>
              <w:jc w:val="both"/>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Neurodevelopmental</w:t>
            </w:r>
          </w:p>
        </w:tc>
        <w:tc>
          <w:tcPr>
            <w:tcW w:w="1115" w:type="dxa"/>
            <w:shd w:val="clear" w:color="auto" w:fill="auto"/>
            <w:vAlign w:val="center"/>
          </w:tcPr>
          <w:p w14:paraId="461565CF">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Valproate</w:t>
            </w:r>
          </w:p>
        </w:tc>
        <w:tc>
          <w:tcPr>
            <w:tcW w:w="1382" w:type="dxa"/>
            <w:shd w:val="clear" w:color="auto" w:fill="auto"/>
            <w:vAlign w:val="center"/>
          </w:tcPr>
          <w:p w14:paraId="6396C84B">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ASD</w:t>
            </w:r>
          </w:p>
        </w:tc>
        <w:tc>
          <w:tcPr>
            <w:tcW w:w="1371" w:type="dxa"/>
            <w:shd w:val="clear" w:color="auto" w:fill="auto"/>
            <w:vAlign w:val="center"/>
          </w:tcPr>
          <w:p w14:paraId="308D8430">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Andrade 2025</w:t>
            </w:r>
          </w:p>
        </w:tc>
        <w:tc>
          <w:tcPr>
            <w:tcW w:w="1383" w:type="dxa"/>
            <w:shd w:val="clear" w:color="auto" w:fill="auto"/>
            <w:vAlign w:val="center"/>
          </w:tcPr>
          <w:p w14:paraId="451A74AF">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Unexposed</w:t>
            </w:r>
          </w:p>
        </w:tc>
        <w:tc>
          <w:tcPr>
            <w:tcW w:w="394" w:type="dxa"/>
            <w:shd w:val="clear" w:color="auto" w:fill="auto"/>
            <w:vAlign w:val="center"/>
          </w:tcPr>
          <w:p w14:paraId="26D7E8DF">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4</w:t>
            </w:r>
          </w:p>
        </w:tc>
        <w:tc>
          <w:tcPr>
            <w:tcW w:w="542" w:type="dxa"/>
            <w:shd w:val="clear" w:color="auto" w:fill="auto"/>
            <w:vAlign w:val="center"/>
          </w:tcPr>
          <w:p w14:paraId="754572BE">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40%</w:t>
            </w:r>
          </w:p>
        </w:tc>
        <w:tc>
          <w:tcPr>
            <w:tcW w:w="1283" w:type="dxa"/>
            <w:shd w:val="clear" w:color="auto" w:fill="auto"/>
            <w:vAlign w:val="center"/>
          </w:tcPr>
          <w:p w14:paraId="12D88B19">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Moderate</w:t>
            </w:r>
          </w:p>
        </w:tc>
        <w:tc>
          <w:tcPr>
            <w:tcW w:w="1006" w:type="dxa"/>
            <w:shd w:val="clear" w:color="auto" w:fill="auto"/>
            <w:vAlign w:val="center"/>
          </w:tcPr>
          <w:p w14:paraId="30102413">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NR</w:t>
            </w:r>
          </w:p>
        </w:tc>
        <w:tc>
          <w:tcPr>
            <w:tcW w:w="947" w:type="dxa"/>
            <w:shd w:val="clear" w:color="auto" w:fill="auto"/>
            <w:vAlign w:val="center"/>
          </w:tcPr>
          <w:p w14:paraId="69FD51D1">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assessable</w:t>
            </w:r>
          </w:p>
        </w:tc>
        <w:tc>
          <w:tcPr>
            <w:tcW w:w="1046" w:type="dxa"/>
            <w:shd w:val="clear" w:color="auto" w:fill="auto"/>
            <w:vAlign w:val="center"/>
          </w:tcPr>
          <w:p w14:paraId="39F1AF10">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996" w:type="dxa"/>
            <w:shd w:val="clear" w:color="auto" w:fill="auto"/>
            <w:vAlign w:val="center"/>
          </w:tcPr>
          <w:p w14:paraId="03F5CCBB">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formally assessable: k &lt; 10</w:t>
            </w:r>
          </w:p>
        </w:tc>
        <w:tc>
          <w:tcPr>
            <w:tcW w:w="1303" w:type="dxa"/>
            <w:shd w:val="clear" w:color="auto" w:fill="auto"/>
            <w:vAlign w:val="center"/>
          </w:tcPr>
          <w:p w14:paraId="65A066AA">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28.1% (global, 3-review)</w:t>
            </w:r>
          </w:p>
        </w:tc>
        <w:tc>
          <w:tcPr>
            <w:tcW w:w="1211" w:type="dxa"/>
            <w:shd w:val="clear" w:color="auto" w:fill="auto"/>
            <w:vAlign w:val="center"/>
          </w:tcPr>
          <w:p w14:paraId="36F08415">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Very high</w:t>
            </w:r>
          </w:p>
        </w:tc>
        <w:tc>
          <w:tcPr>
            <w:tcW w:w="1133" w:type="dxa"/>
            <w:shd w:val="clear" w:color="auto" w:fill="auto"/>
            <w:vAlign w:val="center"/>
          </w:tcPr>
          <w:p w14:paraId="51555763">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Supportive contextual evidence</w:t>
            </w:r>
          </w:p>
        </w:tc>
        <w:tc>
          <w:tcPr>
            <w:tcW w:w="1131" w:type="dxa"/>
            <w:shd w:val="clear" w:color="auto" w:fill="auto"/>
            <w:vAlign w:val="center"/>
          </w:tcPr>
          <w:p w14:paraId="26F1DAD6">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 contextual</w:t>
            </w:r>
          </w:p>
        </w:tc>
        <w:tc>
          <w:tcPr>
            <w:tcW w:w="1056" w:type="dxa"/>
            <w:shd w:val="clear" w:color="auto" w:fill="auto"/>
            <w:vAlign w:val="center"/>
          </w:tcPr>
          <w:p w14:paraId="41D76CA1">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 contextual</w:t>
            </w:r>
          </w:p>
        </w:tc>
        <w:tc>
          <w:tcPr>
            <w:tcW w:w="1135" w:type="dxa"/>
            <w:shd w:val="clear" w:color="auto" w:fill="auto"/>
            <w:vAlign w:val="center"/>
          </w:tcPr>
          <w:p w14:paraId="1352CC64">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 contextual</w:t>
            </w:r>
          </w:p>
        </w:tc>
        <w:tc>
          <w:tcPr>
            <w:tcW w:w="1452" w:type="dxa"/>
            <w:shd w:val="clear" w:color="auto" w:fill="auto"/>
            <w:vAlign w:val="center"/>
          </w:tcPr>
          <w:p w14:paraId="30DEC03E">
            <w:pPr>
              <w:jc w:val="both"/>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Amaral 2025 provides direct supportive evidence for VPA–ASD; Xu 2024 contributes broader contextual support from any-ASM–ASD analyses (not VPA-specific).</w:t>
            </w:r>
          </w:p>
        </w:tc>
      </w:tr>
      <w:tr w14:paraId="630196D6">
        <w:trPr>
          <w:jc w:val="center"/>
          <w:cantSplit/>
        </w:trPr>
        <w:tc>
          <w:tcPr>
            <w:tcW w:w="561" w:type="dxa"/>
            <w:shd w:val="clear" w:color="auto" w:fill="auto"/>
            <w:vAlign w:val="center"/>
          </w:tcPr>
          <w:p w14:paraId="25D99EB5">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13</w:t>
            </w:r>
          </w:p>
        </w:tc>
        <w:tc>
          <w:tcPr>
            <w:tcW w:w="1880" w:type="dxa"/>
            <w:shd w:val="clear" w:color="auto" w:fill="auto"/>
            <w:vAlign w:val="center"/>
          </w:tcPr>
          <w:p w14:paraId="6C439A37">
            <w:pPr>
              <w:spacing w:after="0" w:line="240" w:lineRule="auto"/>
              <w:jc w:val="both"/>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sz w:val="21"/>
                <w:szCs w:val="21"/>
              </w:rPr>
              <w:t>Neurodevelopmental</w:t>
            </w:r>
          </w:p>
        </w:tc>
        <w:tc>
          <w:tcPr>
            <w:tcW w:w="1115" w:type="dxa"/>
            <w:shd w:val="clear" w:color="auto" w:fill="auto"/>
            <w:vAlign w:val="center"/>
          </w:tcPr>
          <w:p w14:paraId="4C44D569">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Valproate</w:t>
            </w:r>
          </w:p>
        </w:tc>
        <w:tc>
          <w:tcPr>
            <w:tcW w:w="1382" w:type="dxa"/>
            <w:shd w:val="clear" w:color="auto" w:fill="auto"/>
            <w:vAlign w:val="center"/>
          </w:tcPr>
          <w:p w14:paraId="436F563F">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ADHD</w:t>
            </w:r>
          </w:p>
        </w:tc>
        <w:tc>
          <w:tcPr>
            <w:tcW w:w="1371" w:type="dxa"/>
            <w:shd w:val="clear" w:color="auto" w:fill="auto"/>
            <w:vAlign w:val="center"/>
          </w:tcPr>
          <w:p w14:paraId="03BF79F9">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Andrade 2025</w:t>
            </w:r>
          </w:p>
        </w:tc>
        <w:tc>
          <w:tcPr>
            <w:tcW w:w="1383" w:type="dxa"/>
            <w:shd w:val="clear" w:color="auto" w:fill="auto"/>
            <w:vAlign w:val="center"/>
          </w:tcPr>
          <w:p w14:paraId="201B37CD">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Unexposed</w:t>
            </w:r>
          </w:p>
        </w:tc>
        <w:tc>
          <w:tcPr>
            <w:tcW w:w="394" w:type="dxa"/>
            <w:shd w:val="clear" w:color="auto" w:fill="auto"/>
            <w:vAlign w:val="center"/>
          </w:tcPr>
          <w:p w14:paraId="5471BCF0">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2</w:t>
            </w:r>
          </w:p>
        </w:tc>
        <w:tc>
          <w:tcPr>
            <w:tcW w:w="542" w:type="dxa"/>
            <w:shd w:val="clear" w:color="auto" w:fill="auto"/>
            <w:vAlign w:val="center"/>
          </w:tcPr>
          <w:p w14:paraId="536732F2">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59%</w:t>
            </w:r>
          </w:p>
        </w:tc>
        <w:tc>
          <w:tcPr>
            <w:tcW w:w="1283" w:type="dxa"/>
            <w:shd w:val="clear" w:color="auto" w:fill="auto"/>
            <w:vAlign w:val="center"/>
          </w:tcPr>
          <w:p w14:paraId="12424AB2">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Substantial</w:t>
            </w:r>
          </w:p>
        </w:tc>
        <w:tc>
          <w:tcPr>
            <w:tcW w:w="1006" w:type="dxa"/>
            <w:shd w:val="clear" w:color="auto" w:fill="auto"/>
            <w:vAlign w:val="center"/>
          </w:tcPr>
          <w:p w14:paraId="4FC55AD3">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NR</w:t>
            </w:r>
          </w:p>
        </w:tc>
        <w:tc>
          <w:tcPr>
            <w:tcW w:w="947" w:type="dxa"/>
            <w:shd w:val="clear" w:color="auto" w:fill="auto"/>
            <w:vAlign w:val="center"/>
          </w:tcPr>
          <w:p w14:paraId="070B951E">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assessable</w:t>
            </w:r>
          </w:p>
        </w:tc>
        <w:tc>
          <w:tcPr>
            <w:tcW w:w="1046" w:type="dxa"/>
            <w:shd w:val="clear" w:color="auto" w:fill="auto"/>
            <w:vAlign w:val="center"/>
          </w:tcPr>
          <w:p w14:paraId="5764934A">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996" w:type="dxa"/>
            <w:shd w:val="clear" w:color="auto" w:fill="auto"/>
            <w:vAlign w:val="center"/>
          </w:tcPr>
          <w:p w14:paraId="2CF78199">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formally assessable: k &lt; 10</w:t>
            </w:r>
          </w:p>
        </w:tc>
        <w:tc>
          <w:tcPr>
            <w:tcW w:w="1303" w:type="dxa"/>
            <w:shd w:val="clear" w:color="auto" w:fill="auto"/>
            <w:vAlign w:val="center"/>
          </w:tcPr>
          <w:p w14:paraId="55C89506">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28.1% (global, 3-review)</w:t>
            </w:r>
          </w:p>
        </w:tc>
        <w:tc>
          <w:tcPr>
            <w:tcW w:w="1211" w:type="dxa"/>
            <w:shd w:val="clear" w:color="auto" w:fill="auto"/>
            <w:vAlign w:val="center"/>
          </w:tcPr>
          <w:p w14:paraId="57D13F7A">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Very high</w:t>
            </w:r>
          </w:p>
        </w:tc>
        <w:tc>
          <w:tcPr>
            <w:tcW w:w="1133" w:type="dxa"/>
            <w:shd w:val="clear" w:color="auto" w:fill="auto"/>
            <w:vAlign w:val="center"/>
          </w:tcPr>
          <w:p w14:paraId="3C94ABDC">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Indirect/contextual only</w:t>
            </w:r>
          </w:p>
        </w:tc>
        <w:tc>
          <w:tcPr>
            <w:tcW w:w="1131" w:type="dxa"/>
            <w:shd w:val="clear" w:color="auto" w:fill="auto"/>
            <w:vAlign w:val="center"/>
          </w:tcPr>
          <w:p w14:paraId="1ABCF192">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w:t>
            </w:r>
          </w:p>
        </w:tc>
        <w:tc>
          <w:tcPr>
            <w:tcW w:w="1056" w:type="dxa"/>
            <w:shd w:val="clear" w:color="auto" w:fill="auto"/>
            <w:vAlign w:val="center"/>
          </w:tcPr>
          <w:p w14:paraId="5475A9A9">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N/A</w:t>
            </w:r>
          </w:p>
        </w:tc>
        <w:tc>
          <w:tcPr>
            <w:tcW w:w="1135" w:type="dxa"/>
            <w:shd w:val="clear" w:color="auto" w:fill="auto"/>
            <w:vAlign w:val="center"/>
          </w:tcPr>
          <w:p w14:paraId="6F7CC987">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N/A</w:t>
            </w:r>
          </w:p>
        </w:tc>
        <w:tc>
          <w:tcPr>
            <w:tcW w:w="1452" w:type="dxa"/>
            <w:shd w:val="clear" w:color="auto" w:fill="auto"/>
            <w:vAlign w:val="center"/>
          </w:tcPr>
          <w:p w14:paraId="05394BB2">
            <w:pPr>
              <w:jc w:val="both"/>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Only indirect contextual support from Xu 2024 any-ASM–ADHD analyses; no direct VPA-specific replacement anchor available.</w:t>
            </w:r>
          </w:p>
        </w:tc>
      </w:tr>
      <w:tr w14:paraId="35360B00">
        <w:trPr>
          <w:jc w:val="center"/>
          <w:cantSplit/>
        </w:trPr>
        <w:tc>
          <w:tcPr>
            <w:tcW w:w="561" w:type="dxa"/>
            <w:shd w:val="clear" w:color="auto" w:fill="auto"/>
            <w:vAlign w:val="center"/>
          </w:tcPr>
          <w:p w14:paraId="6602045C">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14</w:t>
            </w:r>
          </w:p>
        </w:tc>
        <w:tc>
          <w:tcPr>
            <w:tcW w:w="1880" w:type="dxa"/>
            <w:shd w:val="clear" w:color="auto" w:fill="auto"/>
            <w:vAlign w:val="center"/>
          </w:tcPr>
          <w:p w14:paraId="0323BF1C">
            <w:pPr>
              <w:spacing w:after="0" w:line="240" w:lineRule="auto"/>
              <w:jc w:val="both"/>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sz w:val="21"/>
                <w:szCs w:val="21"/>
              </w:rPr>
              <w:t>Neurodevelopmental</w:t>
            </w:r>
          </w:p>
        </w:tc>
        <w:tc>
          <w:tcPr>
            <w:tcW w:w="1115" w:type="dxa"/>
            <w:shd w:val="clear" w:color="auto" w:fill="auto"/>
            <w:vAlign w:val="center"/>
          </w:tcPr>
          <w:p w14:paraId="39FE161A">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Any ASM</w:t>
            </w:r>
          </w:p>
        </w:tc>
        <w:tc>
          <w:tcPr>
            <w:tcW w:w="1382" w:type="dxa"/>
            <w:shd w:val="clear" w:color="auto" w:fill="auto"/>
            <w:vAlign w:val="center"/>
          </w:tcPr>
          <w:p w14:paraId="7FEDC185">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ASD</w:t>
            </w:r>
          </w:p>
        </w:tc>
        <w:tc>
          <w:tcPr>
            <w:tcW w:w="1371" w:type="dxa"/>
            <w:shd w:val="clear" w:color="auto" w:fill="auto"/>
            <w:vAlign w:val="center"/>
          </w:tcPr>
          <w:p w14:paraId="5D87AC42">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Xu 2024</w:t>
            </w:r>
          </w:p>
        </w:tc>
        <w:tc>
          <w:tcPr>
            <w:tcW w:w="1383" w:type="dxa"/>
            <w:shd w:val="clear" w:color="auto" w:fill="auto"/>
            <w:vAlign w:val="center"/>
          </w:tcPr>
          <w:p w14:paraId="42E09D63">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vs untreated mothers with indication (disease-matched comparator)</w:t>
            </w:r>
          </w:p>
        </w:tc>
        <w:tc>
          <w:tcPr>
            <w:tcW w:w="394" w:type="dxa"/>
            <w:shd w:val="clear" w:color="auto" w:fill="auto"/>
            <w:vAlign w:val="center"/>
          </w:tcPr>
          <w:p w14:paraId="2AB46D0A">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6</w:t>
            </w:r>
          </w:p>
        </w:tc>
        <w:tc>
          <w:tcPr>
            <w:tcW w:w="542" w:type="dxa"/>
            <w:shd w:val="clear" w:color="auto" w:fill="auto"/>
            <w:vAlign w:val="center"/>
          </w:tcPr>
          <w:p w14:paraId="5CCC45B8">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74.8%</w:t>
            </w:r>
          </w:p>
        </w:tc>
        <w:tc>
          <w:tcPr>
            <w:tcW w:w="1283" w:type="dxa"/>
            <w:shd w:val="clear" w:color="auto" w:fill="auto"/>
            <w:vAlign w:val="center"/>
          </w:tcPr>
          <w:p w14:paraId="78B75093">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Substantial</w:t>
            </w:r>
          </w:p>
        </w:tc>
        <w:tc>
          <w:tcPr>
            <w:tcW w:w="1006" w:type="dxa"/>
            <w:shd w:val="clear" w:color="auto" w:fill="auto"/>
            <w:vAlign w:val="center"/>
          </w:tcPr>
          <w:p w14:paraId="5248F92D">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NR</w:t>
            </w:r>
          </w:p>
        </w:tc>
        <w:tc>
          <w:tcPr>
            <w:tcW w:w="947" w:type="dxa"/>
            <w:shd w:val="clear" w:color="auto" w:fill="auto"/>
            <w:vAlign w:val="center"/>
          </w:tcPr>
          <w:p w14:paraId="490343EE">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assessable</w:t>
            </w:r>
          </w:p>
        </w:tc>
        <w:tc>
          <w:tcPr>
            <w:tcW w:w="1046" w:type="dxa"/>
            <w:shd w:val="clear" w:color="auto" w:fill="auto"/>
            <w:vAlign w:val="center"/>
          </w:tcPr>
          <w:p w14:paraId="3B4C5588">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996" w:type="dxa"/>
            <w:shd w:val="clear" w:color="auto" w:fill="auto"/>
            <w:vAlign w:val="center"/>
          </w:tcPr>
          <w:p w14:paraId="509A7305">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formally assessable: k &lt; 10</w:t>
            </w:r>
          </w:p>
        </w:tc>
        <w:tc>
          <w:tcPr>
            <w:tcW w:w="1303" w:type="dxa"/>
            <w:shd w:val="clear" w:color="auto" w:fill="auto"/>
            <w:vAlign w:val="center"/>
          </w:tcPr>
          <w:p w14:paraId="37425A13">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41.7% (pairwise vs Amaral 2025)</w:t>
            </w:r>
          </w:p>
        </w:tc>
        <w:tc>
          <w:tcPr>
            <w:tcW w:w="1211" w:type="dxa"/>
            <w:shd w:val="clear" w:color="auto" w:fill="auto"/>
            <w:vAlign w:val="center"/>
          </w:tcPr>
          <w:p w14:paraId="34F5D305">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Very high</w:t>
            </w:r>
          </w:p>
        </w:tc>
        <w:tc>
          <w:tcPr>
            <w:tcW w:w="1133" w:type="dxa"/>
            <w:shd w:val="clear" w:color="auto" w:fill="auto"/>
            <w:vAlign w:val="center"/>
          </w:tcPr>
          <w:p w14:paraId="6F4B0F68">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Supportive contextual evidence</w:t>
            </w:r>
          </w:p>
        </w:tc>
        <w:tc>
          <w:tcPr>
            <w:tcW w:w="1131" w:type="dxa"/>
            <w:shd w:val="clear" w:color="auto" w:fill="auto"/>
            <w:vAlign w:val="center"/>
          </w:tcPr>
          <w:p w14:paraId="7128EA17">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 contextual</w:t>
            </w:r>
          </w:p>
        </w:tc>
        <w:tc>
          <w:tcPr>
            <w:tcW w:w="1056" w:type="dxa"/>
            <w:shd w:val="clear" w:color="auto" w:fill="auto"/>
            <w:vAlign w:val="center"/>
          </w:tcPr>
          <w:p w14:paraId="023DFA64">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 contextual</w:t>
            </w:r>
          </w:p>
        </w:tc>
        <w:tc>
          <w:tcPr>
            <w:tcW w:w="1135" w:type="dxa"/>
            <w:shd w:val="clear" w:color="auto" w:fill="auto"/>
            <w:vAlign w:val="center"/>
          </w:tcPr>
          <w:p w14:paraId="7B851841">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Yes, contextual</w:t>
            </w:r>
          </w:p>
        </w:tc>
        <w:tc>
          <w:tcPr>
            <w:tcW w:w="1452" w:type="dxa"/>
            <w:shd w:val="clear" w:color="auto" w:fill="auto"/>
            <w:vAlign w:val="center"/>
          </w:tcPr>
          <w:p w14:paraId="7FDF4504">
            <w:pPr>
              <w:jc w:val="both"/>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Amaral 2025 provided supportive contextual evidence for any-ASM and ASD (HR = 1.76 for any-ASM vs controls); direction was consistent. CCA = 41.7% (pairwise Xu 2024 vs Amaral 2025; 5 shared / 12 unique primary studies) reflects review-pair overlap, not an outcome-specific CCA for the pooled ASD effect alone.</w:t>
            </w:r>
          </w:p>
        </w:tc>
      </w:tr>
      <w:tr w14:paraId="29ACD517">
        <w:trPr>
          <w:jc w:val="center"/>
          <w:cantSplit/>
        </w:trPr>
        <w:tc>
          <w:tcPr>
            <w:tcW w:w="561" w:type="dxa"/>
            <w:shd w:val="clear" w:color="auto" w:fill="auto"/>
            <w:vAlign w:val="center"/>
          </w:tcPr>
          <w:p w14:paraId="37260AC0">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15</w:t>
            </w:r>
          </w:p>
        </w:tc>
        <w:tc>
          <w:tcPr>
            <w:tcW w:w="1880" w:type="dxa"/>
            <w:shd w:val="clear" w:color="auto" w:fill="auto"/>
            <w:vAlign w:val="center"/>
          </w:tcPr>
          <w:p w14:paraId="0624A716">
            <w:pPr>
              <w:spacing w:after="0" w:line="240" w:lineRule="auto"/>
              <w:jc w:val="both"/>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sz w:val="21"/>
                <w:szCs w:val="21"/>
              </w:rPr>
              <w:t>Neurodevelopmental</w:t>
            </w:r>
          </w:p>
        </w:tc>
        <w:tc>
          <w:tcPr>
            <w:tcW w:w="1115" w:type="dxa"/>
            <w:shd w:val="clear" w:color="auto" w:fill="auto"/>
            <w:vAlign w:val="center"/>
          </w:tcPr>
          <w:p w14:paraId="53687FF8">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Any ASM</w:t>
            </w:r>
          </w:p>
        </w:tc>
        <w:tc>
          <w:tcPr>
            <w:tcW w:w="1382" w:type="dxa"/>
            <w:shd w:val="clear" w:color="auto" w:fill="auto"/>
            <w:vAlign w:val="center"/>
          </w:tcPr>
          <w:p w14:paraId="3C3E91C8">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ADHD</w:t>
            </w:r>
          </w:p>
        </w:tc>
        <w:tc>
          <w:tcPr>
            <w:tcW w:w="1371" w:type="dxa"/>
            <w:shd w:val="clear" w:color="auto" w:fill="auto"/>
            <w:vAlign w:val="center"/>
          </w:tcPr>
          <w:p w14:paraId="5BA93DBC">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Xu 2024</w:t>
            </w:r>
          </w:p>
        </w:tc>
        <w:tc>
          <w:tcPr>
            <w:tcW w:w="1383" w:type="dxa"/>
            <w:shd w:val="clear" w:color="auto" w:fill="auto"/>
            <w:vAlign w:val="center"/>
          </w:tcPr>
          <w:p w14:paraId="5826B9F5">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vs untreated mothers with indication (disease-matched comparator)</w:t>
            </w:r>
          </w:p>
        </w:tc>
        <w:tc>
          <w:tcPr>
            <w:tcW w:w="394" w:type="dxa"/>
            <w:shd w:val="clear" w:color="auto" w:fill="auto"/>
            <w:vAlign w:val="center"/>
          </w:tcPr>
          <w:p w14:paraId="675E1A5C">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4</w:t>
            </w:r>
          </w:p>
        </w:tc>
        <w:tc>
          <w:tcPr>
            <w:tcW w:w="542" w:type="dxa"/>
            <w:shd w:val="clear" w:color="auto" w:fill="auto"/>
            <w:vAlign w:val="center"/>
          </w:tcPr>
          <w:p w14:paraId="546C7617">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65.5%</w:t>
            </w:r>
          </w:p>
        </w:tc>
        <w:tc>
          <w:tcPr>
            <w:tcW w:w="1283" w:type="dxa"/>
            <w:shd w:val="clear" w:color="auto" w:fill="auto"/>
            <w:vAlign w:val="center"/>
          </w:tcPr>
          <w:p w14:paraId="5A6C4C48">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Substantial</w:t>
            </w:r>
          </w:p>
        </w:tc>
        <w:tc>
          <w:tcPr>
            <w:tcW w:w="1006" w:type="dxa"/>
            <w:shd w:val="clear" w:color="auto" w:fill="auto"/>
            <w:vAlign w:val="center"/>
          </w:tcPr>
          <w:p w14:paraId="00C02A9A">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NR</w:t>
            </w:r>
          </w:p>
        </w:tc>
        <w:tc>
          <w:tcPr>
            <w:tcW w:w="947" w:type="dxa"/>
            <w:shd w:val="clear" w:color="auto" w:fill="auto"/>
            <w:vAlign w:val="center"/>
          </w:tcPr>
          <w:p w14:paraId="50CE5499">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assessable</w:t>
            </w:r>
          </w:p>
        </w:tc>
        <w:tc>
          <w:tcPr>
            <w:tcW w:w="1046" w:type="dxa"/>
            <w:shd w:val="clear" w:color="auto" w:fill="auto"/>
            <w:vAlign w:val="center"/>
          </w:tcPr>
          <w:p w14:paraId="3B7FB4FC">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996" w:type="dxa"/>
            <w:shd w:val="clear" w:color="auto" w:fill="auto"/>
            <w:vAlign w:val="center"/>
          </w:tcPr>
          <w:p w14:paraId="19FF3483">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formally assessable: k &lt; 10</w:t>
            </w:r>
          </w:p>
        </w:tc>
        <w:tc>
          <w:tcPr>
            <w:tcW w:w="1303" w:type="dxa"/>
            <w:shd w:val="clear" w:color="auto" w:fill="auto"/>
            <w:vAlign w:val="center"/>
          </w:tcPr>
          <w:p w14:paraId="7C9A0669">
            <w:pPr>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28.1% (global ASD/ADHD review cluster; not ADHD-specific)</w:t>
            </w:r>
          </w:p>
        </w:tc>
        <w:tc>
          <w:tcPr>
            <w:tcW w:w="1211" w:type="dxa"/>
            <w:shd w:val="clear" w:color="auto" w:fill="auto"/>
            <w:vAlign w:val="center"/>
          </w:tcPr>
          <w:p w14:paraId="09334099">
            <w:pPr>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Very high (global cluster context)</w:t>
            </w:r>
          </w:p>
        </w:tc>
        <w:tc>
          <w:tcPr>
            <w:tcW w:w="1133" w:type="dxa"/>
            <w:shd w:val="clear" w:color="auto" w:fill="auto"/>
            <w:vAlign w:val="center"/>
          </w:tcPr>
          <w:p w14:paraId="0DB9B195">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 comparable alternative</w:t>
            </w:r>
          </w:p>
        </w:tc>
        <w:tc>
          <w:tcPr>
            <w:tcW w:w="1131" w:type="dxa"/>
            <w:shd w:val="clear" w:color="auto" w:fill="auto"/>
            <w:vAlign w:val="center"/>
          </w:tcPr>
          <w:p w14:paraId="3EA4CA23">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1056" w:type="dxa"/>
            <w:shd w:val="clear" w:color="auto" w:fill="auto"/>
            <w:vAlign w:val="center"/>
          </w:tcPr>
          <w:p w14:paraId="5C1B084F">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N/A</w:t>
            </w:r>
          </w:p>
        </w:tc>
        <w:tc>
          <w:tcPr>
            <w:tcW w:w="1135" w:type="dxa"/>
            <w:shd w:val="clear" w:color="auto" w:fill="auto"/>
            <w:vAlign w:val="center"/>
          </w:tcPr>
          <w:p w14:paraId="33016367">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N/A</w:t>
            </w:r>
          </w:p>
        </w:tc>
        <w:tc>
          <w:tcPr>
            <w:tcW w:w="1452" w:type="dxa"/>
            <w:shd w:val="clear" w:color="auto" w:fill="auto"/>
            <w:vAlign w:val="center"/>
          </w:tcPr>
          <w:p w14:paraId="788123F1">
            <w:pPr>
              <w:jc w:val="both"/>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Amaral 2025 does not report ADHD; no direct equivalent alternative was available for this comparator. The 28.1% value denotes global ASD/ADHD review-cluster overlap and should not be interpreted as an ADHD-specific overlap estimate.</w:t>
            </w:r>
          </w:p>
        </w:tc>
      </w:tr>
      <w:tr w14:paraId="7B782566">
        <w:trPr>
          <w:jc w:val="center"/>
          <w:cantSplit/>
        </w:trPr>
        <w:tc>
          <w:tcPr>
            <w:tcW w:w="561" w:type="dxa"/>
            <w:shd w:val="clear" w:color="auto" w:fill="auto"/>
            <w:vAlign w:val="center"/>
          </w:tcPr>
          <w:p w14:paraId="57DDBE54">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16</w:t>
            </w:r>
          </w:p>
        </w:tc>
        <w:tc>
          <w:tcPr>
            <w:tcW w:w="1880" w:type="dxa"/>
            <w:shd w:val="clear" w:color="auto" w:fill="auto"/>
            <w:vAlign w:val="center"/>
          </w:tcPr>
          <w:p w14:paraId="53C38F9A">
            <w:pPr>
              <w:spacing w:after="0" w:line="240" w:lineRule="auto"/>
              <w:jc w:val="both"/>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sz w:val="21"/>
                <w:szCs w:val="21"/>
              </w:rPr>
              <w:t>Neurodevelopmental</w:t>
            </w:r>
          </w:p>
        </w:tc>
        <w:tc>
          <w:tcPr>
            <w:tcW w:w="1115" w:type="dxa"/>
            <w:shd w:val="clear" w:color="auto" w:fill="auto"/>
            <w:vAlign w:val="center"/>
          </w:tcPr>
          <w:p w14:paraId="7A0B10E3">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Lamotrigine</w:t>
            </w:r>
          </w:p>
        </w:tc>
        <w:tc>
          <w:tcPr>
            <w:tcW w:w="1382" w:type="dxa"/>
            <w:shd w:val="clear" w:color="auto" w:fill="auto"/>
            <w:vAlign w:val="center"/>
          </w:tcPr>
          <w:p w14:paraId="2497CB1D">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Autism spectrum disorder</w:t>
            </w:r>
          </w:p>
        </w:tc>
        <w:tc>
          <w:tcPr>
            <w:tcW w:w="1371" w:type="dxa"/>
            <w:shd w:val="clear" w:color="auto" w:fill="auto"/>
            <w:vAlign w:val="center"/>
          </w:tcPr>
          <w:p w14:paraId="2EDFB1A0">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Peron 2024</w:t>
            </w:r>
          </w:p>
        </w:tc>
        <w:tc>
          <w:tcPr>
            <w:tcW w:w="1383" w:type="dxa"/>
            <w:shd w:val="clear" w:color="auto" w:fill="auto"/>
            <w:vAlign w:val="center"/>
          </w:tcPr>
          <w:p w14:paraId="553096CB">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Mixed untreated comparators (4 untreated WWE; 1 disease-free control)</w:t>
            </w:r>
          </w:p>
        </w:tc>
        <w:tc>
          <w:tcPr>
            <w:tcW w:w="394" w:type="dxa"/>
            <w:shd w:val="clear" w:color="auto" w:fill="auto"/>
            <w:vAlign w:val="center"/>
          </w:tcPr>
          <w:p w14:paraId="1A3C9238">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5</w:t>
            </w:r>
          </w:p>
        </w:tc>
        <w:tc>
          <w:tcPr>
            <w:tcW w:w="542" w:type="dxa"/>
            <w:shd w:val="clear" w:color="auto" w:fill="auto"/>
            <w:vAlign w:val="center"/>
          </w:tcPr>
          <w:p w14:paraId="5AF40386">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30%</w:t>
            </w:r>
          </w:p>
        </w:tc>
        <w:tc>
          <w:tcPr>
            <w:tcW w:w="1283" w:type="dxa"/>
            <w:shd w:val="clear" w:color="auto" w:fill="auto"/>
            <w:vAlign w:val="center"/>
          </w:tcPr>
          <w:p w14:paraId="0420A8E7">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Moderate</w:t>
            </w:r>
          </w:p>
        </w:tc>
        <w:tc>
          <w:tcPr>
            <w:tcW w:w="1006" w:type="dxa"/>
            <w:shd w:val="clear" w:color="auto" w:fill="auto"/>
            <w:vAlign w:val="center"/>
          </w:tcPr>
          <w:p w14:paraId="0027632C">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NR</w:t>
            </w:r>
          </w:p>
        </w:tc>
        <w:tc>
          <w:tcPr>
            <w:tcW w:w="947" w:type="dxa"/>
            <w:shd w:val="clear" w:color="auto" w:fill="auto"/>
            <w:vAlign w:val="center"/>
          </w:tcPr>
          <w:p w14:paraId="54D3DC22">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assessable</w:t>
            </w:r>
          </w:p>
        </w:tc>
        <w:tc>
          <w:tcPr>
            <w:tcW w:w="1046" w:type="dxa"/>
            <w:shd w:val="clear" w:color="auto" w:fill="auto"/>
            <w:vAlign w:val="center"/>
          </w:tcPr>
          <w:p w14:paraId="63601500">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996" w:type="dxa"/>
            <w:shd w:val="clear" w:color="auto" w:fill="auto"/>
            <w:vAlign w:val="center"/>
          </w:tcPr>
          <w:p w14:paraId="294D0618">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formally assessable: k &lt; 10</w:t>
            </w:r>
          </w:p>
        </w:tc>
        <w:tc>
          <w:tcPr>
            <w:tcW w:w="1303" w:type="dxa"/>
            <w:shd w:val="clear" w:color="auto" w:fill="auto"/>
            <w:vAlign w:val="center"/>
          </w:tcPr>
          <w:p w14:paraId="240A6D3E">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NE†</w:t>
            </w:r>
          </w:p>
        </w:tc>
        <w:tc>
          <w:tcPr>
            <w:tcW w:w="1211" w:type="dxa"/>
            <w:shd w:val="clear" w:color="auto" w:fill="auto"/>
            <w:vAlign w:val="center"/>
          </w:tcPr>
          <w:p w14:paraId="6210E642">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Not estimable / contextual overlap only</w:t>
            </w:r>
          </w:p>
        </w:tc>
        <w:tc>
          <w:tcPr>
            <w:tcW w:w="1133" w:type="dxa"/>
            <w:shd w:val="clear" w:color="auto" w:fill="auto"/>
            <w:vAlign w:val="center"/>
          </w:tcPr>
          <w:p w14:paraId="5453C972">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Supportive contextual evidence only</w:t>
            </w:r>
          </w:p>
        </w:tc>
        <w:tc>
          <w:tcPr>
            <w:tcW w:w="1131" w:type="dxa"/>
            <w:shd w:val="clear" w:color="auto" w:fill="auto"/>
            <w:vAlign w:val="center"/>
          </w:tcPr>
          <w:p w14:paraId="59C181C2">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1056" w:type="dxa"/>
            <w:shd w:val="clear" w:color="auto" w:fill="auto"/>
            <w:vAlign w:val="center"/>
          </w:tcPr>
          <w:p w14:paraId="68609860">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N/A</w:t>
            </w:r>
          </w:p>
        </w:tc>
        <w:tc>
          <w:tcPr>
            <w:tcW w:w="1135" w:type="dxa"/>
            <w:shd w:val="clear" w:color="auto" w:fill="auto"/>
            <w:vAlign w:val="center"/>
          </w:tcPr>
          <w:p w14:paraId="2E80CBB5">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N/A</w:t>
            </w:r>
          </w:p>
        </w:tc>
        <w:tc>
          <w:tcPr>
            <w:tcW w:w="1452" w:type="dxa"/>
            <w:shd w:val="clear" w:color="auto" w:fill="auto"/>
            <w:vAlign w:val="center"/>
          </w:tcPr>
          <w:p w14:paraId="5FBF9049">
            <w:pPr>
              <w:jc w:val="both"/>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No strict pairwise alternative anchor with the same comparator framework was available. Contextual evidence from overlapping neurodevelopmental reviews was retained for interpretation only. The retained Peron 2024 estimate was non-significant, but this should not be interpreted as evidence of absence of risk because certainty was very low.</w:t>
            </w:r>
          </w:p>
        </w:tc>
      </w:tr>
      <w:tr w14:paraId="4BA3A249">
        <w:trPr>
          <w:jc w:val="center"/>
          <w:cantSplit/>
        </w:trPr>
        <w:tc>
          <w:tcPr>
            <w:tcW w:w="561" w:type="dxa"/>
            <w:shd w:val="clear" w:color="auto" w:fill="auto"/>
            <w:vAlign w:val="center"/>
          </w:tcPr>
          <w:p w14:paraId="66D7ECEB">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17</w:t>
            </w:r>
          </w:p>
        </w:tc>
        <w:tc>
          <w:tcPr>
            <w:tcW w:w="1880" w:type="dxa"/>
            <w:shd w:val="clear" w:color="auto" w:fill="auto"/>
            <w:vAlign w:val="center"/>
          </w:tcPr>
          <w:p w14:paraId="498BD365">
            <w:pPr>
              <w:spacing w:after="0" w:line="240" w:lineRule="auto"/>
              <w:jc w:val="both"/>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sz w:val="21"/>
                <w:szCs w:val="21"/>
              </w:rPr>
              <w:t>Neurodevelopmental</w:t>
            </w:r>
          </w:p>
        </w:tc>
        <w:tc>
          <w:tcPr>
            <w:tcW w:w="1115" w:type="dxa"/>
            <w:shd w:val="clear" w:color="auto" w:fill="auto"/>
            <w:vAlign w:val="center"/>
          </w:tcPr>
          <w:p w14:paraId="5FED821F">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Lamotrigine</w:t>
            </w:r>
          </w:p>
        </w:tc>
        <w:tc>
          <w:tcPr>
            <w:tcW w:w="1382" w:type="dxa"/>
            <w:shd w:val="clear" w:color="auto" w:fill="auto"/>
            <w:vAlign w:val="center"/>
          </w:tcPr>
          <w:p w14:paraId="1851FE82">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Attention-deficit/hyperactivity disorder</w:t>
            </w:r>
          </w:p>
        </w:tc>
        <w:tc>
          <w:tcPr>
            <w:tcW w:w="1371" w:type="dxa"/>
            <w:shd w:val="clear" w:color="auto" w:fill="auto"/>
            <w:vAlign w:val="center"/>
          </w:tcPr>
          <w:p w14:paraId="00C433A9">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Peron 2024</w:t>
            </w:r>
          </w:p>
        </w:tc>
        <w:tc>
          <w:tcPr>
            <w:tcW w:w="1383" w:type="dxa"/>
            <w:shd w:val="clear" w:color="auto" w:fill="auto"/>
            <w:vAlign w:val="center"/>
          </w:tcPr>
          <w:p w14:paraId="1C6419BA">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Mixed untreated comparators (3 untreated WWE; 1 unspecified untreated control)</w:t>
            </w:r>
          </w:p>
        </w:tc>
        <w:tc>
          <w:tcPr>
            <w:tcW w:w="394" w:type="dxa"/>
            <w:shd w:val="clear" w:color="auto" w:fill="auto"/>
            <w:vAlign w:val="center"/>
          </w:tcPr>
          <w:p w14:paraId="631C4AEB">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4</w:t>
            </w:r>
          </w:p>
        </w:tc>
        <w:tc>
          <w:tcPr>
            <w:tcW w:w="542" w:type="dxa"/>
            <w:shd w:val="clear" w:color="auto" w:fill="auto"/>
            <w:vAlign w:val="center"/>
          </w:tcPr>
          <w:p w14:paraId="4FF902C3">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0%</w:t>
            </w:r>
          </w:p>
        </w:tc>
        <w:tc>
          <w:tcPr>
            <w:tcW w:w="1283" w:type="dxa"/>
            <w:shd w:val="clear" w:color="auto" w:fill="auto"/>
            <w:vAlign w:val="center"/>
          </w:tcPr>
          <w:p w14:paraId="6DD8E0CE">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Low</w:t>
            </w:r>
          </w:p>
        </w:tc>
        <w:tc>
          <w:tcPr>
            <w:tcW w:w="1006" w:type="dxa"/>
            <w:shd w:val="clear" w:color="auto" w:fill="auto"/>
            <w:vAlign w:val="center"/>
          </w:tcPr>
          <w:p w14:paraId="1AEF0140">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NR</w:t>
            </w:r>
          </w:p>
        </w:tc>
        <w:tc>
          <w:tcPr>
            <w:tcW w:w="947" w:type="dxa"/>
            <w:shd w:val="clear" w:color="auto" w:fill="auto"/>
            <w:vAlign w:val="center"/>
          </w:tcPr>
          <w:p w14:paraId="5941FB6F">
            <w:pPr>
              <w:spacing w:after="0" w:line="240" w:lineRule="auto"/>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assessable</w:t>
            </w:r>
          </w:p>
        </w:tc>
        <w:tc>
          <w:tcPr>
            <w:tcW w:w="1046" w:type="dxa"/>
            <w:shd w:val="clear" w:color="auto" w:fill="auto"/>
            <w:vAlign w:val="center"/>
          </w:tcPr>
          <w:p w14:paraId="7F392C42">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996" w:type="dxa"/>
            <w:shd w:val="clear" w:color="auto" w:fill="auto"/>
            <w:vAlign w:val="center"/>
          </w:tcPr>
          <w:p w14:paraId="0C8EB896">
            <w:pP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formally assessable: k &lt; 10</w:t>
            </w:r>
          </w:p>
        </w:tc>
        <w:tc>
          <w:tcPr>
            <w:tcW w:w="1303" w:type="dxa"/>
            <w:shd w:val="clear" w:color="auto" w:fill="auto"/>
            <w:vAlign w:val="center"/>
          </w:tcPr>
          <w:p w14:paraId="69A35A66">
            <w:pPr>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NE†</w:t>
            </w:r>
          </w:p>
        </w:tc>
        <w:tc>
          <w:tcPr>
            <w:tcW w:w="1211" w:type="dxa"/>
            <w:shd w:val="clear" w:color="auto" w:fill="auto"/>
            <w:vAlign w:val="center"/>
          </w:tcPr>
          <w:p w14:paraId="633EC219">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Not estimable / contextual overlap only</w:t>
            </w:r>
          </w:p>
        </w:tc>
        <w:tc>
          <w:tcPr>
            <w:tcW w:w="1133" w:type="dxa"/>
            <w:shd w:val="clear" w:color="auto" w:fill="auto"/>
            <w:vAlign w:val="center"/>
          </w:tcPr>
          <w:p w14:paraId="51B39BE6">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 comparable pairwise alternative</w:t>
            </w:r>
          </w:p>
        </w:tc>
        <w:tc>
          <w:tcPr>
            <w:tcW w:w="1131" w:type="dxa"/>
            <w:shd w:val="clear" w:color="auto" w:fill="auto"/>
            <w:vAlign w:val="center"/>
          </w:tcPr>
          <w:p w14:paraId="4E60B0D6">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No</w:t>
            </w:r>
          </w:p>
        </w:tc>
        <w:tc>
          <w:tcPr>
            <w:tcW w:w="1056" w:type="dxa"/>
            <w:shd w:val="clear" w:color="auto" w:fill="auto"/>
            <w:vAlign w:val="center"/>
          </w:tcPr>
          <w:p w14:paraId="23DC9829">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N/A</w:t>
            </w:r>
          </w:p>
        </w:tc>
        <w:tc>
          <w:tcPr>
            <w:tcW w:w="1135" w:type="dxa"/>
            <w:shd w:val="clear" w:color="auto" w:fill="auto"/>
            <w:vAlign w:val="center"/>
          </w:tcPr>
          <w:p w14:paraId="26E5ED0F">
            <w:pPr>
              <w:spacing w:after="0" w:line="240" w:lineRule="auto"/>
              <w:jc w:val="center"/>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N/A</w:t>
            </w:r>
          </w:p>
        </w:tc>
        <w:tc>
          <w:tcPr>
            <w:tcW w:w="1452" w:type="dxa"/>
            <w:shd w:val="clear" w:color="auto" w:fill="auto"/>
            <w:vAlign w:val="center"/>
          </w:tcPr>
          <w:p w14:paraId="137740AE">
            <w:pPr>
              <w:jc w:val="both"/>
              <w:rPr>
                <w:rFonts w:hint="default" w:ascii="Times New Roman Regular" w:hAnsi="Times New Roman Regular" w:cs="Times New Roman Regular"/>
                <w:b w:val="0"/>
                <w:bCs/>
                <w:sz w:val="21"/>
                <w:szCs w:val="21"/>
              </w:rPr>
            </w:pPr>
            <w:r>
              <w:rPr>
                <w:rFonts w:hint="default" w:ascii="Times New Roman Regular" w:hAnsi="Times New Roman Regular" w:cs="Times New Roman Regular"/>
                <w:b w:val="0"/>
                <w:bCs/>
                <w:sz w:val="21"/>
                <w:szCs w:val="21"/>
              </w:rPr>
              <w:t>No strict pairwise alternative anchor was available for lamotrigine in relation to ADHD. Veroniki 2017b was retained only as contextual network evidence. The retained Peron 2024 estimate was non-significant, with very-low-certainty evidence.</w:t>
            </w:r>
          </w:p>
        </w:tc>
      </w:tr>
    </w:tbl>
    <w:p w14:paraId="27F7F226">
      <w:pPr>
        <w:keepNext w:val="0"/>
        <w:keepLines w:val="0"/>
        <w:pageBreakBefore w:val="0"/>
        <w:widowControl/>
        <w:kinsoku/>
        <w:wordWrap/>
        <w:overflowPunct/>
        <w:topLinePunct w:val="0"/>
        <w:autoSpaceDE/>
        <w:autoSpaceDN/>
        <w:bidi w:val="0"/>
        <w:adjustRightInd/>
        <w:snapToGrid/>
        <w:spacing w:before="181" w:beforeLines="50" w:after="0" w:line="360" w:lineRule="auto"/>
        <w:jc w:val="both"/>
        <w:textAlignment w:val="auto"/>
        <w:rPr>
          <w:rFonts w:hint="default" w:ascii="Times New Roman Regular" w:hAnsi="Times New Roman Regular" w:cs="Times New Roman Regular"/>
          <w:i w:val="0"/>
          <w:color w:val="auto"/>
          <w:sz w:val="21"/>
          <w:szCs w:val="21"/>
        </w:rPr>
      </w:pPr>
      <w:r>
        <w:rPr>
          <w:rFonts w:hint="default" w:ascii="Times New Roman Regular" w:hAnsi="Times New Roman Regular" w:cs="Times New Roman Regular"/>
          <w:i w:val="0"/>
          <w:color w:val="auto"/>
          <w:sz w:val="21"/>
          <w:szCs w:val="21"/>
        </w:rPr>
        <w:t>Note. This table reports robustness diagnostics for 17 retained pairwise anchor estimates: 11 structural and 6 neurodevelopmental comparisons. It summarizes heterogeneity, prediction intervals, small-study-effect assessment, overlap information, and alternative-evidence availability for retained pairwise anchors. Subgroup-only, supporting, contextual, sensitivity, and network meta-analysis estimates shown or described elsewhere are not expanded line-by-line here because they are not retained primary pairwise anchors. This table is a robustness-diagnostics table rather than an Ioannidis evidence-class table; formal credibility classifications are reported in Supplementary Tables 4 and 5.</w:t>
      </w:r>
    </w:p>
    <w:p w14:paraId="3CFD73FD">
      <w:pPr>
        <w:keepNext w:val="0"/>
        <w:keepLines w:val="0"/>
        <w:pageBreakBefore w:val="0"/>
        <w:widowControl/>
        <w:kinsoku/>
        <w:wordWrap/>
        <w:overflowPunct/>
        <w:topLinePunct w:val="0"/>
        <w:autoSpaceDE/>
        <w:autoSpaceDN/>
        <w:bidi w:val="0"/>
        <w:adjustRightInd/>
        <w:snapToGrid/>
        <w:spacing w:before="361" w:beforeLines="100" w:line="360" w:lineRule="auto"/>
        <w:jc w:val="both"/>
        <w:textAlignment w:val="auto"/>
        <w:rPr>
          <w:rFonts w:hint="default" w:ascii="Times New Roman Regular" w:hAnsi="Times New Roman Regular" w:cs="Times New Roman Regular"/>
          <w:i w:val="0"/>
          <w:color w:val="auto"/>
          <w:sz w:val="21"/>
          <w:szCs w:val="21"/>
        </w:rPr>
      </w:pPr>
      <w:r>
        <w:rPr>
          <w:rFonts w:hint="default" w:ascii="Times New Roman Regular" w:hAnsi="Times New Roman Regular" w:cs="Times New Roman Regular"/>
          <w:sz w:val="21"/>
          <w:szCs w:val="21"/>
        </w:rPr>
        <w:t>† NE = not estimable. Full primary-study overlap matrices were unavailable for selected review pairs (see Supplementary Table 3 for full CCA details).</w:t>
      </w:r>
      <w:r>
        <w:rPr>
          <w:rFonts w:hint="default" w:ascii="Times New Roman Regular" w:hAnsi="Times New Roman Regular" w:cs="Times New Roman Regular"/>
          <w:sz w:val="21"/>
          <w:szCs w:val="21"/>
        </w:rPr>
        <w:br w:type="textWrapping"/>
      </w:r>
      <w:r>
        <w:rPr>
          <w:rFonts w:hint="default" w:ascii="Times New Roman Regular" w:hAnsi="Times New Roman Regular" w:cs="Times New Roman Regular"/>
          <w:sz w:val="21"/>
          <w:szCs w:val="21"/>
        </w:rPr>
        <w:t>Prediction interval note: τ² from the anchor review's random-effects model was unavailable or k was too small for PI reconstruction in comparisons marked “Not assessable.”</w:t>
      </w:r>
      <w:r>
        <w:rPr>
          <w:rFonts w:hint="default" w:ascii="Times New Roman Regular" w:hAnsi="Times New Roman Regular" w:cs="Times New Roman Regular"/>
          <w:sz w:val="21"/>
          <w:szCs w:val="21"/>
        </w:rPr>
        <w:br w:type="textWrapping"/>
      </w:r>
      <w:r>
        <w:rPr>
          <w:rFonts w:hint="default" w:ascii="Times New Roman Regular" w:hAnsi="Times New Roman Regular" w:cs="Times New Roman Regular"/>
          <w:sz w:val="21"/>
          <w:szCs w:val="21"/>
        </w:rPr>
        <w:t>CCA / overlap estimate (%) may be an exact CCA, a global multi-review CCA, an approximate range, NE, or N/A. N/A indicates that CCA was not applicable because only one eligible review was available for that comparison. For some rows, the reported CCA reflects review-pair or global overlap context rather than outcome-specific overlap for the exact pooled comparison listed.</w:t>
      </w:r>
      <w:r>
        <w:rPr>
          <w:rFonts w:hint="default" w:ascii="Times New Roman Regular" w:hAnsi="Times New Roman Regular" w:cs="Times New Roman Regular"/>
          <w:sz w:val="21"/>
          <w:szCs w:val="21"/>
        </w:rPr>
        <w:br w:type="textWrapping"/>
      </w:r>
      <w:r>
        <w:rPr>
          <w:rFonts w:hint="default" w:ascii="Times New Roman Regular" w:hAnsi="Times New Roman Regular" w:cs="Times New Roman Regular"/>
          <w:sz w:val="21"/>
          <w:szCs w:val="21"/>
        </w:rPr>
        <w:t>CCA = corrected covered area (Pieper 2014): CCA = (OC − N) / [N × (R − 1)] × 100; 0–5% slight; 6–10% moderate; 11–15% high; &gt;15% very high. Where CCA is NE or approximate, overlap labels use conservative qualifiers (e.g., likely very high, likely moderate); where CCA is N/A, no cross-review overlap was available to quantify.</w:t>
      </w:r>
      <w:r>
        <w:rPr>
          <w:rFonts w:hint="default" w:ascii="Times New Roman Regular" w:hAnsi="Times New Roman Regular" w:cs="Times New Roman Regular"/>
          <w:sz w:val="21"/>
          <w:szCs w:val="21"/>
        </w:rPr>
        <w:br w:type="textWrapping"/>
      </w:r>
      <w:r>
        <w:rPr>
          <w:rFonts w:hint="default" w:ascii="Times New Roman Regular" w:hAnsi="Times New Roman Regular" w:cs="Times New Roman Regular"/>
          <w:sz w:val="21"/>
          <w:szCs w:val="21"/>
        </w:rPr>
        <w:t>PI = 95% prediction interval computed from τ² reported in the anchor review's random-effects model where reconstructable. All PI values were cross-checked against the available anchor-review statistics.</w:t>
      </w:r>
      <w:r>
        <w:rPr>
          <w:rFonts w:hint="default" w:ascii="Times New Roman Regular" w:hAnsi="Times New Roman Regular" w:cs="Times New Roman Regular"/>
          <w:sz w:val="21"/>
          <w:szCs w:val="21"/>
        </w:rPr>
        <w:br w:type="textWrapping"/>
      </w:r>
      <w:r>
        <w:rPr>
          <w:rFonts w:hint="default" w:ascii="Times New Roman Regular" w:hAnsi="Times New Roman Regular" w:cs="Times New Roman Regular"/>
          <w:sz w:val="21"/>
          <w:szCs w:val="21"/>
        </w:rPr>
        <w:t>“PI crosses null” uses Yes or No when a 95% prediction interval was reconstructed and null crossing could be evaluated; otherwise, Not assessable. Not assessable indicates that a 95% prediction interval could not be reliably reconstructed because τ² was unavailable, not reported, the number of studies was too small, or null crossing could not be evaluated.</w:t>
      </w:r>
      <w:r>
        <w:rPr>
          <w:rFonts w:hint="default" w:ascii="Times New Roman Regular" w:hAnsi="Times New Roman Regular" w:cs="Times New Roman Regular"/>
          <w:sz w:val="21"/>
          <w:szCs w:val="21"/>
        </w:rPr>
        <w:br w:type="textWrapping"/>
      </w:r>
      <w:r>
        <w:rPr>
          <w:rFonts w:hint="default" w:ascii="Times New Roman Regular" w:hAnsi="Times New Roman Regular" w:cs="Times New Roman Regular"/>
          <w:sz w:val="21"/>
          <w:szCs w:val="21"/>
        </w:rPr>
        <w:t>Small-study effect assessment: the “Reason / Egger p” column uses three conventions — (1) “Not formally assessable: k &lt; 10” when study counts are too small for conventional Egger regression; (2) “Not reported / not reconstructable” when k ≥ 10 but the anchor review did not report small-study asymmetry and it could not be reconstructed from published data; (3) when asymmetry was assessed (including study-level reconstruction for Yang 2025 structural VPA with k ≥ 10), the reported Egger test p-value or a statement of no clear evidence of small-study effects, as applicable.</w:t>
      </w:r>
      <w:r>
        <w:rPr>
          <w:rFonts w:hint="default" w:ascii="Times New Roman Regular" w:hAnsi="Times New Roman Regular" w:cs="Times New Roman Regular"/>
          <w:sz w:val="21"/>
          <w:szCs w:val="21"/>
        </w:rPr>
        <w:br w:type="textWrapping"/>
      </w:r>
      <w:r>
        <w:rPr>
          <w:rFonts w:hint="default" w:ascii="Times New Roman Regular" w:hAnsi="Times New Roman Regular" w:cs="Times New Roman Regular"/>
          <w:sz w:val="21"/>
          <w:szCs w:val="21"/>
        </w:rPr>
        <w:t>Alternative evidence and robustness: Alternative or contextual evidence was available for some retained anchors; strict like-for-like replacement was not available for all comparisons. This table therefore distinguishes strict anchor replacement from analogous, indirect, contextual, or unavailable alternatives. Where a sufficiently comparable alternative source was available, replacement or robustness checks were performed; where no like-for-like alternative existed, this was recorded explicitly. Among comparisons for which a replacement or contextual robustness check was performed, no alternative or contextual evidence reversed the retained direction of effect. For the retained VPA–ADHD comparison, the listed Xu 2024 comparison is indirect contextual only (any-ASM–ADHD), not an exposure-matched replacement. “Analogous only” indicates a clinically related but not strictly comparator-matched supporting review.</w:t>
      </w:r>
      <w:r>
        <w:rPr>
          <w:rFonts w:hint="default" w:ascii="Times New Roman Regular" w:hAnsi="Times New Roman Regular" w:cs="Times New Roman Regular"/>
          <w:sz w:val="21"/>
          <w:szCs w:val="21"/>
        </w:rPr>
        <w:br w:type="textWrapping"/>
      </w:r>
      <w:r>
        <w:rPr>
          <w:rFonts w:hint="default" w:ascii="Times New Roman Regular" w:hAnsi="Times New Roman Regular" w:cs="Times New Roman Regular"/>
          <w:sz w:val="21"/>
          <w:szCs w:val="21"/>
        </w:rPr>
        <w:t>The alternative evidence / robustness comment column summarizes the alternative or contextual evidence source, comparator-framework concordance, and interpretive implications where applicable.</w:t>
      </w:r>
      <w:r>
        <w:rPr>
          <w:rFonts w:hint="default" w:ascii="Times New Roman Regular" w:hAnsi="Times New Roman Regular" w:cs="Times New Roman Regular"/>
          <w:sz w:val="21"/>
          <w:szCs w:val="21"/>
        </w:rPr>
        <w:br w:type="textWrapping"/>
      </w:r>
      <w:r>
        <w:rPr>
          <w:rFonts w:hint="default" w:ascii="Times New Roman Regular" w:hAnsi="Times New Roman Regular" w:cs="Times New Roman Regular"/>
          <w:sz w:val="21"/>
          <w:szCs w:val="21"/>
        </w:rPr>
        <w:t>NMA = network meta-analysis. Network meta-analysis estimates should be interpreted as comparative network evidence only; standard pairwise prediction-interval and small-study-effect diagnostics are not directly applicable (marked N/A in applicable columns where relevant).</w:t>
      </w:r>
      <w:r>
        <w:rPr>
          <w:rFonts w:hint="default" w:ascii="Times New Roman Regular" w:hAnsi="Times New Roman Regular" w:cs="Times New Roman Regular"/>
          <w:sz w:val="21"/>
          <w:szCs w:val="21"/>
        </w:rPr>
        <w:br w:type="textWrapping"/>
      </w:r>
      <w:r>
        <w:rPr>
          <w:rFonts w:hint="default" w:ascii="Times New Roman Regular" w:hAnsi="Times New Roman Regular" w:cs="Times New Roman Regular"/>
          <w:sz w:val="21"/>
          <w:szCs w:val="21"/>
        </w:rPr>
        <w:t>ASM = antiseizure medication; VPA = valproate; LTG = lamotrigine; OXC = oxcarbazepine; TPM = topiramate; PGB = pregabalin; ASD = autism spectrum disorder; ADHD = attention-deficit/hyperactivity disorder; OFC = orofacial cleft; WWE = women with epilepsy; CI = confidence interval; OR = odds ratio; RR = risk ratio; aHR = adjusted hazard ratio.</w:t>
      </w:r>
      <w:r>
        <w:rPr>
          <w:rFonts w:hint="default" w:ascii="Times New Roman Regular" w:hAnsi="Times New Roman Regular" w:cs="Times New Roman Regular"/>
          <w:sz w:val="21"/>
          <w:szCs w:val="21"/>
        </w:rPr>
        <w:br w:type="textWrapping"/>
      </w:r>
      <w:r>
        <w:rPr>
          <w:rFonts w:hint="default" w:ascii="Times New Roman Regular" w:hAnsi="Times New Roman Regular" w:cs="Times New Roman Regular"/>
          <w:sz w:val="21"/>
          <w:szCs w:val="21"/>
        </w:rPr>
        <w:t>Terminology note: The term “major congenital malformations” is retained only when it reflects source-review terminology; the preferred manuscript term is “major congenital anomalies.”</w:t>
      </w:r>
    </w:p>
    <w:sectPr>
      <w:pgSz w:w="23811" w:h="16838" w:orient="landscape"/>
      <w:pgMar w:top="850" w:right="850" w:bottom="850" w:left="85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Cambria">
    <w:altName w:val="苹方-简"/>
    <w:panose1 w:val="02040503050406030204"/>
    <w:charset w:val="00"/>
    <w:family w:val="auto"/>
    <w:pitch w:val="default"/>
    <w:sig w:usb0="00000000" w:usb1="00000000" w:usb2="00000000" w:usb3="00000000" w:csb0="0000019F" w:csb1="00000000"/>
  </w:font>
  <w:font w:name="苹方-简">
    <w:panose1 w:val="020B0400000000000000"/>
    <w:charset w:val="86"/>
    <w:family w:val="auto"/>
    <w:pitch w:val="default"/>
    <w:sig w:usb0="A00002FF" w:usb1="7ACFFDFB" w:usb2="00000017" w:usb3="00000000" w:csb0="00040001" w:csb1="00000000"/>
  </w:font>
  <w:font w:name="ＭＳ 明朝">
    <w:altName w:val="Hiragino Sans"/>
    <w:panose1 w:val="00000000000000000000"/>
    <w:charset w:val="80"/>
    <w:family w:val="roman"/>
    <w:pitch w:val="default"/>
    <w:sig w:usb0="00000000" w:usb1="00000000" w:usb2="00000010" w:usb3="00000000" w:csb0="0002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Kingsoft Sign">
    <w:panose1 w:val="05050102010706020507"/>
    <w:charset w:val="00"/>
    <w:family w:val="auto"/>
    <w:pitch w:val="default"/>
    <w:sig w:usb0="00000000" w:usb1="10000000" w:usb2="00000000" w:usb3="00000000" w:csb0="00000001" w:csb1="00000000"/>
  </w:font>
  <w:font w:name="Times New Roman Regular">
    <w:panose1 w:val="020205030504050903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ＭＳ 明朝">
    <w:altName w:val="Hiragino Sans"/>
    <w:panose1 w:val="00000000000000000000"/>
    <w:charset w:val="00"/>
    <w:family w:val="auto"/>
    <w:pitch w:val="default"/>
    <w:sig w:usb0="00000000" w:usb1="00000000" w:usb2="0000000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FBEC11C"/>
    <w:rsid w:val="59DF596E"/>
    <w:rsid w:val="78DFF2DF"/>
    <w:rsid w:val="7B6EFFE1"/>
    <w:rsid w:val="7F9FB589"/>
    <w:rsid w:val="ABF7B03D"/>
    <w:rsid w:val="B63980B8"/>
    <w:rsid w:val="CD730E9D"/>
    <w:rsid w:val="D8FC7CA2"/>
    <w:rsid w:val="DBBE138E"/>
    <w:rsid w:val="F37D72D0"/>
    <w:rsid w:val="F73C0BAC"/>
    <w:rsid w:val="FF95C82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3</TotalTime>
  <ScaleCrop>false</ScaleCrop>
  <LinksUpToDate>false</LinksUpToDate>
  <CharactersWithSpaces>0</CharactersWithSpaces>
  <Application>WPS Office_12.1.26016.26016_F1E327BC-269C-435d-A152-05C5408002CA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2013-12-25T23:15:00Z</dcterms:created>
  <dc:creator>python-docx</dc:creator>
  <dc:description>generated by python-docx</dc:description>
  <cp:lastModifiedBy>Yulong Li</cp:lastModifiedBy>
  <dcterms:modified xsi:type="dcterms:W3CDTF">2026-06-22T12:48:57Z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2052-12.1.26016.26016</vt:lpwstr>
  </property>
  <property fmtid="{D5CDD505-2E9C-101B-9397-08002B2CF9AE}" pid="3" name="ICV">
    <vt:lpwstr>018DA15CB188A272107FEC69F7E788F9_43</vt:lpwstr>
  </property>
</Properties>
</file>