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667D33">
      <w:pPr>
        <w:spacing w:before="0" w:after="160"/>
        <w:jc w:val="center"/>
        <w:rPr>
          <w:rFonts w:hint="default" w:ascii="Times New Roman Bold" w:hAnsi="Times New Roman Bold" w:cs="Times New Roman Bold"/>
          <w:b/>
          <w:bCs w:val="0"/>
          <w:color w:val="auto"/>
          <w:sz w:val="18"/>
          <w:szCs w:val="24"/>
        </w:rPr>
      </w:pPr>
      <w:r>
        <w:rPr>
          <w:rFonts w:hint="default" w:ascii="Times New Roman Bold" w:hAnsi="Times New Roman Bold" w:cs="Times New Roman Bold"/>
          <w:b/>
          <w:bCs w:val="0"/>
          <w:i w:val="0"/>
          <w:color w:val="auto"/>
          <w:sz w:val="24"/>
          <w:szCs w:val="24"/>
        </w:rPr>
        <w:t xml:space="preserve">Supplementary Table </w:t>
      </w:r>
      <w:r>
        <w:rPr>
          <w:rFonts w:hint="eastAsia" w:ascii="Times New Roman Bold" w:hAnsi="Times New Roman Bold" w:eastAsia="宋体" w:cs="Times New Roman Bold"/>
          <w:b/>
          <w:bCs w:val="0"/>
          <w:i w:val="0"/>
          <w:color w:val="auto"/>
          <w:sz w:val="24"/>
          <w:szCs w:val="24"/>
          <w:lang w:eastAsia="zh-CN"/>
        </w:rPr>
        <w:t>7</w:t>
      </w:r>
      <w:r>
        <w:rPr>
          <w:rFonts w:hint="default" w:ascii="Times New Roman Bold" w:hAnsi="Times New Roman Bold" w:cs="Times New Roman Bold"/>
          <w:b/>
          <w:bCs w:val="0"/>
          <w:i w:val="0"/>
          <w:color w:val="auto"/>
          <w:sz w:val="24"/>
          <w:szCs w:val="24"/>
        </w:rPr>
        <w:t>. Population, primary-study design, outcome-ascertainment, and covariate-adjustment characteristics of the included reviews</w:t>
      </w:r>
    </w:p>
    <w:p w14:paraId="7D7989F2">
      <w:pPr>
        <w:keepNext w:val="0"/>
        <w:keepLines w:val="0"/>
        <w:pageBreakBefore w:val="0"/>
        <w:widowControl/>
        <w:kinsoku/>
        <w:wordWrap/>
        <w:overflowPunct/>
        <w:topLinePunct w:val="0"/>
        <w:autoSpaceDE/>
        <w:autoSpaceDN/>
        <w:bidi w:val="0"/>
        <w:adjustRightInd/>
        <w:snapToGrid/>
        <w:spacing w:before="200" w:after="80"/>
        <w:textAlignment w:val="auto"/>
        <w:rPr>
          <w:rFonts w:hint="default" w:ascii="Times New Roman Bold" w:hAnsi="Times New Roman Bold" w:cs="Times New Roman Bold"/>
          <w:b/>
          <w:bCs w:val="0"/>
          <w:color w:val="auto"/>
        </w:rPr>
      </w:pPr>
      <w:r>
        <w:rPr>
          <w:rFonts w:hint="default" w:ascii="Times New Roman Bold" w:hAnsi="Times New Roman Bold" w:cs="Times New Roman Bold"/>
          <w:b/>
          <w:bCs w:val="0"/>
          <w:i w:val="0"/>
          <w:color w:val="auto"/>
          <w:sz w:val="20"/>
        </w:rPr>
        <w:t xml:space="preserve">Supplementary Table </w:t>
      </w:r>
      <w:r>
        <w:rPr>
          <w:rFonts w:hint="eastAsia" w:ascii="Times New Roman Bold" w:hAnsi="Times New Roman Bold" w:eastAsia="宋体" w:cs="Times New Roman Bold"/>
          <w:b/>
          <w:bCs w:val="0"/>
          <w:i w:val="0"/>
          <w:color w:val="auto"/>
          <w:sz w:val="20"/>
          <w:lang w:eastAsia="zh-CN"/>
        </w:rPr>
        <w:t>7</w:t>
      </w:r>
      <w:r>
        <w:rPr>
          <w:rFonts w:hint="default" w:ascii="Times New Roman Bold" w:hAnsi="Times New Roman Bold" w:cs="Times New Roman Bold"/>
          <w:b/>
          <w:bCs w:val="0"/>
          <w:i w:val="0"/>
          <w:color w:val="auto"/>
          <w:sz w:val="20"/>
        </w:rPr>
        <w:t>A. Review-level population, primary-study design, outcome-ascertainment, and reporting characteristics of the included reviews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25"/>
        <w:gridCol w:w="1225"/>
        <w:gridCol w:w="1225"/>
        <w:gridCol w:w="1225"/>
        <w:gridCol w:w="1225"/>
        <w:gridCol w:w="1225"/>
        <w:gridCol w:w="1225"/>
        <w:gridCol w:w="1225"/>
        <w:gridCol w:w="1225"/>
        <w:gridCol w:w="1225"/>
        <w:gridCol w:w="1225"/>
        <w:gridCol w:w="1225"/>
        <w:gridCol w:w="1225"/>
      </w:tblGrid>
      <w:tr w14:paraId="3F63DC14">
        <w:trPr>
          <w:tblHeader/>
          <w:jc w:val="center"/>
        </w:trPr>
        <w:tc>
          <w:tcPr>
            <w:tcW w:w="992" w:type="dxa"/>
            <w:shd w:val="clear" w:color="auto" w:fill="auto"/>
            <w:tcMar>
              <w:top w:w="45" w:type="dxa"/>
              <w:left w:w="70" w:type="dxa"/>
              <w:bottom w:w="45" w:type="dxa"/>
              <w:right w:w="70" w:type="dxa"/>
            </w:tcMar>
            <w:vAlign w:val="top"/>
          </w:tcPr>
          <w:p w14:paraId="29014F9F">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2"/>
              </w:rPr>
              <w:t>Review</w:t>
            </w:r>
          </w:p>
        </w:tc>
        <w:tc>
          <w:tcPr>
            <w:tcW w:w="709" w:type="dxa"/>
            <w:shd w:val="clear" w:color="auto" w:fill="auto"/>
            <w:tcMar>
              <w:top w:w="45" w:type="dxa"/>
              <w:left w:w="70" w:type="dxa"/>
              <w:bottom w:w="45" w:type="dxa"/>
              <w:right w:w="70" w:type="dxa"/>
            </w:tcMar>
            <w:vAlign w:val="top"/>
          </w:tcPr>
          <w:p w14:paraId="7F19C259">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2"/>
              </w:rPr>
              <w:t>Domain</w:t>
            </w:r>
          </w:p>
        </w:tc>
        <w:tc>
          <w:tcPr>
            <w:tcW w:w="1502" w:type="dxa"/>
            <w:shd w:val="clear" w:color="auto" w:fill="auto"/>
            <w:tcMar>
              <w:top w:w="45" w:type="dxa"/>
              <w:left w:w="70" w:type="dxa"/>
              <w:bottom w:w="45" w:type="dxa"/>
              <w:right w:w="70" w:type="dxa"/>
            </w:tcMar>
            <w:vAlign w:val="top"/>
          </w:tcPr>
          <w:p w14:paraId="1A570E25">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2"/>
              </w:rPr>
              <w:t>Maternal clinical population</w:t>
            </w:r>
          </w:p>
        </w:tc>
        <w:tc>
          <w:tcPr>
            <w:tcW w:w="1304" w:type="dxa"/>
            <w:shd w:val="clear" w:color="auto" w:fill="auto"/>
            <w:tcMar>
              <w:top w:w="45" w:type="dxa"/>
              <w:left w:w="70" w:type="dxa"/>
              <w:bottom w:w="45" w:type="dxa"/>
              <w:right w:w="70" w:type="dxa"/>
            </w:tcMar>
            <w:vAlign w:val="top"/>
          </w:tcPr>
          <w:p w14:paraId="0989241F">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2"/>
              </w:rPr>
              <w:t>Treatment indication</w:t>
            </w:r>
          </w:p>
        </w:tc>
        <w:tc>
          <w:tcPr>
            <w:tcW w:w="1587" w:type="dxa"/>
            <w:shd w:val="clear" w:color="auto" w:fill="auto"/>
            <w:tcMar>
              <w:top w:w="45" w:type="dxa"/>
              <w:left w:w="70" w:type="dxa"/>
              <w:bottom w:w="45" w:type="dxa"/>
              <w:right w:w="70" w:type="dxa"/>
            </w:tcMar>
            <w:vAlign w:val="top"/>
          </w:tcPr>
          <w:p w14:paraId="5DC24278">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2"/>
              </w:rPr>
              <w:t>Primary-study design(s)</w:t>
            </w:r>
          </w:p>
        </w:tc>
        <w:tc>
          <w:tcPr>
            <w:tcW w:w="992" w:type="dxa"/>
            <w:shd w:val="clear" w:color="auto" w:fill="auto"/>
            <w:tcMar>
              <w:top w:w="45" w:type="dxa"/>
              <w:left w:w="70" w:type="dxa"/>
              <w:bottom w:w="45" w:type="dxa"/>
              <w:right w:w="70" w:type="dxa"/>
            </w:tcMar>
            <w:vAlign w:val="top"/>
          </w:tcPr>
          <w:p w14:paraId="293E8F9D">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2"/>
              </w:rPr>
              <w:t>Geographic coverage</w:t>
            </w:r>
          </w:p>
        </w:tc>
        <w:tc>
          <w:tcPr>
            <w:tcW w:w="1020" w:type="dxa"/>
            <w:shd w:val="clear" w:color="auto" w:fill="auto"/>
            <w:tcMar>
              <w:top w:w="45" w:type="dxa"/>
              <w:left w:w="70" w:type="dxa"/>
              <w:bottom w:w="45" w:type="dxa"/>
              <w:right w:w="70" w:type="dxa"/>
            </w:tcMar>
            <w:vAlign w:val="top"/>
          </w:tcPr>
          <w:p w14:paraId="720EB475">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2"/>
              </w:rPr>
              <w:t>Offspring age / follow-up</w:t>
            </w:r>
          </w:p>
        </w:tc>
        <w:tc>
          <w:tcPr>
            <w:tcW w:w="737" w:type="dxa"/>
            <w:shd w:val="clear" w:color="auto" w:fill="auto"/>
            <w:tcMar>
              <w:top w:w="45" w:type="dxa"/>
              <w:left w:w="70" w:type="dxa"/>
              <w:bottom w:w="45" w:type="dxa"/>
              <w:right w:w="70" w:type="dxa"/>
            </w:tcMar>
            <w:vAlign w:val="top"/>
          </w:tcPr>
          <w:p w14:paraId="6C6688C3">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2"/>
              </w:rPr>
              <w:t>Offspring sex composition</w:t>
            </w:r>
          </w:p>
        </w:tc>
        <w:tc>
          <w:tcPr>
            <w:tcW w:w="737" w:type="dxa"/>
            <w:shd w:val="clear" w:color="auto" w:fill="auto"/>
            <w:tcMar>
              <w:top w:w="45" w:type="dxa"/>
              <w:left w:w="70" w:type="dxa"/>
              <w:bottom w:w="45" w:type="dxa"/>
              <w:right w:w="70" w:type="dxa"/>
            </w:tcMar>
            <w:vAlign w:val="top"/>
          </w:tcPr>
          <w:p w14:paraId="712383A9">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2"/>
              </w:rPr>
              <w:t>Birthweight as population characteristic</w:t>
            </w:r>
          </w:p>
        </w:tc>
        <w:tc>
          <w:tcPr>
            <w:tcW w:w="964" w:type="dxa"/>
            <w:shd w:val="clear" w:color="auto" w:fill="auto"/>
            <w:tcMar>
              <w:top w:w="45" w:type="dxa"/>
              <w:left w:w="70" w:type="dxa"/>
              <w:bottom w:w="45" w:type="dxa"/>
              <w:right w:w="70" w:type="dxa"/>
            </w:tcMar>
            <w:vAlign w:val="top"/>
          </w:tcPr>
          <w:p w14:paraId="6DCD28A9">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2"/>
              </w:rPr>
              <w:t>Offspring comorbidities</w:t>
            </w:r>
          </w:p>
        </w:tc>
        <w:tc>
          <w:tcPr>
            <w:tcW w:w="1417" w:type="dxa"/>
            <w:shd w:val="clear" w:color="auto" w:fill="auto"/>
            <w:tcMar>
              <w:top w:w="45" w:type="dxa"/>
              <w:left w:w="70" w:type="dxa"/>
              <w:bottom w:w="45" w:type="dxa"/>
              <w:right w:w="70" w:type="dxa"/>
            </w:tcMar>
            <w:vAlign w:val="top"/>
          </w:tcPr>
          <w:p w14:paraId="3E6197F7">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2"/>
              </w:rPr>
              <w:t>Outcome ascertainment</w:t>
            </w:r>
          </w:p>
        </w:tc>
        <w:tc>
          <w:tcPr>
            <w:tcW w:w="1757" w:type="dxa"/>
            <w:shd w:val="clear" w:color="auto" w:fill="auto"/>
            <w:tcMar>
              <w:top w:w="45" w:type="dxa"/>
              <w:left w:w="70" w:type="dxa"/>
              <w:bottom w:w="45" w:type="dxa"/>
              <w:right w:w="70" w:type="dxa"/>
            </w:tcMar>
            <w:vAlign w:val="top"/>
          </w:tcPr>
          <w:p w14:paraId="1AA045CC">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2"/>
              </w:rPr>
              <w:t>Reporting-status notes</w:t>
            </w:r>
          </w:p>
        </w:tc>
        <w:tc>
          <w:tcPr>
            <w:tcW w:w="1701" w:type="dxa"/>
            <w:shd w:val="clear" w:color="auto" w:fill="auto"/>
            <w:tcMar>
              <w:top w:w="45" w:type="dxa"/>
              <w:left w:w="70" w:type="dxa"/>
              <w:bottom w:w="45" w:type="dxa"/>
              <w:right w:w="70" w:type="dxa"/>
            </w:tcMar>
            <w:vAlign w:val="top"/>
          </w:tcPr>
          <w:p w14:paraId="0231040A">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2"/>
              </w:rPr>
              <w:t>Source location</w:t>
            </w:r>
          </w:p>
        </w:tc>
      </w:tr>
      <w:tr w14:paraId="0181D682">
        <w:trPr>
          <w:cantSplit/>
          <w:jc w:val="center"/>
        </w:trPr>
        <w:tc>
          <w:tcPr>
            <w:tcW w:w="992" w:type="dxa"/>
            <w:shd w:val="clear" w:color="auto" w:fill="auto"/>
            <w:tcMar>
              <w:top w:w="45" w:type="dxa"/>
              <w:left w:w="70" w:type="dxa"/>
              <w:bottom w:w="45" w:type="dxa"/>
              <w:right w:w="70" w:type="dxa"/>
            </w:tcMar>
            <w:vAlign w:val="top"/>
          </w:tcPr>
          <w:p w14:paraId="2BEE11A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Yang et al., 2025</w:t>
            </w:r>
          </w:p>
        </w:tc>
        <w:tc>
          <w:tcPr>
            <w:tcW w:w="709" w:type="dxa"/>
            <w:shd w:val="clear" w:color="auto" w:fill="auto"/>
            <w:tcMar>
              <w:top w:w="45" w:type="dxa"/>
              <w:left w:w="70" w:type="dxa"/>
              <w:bottom w:w="45" w:type="dxa"/>
              <w:right w:w="70" w:type="dxa"/>
            </w:tcMar>
            <w:vAlign w:val="top"/>
          </w:tcPr>
          <w:p w14:paraId="5EF7A81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Structural</w:t>
            </w:r>
          </w:p>
        </w:tc>
        <w:tc>
          <w:tcPr>
            <w:tcW w:w="1502" w:type="dxa"/>
            <w:shd w:val="clear" w:color="auto" w:fill="auto"/>
            <w:tcMar>
              <w:top w:w="45" w:type="dxa"/>
              <w:left w:w="70" w:type="dxa"/>
              <w:bottom w:w="45" w:type="dxa"/>
              <w:right w:w="70" w:type="dxa"/>
            </w:tcMar>
            <w:vAlign w:val="top"/>
          </w:tcPr>
          <w:p w14:paraId="05ECDCA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Pregnant women exposed to VPA monotherapy; eligibility targeted patients with epilepsy, with pregnancies on other AEDs as comparator. Selected cohorts also included non-epilepsy or mixed-indication populations.</w:t>
            </w:r>
          </w:p>
        </w:tc>
        <w:tc>
          <w:tcPr>
            <w:tcW w:w="1304" w:type="dxa"/>
            <w:shd w:val="clear" w:color="auto" w:fill="auto"/>
            <w:tcMar>
              <w:top w:w="45" w:type="dxa"/>
              <w:left w:w="70" w:type="dxa"/>
              <w:bottom w:w="45" w:type="dxa"/>
              <w:right w:w="70" w:type="dxa"/>
            </w:tcMar>
            <w:vAlign w:val="top"/>
          </w:tcPr>
          <w:p w14:paraId="64ED18C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Primarily epilepsy. Eligibility specified epilepsy; Table 1 flags selected cohorts with non-epilepsy or mixed indications.</w:t>
            </w:r>
          </w:p>
        </w:tc>
        <w:tc>
          <w:tcPr>
            <w:tcW w:w="1587" w:type="dxa"/>
            <w:shd w:val="clear" w:color="auto" w:fill="auto"/>
            <w:tcMar>
              <w:top w:w="45" w:type="dxa"/>
              <w:left w:w="70" w:type="dxa"/>
              <w:bottom w:w="45" w:type="dxa"/>
              <w:right w:w="70" w:type="dxa"/>
            </w:tcMar>
            <w:vAlign w:val="top"/>
          </w:tcPr>
          <w:p w14:paraId="6A6A08E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Cohort only: 23 prospective and 2 retrospective cohorts</w:t>
            </w:r>
          </w:p>
        </w:tc>
        <w:tc>
          <w:tcPr>
            <w:tcW w:w="992" w:type="dxa"/>
            <w:shd w:val="clear" w:color="auto" w:fill="auto"/>
            <w:tcMar>
              <w:top w:w="45" w:type="dxa"/>
              <w:left w:w="70" w:type="dxa"/>
              <w:bottom w:w="45" w:type="dxa"/>
              <w:right w:w="70" w:type="dxa"/>
            </w:tcMar>
            <w:vAlign w:val="top"/>
          </w:tcPr>
          <w:p w14:paraId="746DEF8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International / multiregional</w:t>
            </w:r>
          </w:p>
        </w:tc>
        <w:tc>
          <w:tcPr>
            <w:tcW w:w="1020" w:type="dxa"/>
            <w:shd w:val="clear" w:color="auto" w:fill="auto"/>
            <w:tcMar>
              <w:top w:w="45" w:type="dxa"/>
              <w:left w:w="70" w:type="dxa"/>
              <w:bottom w:w="45" w:type="dxa"/>
              <w:right w:w="70" w:type="dxa"/>
            </w:tcMar>
            <w:vAlign w:val="top"/>
          </w:tcPr>
          <w:p w14:paraId="48F466C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Peripartum/birth; congenital outcomes ascertained at birth or early infancy; no common follow-up window</w:t>
            </w:r>
          </w:p>
        </w:tc>
        <w:tc>
          <w:tcPr>
            <w:tcW w:w="737" w:type="dxa"/>
            <w:shd w:val="clear" w:color="auto" w:fill="auto"/>
            <w:tcMar>
              <w:top w:w="45" w:type="dxa"/>
              <w:left w:w="70" w:type="dxa"/>
              <w:bottom w:w="45" w:type="dxa"/>
              <w:right w:w="70" w:type="dxa"/>
            </w:tcMar>
            <w:vAlign w:val="top"/>
          </w:tcPr>
          <w:p w14:paraId="7A17A1B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737" w:type="dxa"/>
            <w:shd w:val="clear" w:color="auto" w:fill="auto"/>
            <w:tcMar>
              <w:top w:w="45" w:type="dxa"/>
              <w:left w:w="70" w:type="dxa"/>
              <w:bottom w:w="45" w:type="dxa"/>
              <w:right w:w="70" w:type="dxa"/>
            </w:tcMar>
            <w:vAlign w:val="top"/>
          </w:tcPr>
          <w:p w14:paraId="690C833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964" w:type="dxa"/>
            <w:shd w:val="clear" w:color="auto" w:fill="auto"/>
            <w:tcMar>
              <w:top w:w="45" w:type="dxa"/>
              <w:left w:w="70" w:type="dxa"/>
              <w:bottom w:w="45" w:type="dxa"/>
              <w:right w:w="70" w:type="dxa"/>
            </w:tcMar>
            <w:vAlign w:val="top"/>
          </w:tcPr>
          <w:p w14:paraId="3AC8A92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1417" w:type="dxa"/>
            <w:shd w:val="clear" w:color="auto" w:fill="auto"/>
            <w:tcMar>
              <w:top w:w="45" w:type="dxa"/>
              <w:left w:w="70" w:type="dxa"/>
              <w:bottom w:w="45" w:type="dxa"/>
              <w:right w:w="70" w:type="dxa"/>
            </w:tcMar>
            <w:vAlign w:val="top"/>
          </w:tcPr>
          <w:p w14:paraId="6CB9C50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applicable—structural outcome review</w:t>
            </w:r>
          </w:p>
        </w:tc>
        <w:tc>
          <w:tcPr>
            <w:tcW w:w="1757" w:type="dxa"/>
            <w:shd w:val="clear" w:color="auto" w:fill="auto"/>
            <w:tcMar>
              <w:top w:w="45" w:type="dxa"/>
              <w:left w:w="70" w:type="dxa"/>
              <w:bottom w:w="45" w:type="dxa"/>
              <w:right w:w="70" w:type="dxa"/>
            </w:tcMar>
            <w:vAlign w:val="top"/>
          </w:tcPr>
          <w:p w14:paraId="76A9D5D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Supporting Information S1 contains no offspring-sex composition, birthweight, or comorbidity field; selected rows report gestational age/preterm status or maternal chronic illness only.</w:t>
            </w:r>
          </w:p>
        </w:tc>
        <w:tc>
          <w:tcPr>
            <w:tcW w:w="1701" w:type="dxa"/>
            <w:shd w:val="clear" w:color="auto" w:fill="auto"/>
            <w:tcMar>
              <w:top w:w="45" w:type="dxa"/>
              <w:left w:w="70" w:type="dxa"/>
              <w:bottom w:w="45" w:type="dxa"/>
              <w:right w:w="70" w:type="dxa"/>
            </w:tcMar>
            <w:vAlign w:val="top"/>
          </w:tcPr>
          <w:p w14:paraId="47CA47B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Main PDF p.2, Sections 2.2 and 2.4; pp.3–7, Table 1; Supporting Information S1; DOI: 10.1111/jog.70121</w:t>
            </w:r>
          </w:p>
        </w:tc>
      </w:tr>
      <w:tr w14:paraId="148EE02A">
        <w:trPr>
          <w:cantSplit/>
          <w:jc w:val="center"/>
        </w:trPr>
        <w:tc>
          <w:tcPr>
            <w:tcW w:w="992" w:type="dxa"/>
            <w:shd w:val="clear" w:color="auto" w:fill="auto"/>
            <w:tcMar>
              <w:top w:w="45" w:type="dxa"/>
              <w:left w:w="70" w:type="dxa"/>
              <w:bottom w:w="45" w:type="dxa"/>
              <w:right w:w="70" w:type="dxa"/>
            </w:tcMar>
            <w:vAlign w:val="top"/>
          </w:tcPr>
          <w:p w14:paraId="069D2E2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Tanoshima et al., 2015</w:t>
            </w:r>
          </w:p>
        </w:tc>
        <w:tc>
          <w:tcPr>
            <w:tcW w:w="709" w:type="dxa"/>
            <w:shd w:val="clear" w:color="auto" w:fill="auto"/>
            <w:tcMar>
              <w:top w:w="45" w:type="dxa"/>
              <w:left w:w="70" w:type="dxa"/>
              <w:bottom w:w="45" w:type="dxa"/>
              <w:right w:w="70" w:type="dxa"/>
            </w:tcMar>
            <w:vAlign w:val="top"/>
          </w:tcPr>
          <w:p w14:paraId="03A0024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Structural</w:t>
            </w:r>
          </w:p>
        </w:tc>
        <w:tc>
          <w:tcPr>
            <w:tcW w:w="1502" w:type="dxa"/>
            <w:shd w:val="clear" w:color="auto" w:fill="auto"/>
            <w:tcMar>
              <w:top w:w="45" w:type="dxa"/>
              <w:left w:w="70" w:type="dxa"/>
              <w:bottom w:w="45" w:type="dxa"/>
              <w:right w:w="70" w:type="dxa"/>
            </w:tcMar>
            <w:vAlign w:val="top"/>
          </w:tcPr>
          <w:p w14:paraId="0758A39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Pregnant patients with epilepsy exposed to VPA monotherapy versus another antiseizure medication monotherapy.</w:t>
            </w:r>
          </w:p>
        </w:tc>
        <w:tc>
          <w:tcPr>
            <w:tcW w:w="1304" w:type="dxa"/>
            <w:shd w:val="clear" w:color="auto" w:fill="auto"/>
            <w:tcMar>
              <w:top w:w="45" w:type="dxa"/>
              <w:left w:w="70" w:type="dxa"/>
              <w:bottom w:w="45" w:type="dxa"/>
              <w:right w:w="70" w:type="dxa"/>
            </w:tcMar>
            <w:vAlign w:val="top"/>
          </w:tcPr>
          <w:p w14:paraId="2E19606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Epilepsy by analytic eligibility; Table 1 flags source cohorts containing other indications.</w:t>
            </w:r>
          </w:p>
        </w:tc>
        <w:tc>
          <w:tcPr>
            <w:tcW w:w="1587" w:type="dxa"/>
            <w:shd w:val="clear" w:color="auto" w:fill="auto"/>
            <w:tcMar>
              <w:top w:w="45" w:type="dxa"/>
              <w:left w:w="70" w:type="dxa"/>
              <w:bottom w:w="45" w:type="dxa"/>
              <w:right w:w="70" w:type="dxa"/>
            </w:tcMar>
            <w:vAlign w:val="top"/>
          </w:tcPr>
          <w:p w14:paraId="5D48E86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Cohort only: 44 prospective and 15 retrospective cohort studies (3 conference abstracts included)</w:t>
            </w:r>
          </w:p>
        </w:tc>
        <w:tc>
          <w:tcPr>
            <w:tcW w:w="992" w:type="dxa"/>
            <w:shd w:val="clear" w:color="auto" w:fill="auto"/>
            <w:tcMar>
              <w:top w:w="45" w:type="dxa"/>
              <w:left w:w="70" w:type="dxa"/>
              <w:bottom w:w="45" w:type="dxa"/>
              <w:right w:w="70" w:type="dxa"/>
            </w:tcMar>
            <w:vAlign w:val="top"/>
          </w:tcPr>
          <w:p w14:paraId="08C64E9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International / multiregional</w:t>
            </w:r>
          </w:p>
        </w:tc>
        <w:tc>
          <w:tcPr>
            <w:tcW w:w="1020" w:type="dxa"/>
            <w:shd w:val="clear" w:color="auto" w:fill="auto"/>
            <w:tcMar>
              <w:top w:w="45" w:type="dxa"/>
              <w:left w:w="70" w:type="dxa"/>
              <w:bottom w:w="45" w:type="dxa"/>
              <w:right w:w="70" w:type="dxa"/>
            </w:tcMar>
            <w:vAlign w:val="top"/>
          </w:tcPr>
          <w:p w14:paraId="2EA1951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 major congenital malformations ascertained at peripartum</w:t>
            </w:r>
          </w:p>
        </w:tc>
        <w:tc>
          <w:tcPr>
            <w:tcW w:w="737" w:type="dxa"/>
            <w:shd w:val="clear" w:color="auto" w:fill="auto"/>
            <w:tcMar>
              <w:top w:w="45" w:type="dxa"/>
              <w:left w:w="70" w:type="dxa"/>
              <w:bottom w:w="45" w:type="dxa"/>
              <w:right w:w="70" w:type="dxa"/>
            </w:tcMar>
            <w:vAlign w:val="top"/>
          </w:tcPr>
          <w:p w14:paraId="7D6BC5E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737" w:type="dxa"/>
            <w:shd w:val="clear" w:color="auto" w:fill="auto"/>
            <w:tcMar>
              <w:top w:w="45" w:type="dxa"/>
              <w:left w:w="70" w:type="dxa"/>
              <w:bottom w:w="45" w:type="dxa"/>
              <w:right w:w="70" w:type="dxa"/>
            </w:tcMar>
            <w:vAlign w:val="top"/>
          </w:tcPr>
          <w:p w14:paraId="3663F35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964" w:type="dxa"/>
            <w:shd w:val="clear" w:color="auto" w:fill="auto"/>
            <w:tcMar>
              <w:top w:w="45" w:type="dxa"/>
              <w:left w:w="70" w:type="dxa"/>
              <w:bottom w:w="45" w:type="dxa"/>
              <w:right w:w="70" w:type="dxa"/>
            </w:tcMar>
            <w:vAlign w:val="top"/>
          </w:tcPr>
          <w:p w14:paraId="723A1AF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1417" w:type="dxa"/>
            <w:shd w:val="clear" w:color="auto" w:fill="auto"/>
            <w:tcMar>
              <w:top w:w="45" w:type="dxa"/>
              <w:left w:w="70" w:type="dxa"/>
              <w:bottom w:w="45" w:type="dxa"/>
              <w:right w:w="70" w:type="dxa"/>
            </w:tcMar>
            <w:vAlign w:val="top"/>
          </w:tcPr>
          <w:p w14:paraId="0EE3E3C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applicable—structural outcome review</w:t>
            </w:r>
          </w:p>
        </w:tc>
        <w:tc>
          <w:tcPr>
            <w:tcW w:w="1757" w:type="dxa"/>
            <w:shd w:val="clear" w:color="auto" w:fill="auto"/>
            <w:tcMar>
              <w:top w:w="45" w:type="dxa"/>
              <w:left w:w="70" w:type="dxa"/>
              <w:bottom w:w="45" w:type="dxa"/>
              <w:right w:w="70" w:type="dxa"/>
            </w:tcMar>
            <w:vAlign w:val="top"/>
          </w:tcPr>
          <w:p w14:paraId="12299C7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Study-level location, first-trimester exposure, other indications, overlap, and sample size tabulated; sex, birthweight, and offspring comorbidities not reported at review level.</w:t>
            </w:r>
          </w:p>
        </w:tc>
        <w:tc>
          <w:tcPr>
            <w:tcW w:w="1701" w:type="dxa"/>
            <w:shd w:val="clear" w:color="auto" w:fill="auto"/>
            <w:tcMar>
              <w:top w:w="45" w:type="dxa"/>
              <w:left w:w="70" w:type="dxa"/>
              <w:bottom w:w="45" w:type="dxa"/>
              <w:right w:w="70" w:type="dxa"/>
            </w:tcMar>
            <w:vAlign w:val="top"/>
          </w:tcPr>
          <w:p w14:paraId="57FB16C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p.417, Abstract and Results; pp.419–423, Table 1; DOI: 10.1002/cpt.158</w:t>
            </w:r>
          </w:p>
        </w:tc>
      </w:tr>
      <w:tr w14:paraId="15632A7B">
        <w:trPr>
          <w:cantSplit/>
          <w:jc w:val="center"/>
        </w:trPr>
        <w:tc>
          <w:tcPr>
            <w:tcW w:w="992" w:type="dxa"/>
            <w:shd w:val="clear" w:color="auto" w:fill="auto"/>
            <w:tcMar>
              <w:top w:w="45" w:type="dxa"/>
              <w:left w:w="70" w:type="dxa"/>
              <w:bottom w:w="45" w:type="dxa"/>
              <w:right w:w="70" w:type="dxa"/>
            </w:tcMar>
            <w:vAlign w:val="top"/>
          </w:tcPr>
          <w:p w14:paraId="3003C40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Pariente et al., 2017</w:t>
            </w:r>
          </w:p>
        </w:tc>
        <w:tc>
          <w:tcPr>
            <w:tcW w:w="709" w:type="dxa"/>
            <w:shd w:val="clear" w:color="auto" w:fill="auto"/>
            <w:tcMar>
              <w:top w:w="45" w:type="dxa"/>
              <w:left w:w="70" w:type="dxa"/>
              <w:bottom w:w="45" w:type="dxa"/>
              <w:right w:w="70" w:type="dxa"/>
            </w:tcMar>
            <w:vAlign w:val="top"/>
          </w:tcPr>
          <w:p w14:paraId="1DBA7BC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Structural</w:t>
            </w:r>
          </w:p>
        </w:tc>
        <w:tc>
          <w:tcPr>
            <w:tcW w:w="1502" w:type="dxa"/>
            <w:shd w:val="clear" w:color="auto" w:fill="auto"/>
            <w:tcMar>
              <w:top w:w="45" w:type="dxa"/>
              <w:left w:w="70" w:type="dxa"/>
              <w:bottom w:w="45" w:type="dxa"/>
              <w:right w:w="70" w:type="dxa"/>
            </w:tcMar>
            <w:vAlign w:val="top"/>
          </w:tcPr>
          <w:p w14:paraId="4BB7BA8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Pregnancies exposed to LTG monotherapy at any time during pregnancy; no disease restriction in eligibility criteria.</w:t>
            </w:r>
          </w:p>
        </w:tc>
        <w:tc>
          <w:tcPr>
            <w:tcW w:w="1304" w:type="dxa"/>
            <w:shd w:val="clear" w:color="auto" w:fill="auto"/>
            <w:tcMar>
              <w:top w:w="45" w:type="dxa"/>
              <w:left w:w="70" w:type="dxa"/>
              <w:bottom w:w="45" w:type="dxa"/>
              <w:right w:w="70" w:type="dxa"/>
            </w:tcMar>
            <w:vAlign w:val="top"/>
          </w:tcPr>
          <w:p w14:paraId="38A529F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restricted by eligibility. Introduction notes use for epilepsy and bipolar/mood disorders; indication composition of included studies not fully reported.</w:t>
            </w:r>
          </w:p>
        </w:tc>
        <w:tc>
          <w:tcPr>
            <w:tcW w:w="1587" w:type="dxa"/>
            <w:shd w:val="clear" w:color="auto" w:fill="auto"/>
            <w:tcMar>
              <w:top w:w="45" w:type="dxa"/>
              <w:left w:w="70" w:type="dxa"/>
              <w:bottom w:w="45" w:type="dxa"/>
              <w:right w:w="70" w:type="dxa"/>
            </w:tcMar>
            <w:vAlign w:val="top"/>
          </w:tcPr>
          <w:p w14:paraId="47546D3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Mixed: 20 cohort and 1 case-control study (all 21 retrospective; 12 used registry data)</w:t>
            </w:r>
          </w:p>
        </w:tc>
        <w:tc>
          <w:tcPr>
            <w:tcW w:w="992" w:type="dxa"/>
            <w:shd w:val="clear" w:color="auto" w:fill="auto"/>
            <w:tcMar>
              <w:top w:w="45" w:type="dxa"/>
              <w:left w:w="70" w:type="dxa"/>
              <w:bottom w:w="45" w:type="dxa"/>
              <w:right w:w="70" w:type="dxa"/>
            </w:tcMar>
            <w:vAlign w:val="top"/>
          </w:tcPr>
          <w:p w14:paraId="14B5E46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International / multiregional</w:t>
            </w:r>
          </w:p>
        </w:tc>
        <w:tc>
          <w:tcPr>
            <w:tcW w:w="1020" w:type="dxa"/>
            <w:shd w:val="clear" w:color="auto" w:fill="auto"/>
            <w:tcMar>
              <w:top w:w="45" w:type="dxa"/>
              <w:left w:w="70" w:type="dxa"/>
              <w:bottom w:w="45" w:type="dxa"/>
              <w:right w:w="70" w:type="dxa"/>
            </w:tcMar>
            <w:vAlign w:val="top"/>
          </w:tcPr>
          <w:p w14:paraId="7F2ED0A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MCMs detected by end of first neonatal month</w:t>
            </w:r>
          </w:p>
        </w:tc>
        <w:tc>
          <w:tcPr>
            <w:tcW w:w="737" w:type="dxa"/>
            <w:shd w:val="clear" w:color="auto" w:fill="auto"/>
            <w:tcMar>
              <w:top w:w="45" w:type="dxa"/>
              <w:left w:w="70" w:type="dxa"/>
              <w:bottom w:w="45" w:type="dxa"/>
              <w:right w:w="70" w:type="dxa"/>
            </w:tcMar>
            <w:vAlign w:val="top"/>
          </w:tcPr>
          <w:p w14:paraId="5C5C7EF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737" w:type="dxa"/>
            <w:shd w:val="clear" w:color="auto" w:fill="auto"/>
            <w:tcMar>
              <w:top w:w="45" w:type="dxa"/>
              <w:left w:w="70" w:type="dxa"/>
              <w:bottom w:w="45" w:type="dxa"/>
              <w:right w:w="70" w:type="dxa"/>
            </w:tcMar>
            <w:vAlign w:val="top"/>
          </w:tcPr>
          <w:p w14:paraId="23420E8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964" w:type="dxa"/>
            <w:shd w:val="clear" w:color="auto" w:fill="auto"/>
            <w:tcMar>
              <w:top w:w="45" w:type="dxa"/>
              <w:left w:w="70" w:type="dxa"/>
              <w:bottom w:w="45" w:type="dxa"/>
              <w:right w:w="70" w:type="dxa"/>
            </w:tcMar>
            <w:vAlign w:val="top"/>
          </w:tcPr>
          <w:p w14:paraId="1570F2E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1417" w:type="dxa"/>
            <w:shd w:val="clear" w:color="auto" w:fill="auto"/>
            <w:tcMar>
              <w:top w:w="45" w:type="dxa"/>
              <w:left w:w="70" w:type="dxa"/>
              <w:bottom w:w="45" w:type="dxa"/>
              <w:right w:w="70" w:type="dxa"/>
            </w:tcMar>
            <w:vAlign w:val="top"/>
          </w:tcPr>
          <w:p w14:paraId="5598D69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applicable—structural outcome review</w:t>
            </w:r>
          </w:p>
        </w:tc>
        <w:tc>
          <w:tcPr>
            <w:tcW w:w="1757" w:type="dxa"/>
            <w:shd w:val="clear" w:color="auto" w:fill="auto"/>
            <w:tcMar>
              <w:top w:w="45" w:type="dxa"/>
              <w:left w:w="70" w:type="dxa"/>
              <w:bottom w:w="45" w:type="dxa"/>
              <w:right w:w="70" w:type="dxa"/>
            </w:tcMar>
            <w:vAlign w:val="top"/>
          </w:tcPr>
          <w:p w14:paraId="6F9B832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ESM reports NOS ratings but not study-level populations, sex, birthweight, offspring comorbidities, or adjustment covariates. Comparator frameworks varied across the source review; the disease-matched comparison was used as the formally appraised umbrella anchor.</w:t>
            </w:r>
          </w:p>
        </w:tc>
        <w:tc>
          <w:tcPr>
            <w:tcW w:w="1701" w:type="dxa"/>
            <w:shd w:val="clear" w:color="auto" w:fill="auto"/>
            <w:tcMar>
              <w:top w:w="45" w:type="dxa"/>
              <w:left w:w="70" w:type="dxa"/>
              <w:bottom w:w="45" w:type="dxa"/>
              <w:right w:w="70" w:type="dxa"/>
            </w:tcMar>
            <w:vAlign w:val="top"/>
          </w:tcPr>
          <w:p w14:paraId="58F8501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Main PDF pp.1–9 (printed pp.439–447); ESM pp.1–4, Tables 1–2 and Figures 1–4; DOI: 10.1007/s40263-017-0433-0</w:t>
            </w:r>
          </w:p>
        </w:tc>
      </w:tr>
      <w:tr w14:paraId="58B8C213">
        <w:trPr>
          <w:cantSplit/>
          <w:jc w:val="center"/>
        </w:trPr>
        <w:tc>
          <w:tcPr>
            <w:tcW w:w="992" w:type="dxa"/>
            <w:shd w:val="clear" w:color="auto" w:fill="auto"/>
            <w:tcMar>
              <w:top w:w="45" w:type="dxa"/>
              <w:left w:w="70" w:type="dxa"/>
              <w:bottom w:w="45" w:type="dxa"/>
              <w:right w:w="70" w:type="dxa"/>
            </w:tcMar>
            <w:vAlign w:val="top"/>
          </w:tcPr>
          <w:p w14:paraId="197940F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Wan et al., 2024</w:t>
            </w:r>
          </w:p>
        </w:tc>
        <w:tc>
          <w:tcPr>
            <w:tcW w:w="709" w:type="dxa"/>
            <w:shd w:val="clear" w:color="auto" w:fill="auto"/>
            <w:tcMar>
              <w:top w:w="45" w:type="dxa"/>
              <w:left w:w="70" w:type="dxa"/>
              <w:bottom w:w="45" w:type="dxa"/>
              <w:right w:w="70" w:type="dxa"/>
            </w:tcMar>
            <w:vAlign w:val="top"/>
          </w:tcPr>
          <w:p w14:paraId="07FEB3C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Structural</w:t>
            </w:r>
          </w:p>
        </w:tc>
        <w:tc>
          <w:tcPr>
            <w:tcW w:w="1502" w:type="dxa"/>
            <w:shd w:val="clear" w:color="auto" w:fill="auto"/>
            <w:tcMar>
              <w:top w:w="45" w:type="dxa"/>
              <w:left w:w="70" w:type="dxa"/>
              <w:bottom w:w="45" w:type="dxa"/>
              <w:right w:w="70" w:type="dxa"/>
            </w:tcMar>
            <w:vAlign w:val="top"/>
          </w:tcPr>
          <w:p w14:paraId="43038F0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Pregnant women with epilepsy receiving LTG monotherapy.</w:t>
            </w:r>
          </w:p>
        </w:tc>
        <w:tc>
          <w:tcPr>
            <w:tcW w:w="1304" w:type="dxa"/>
            <w:shd w:val="clear" w:color="auto" w:fill="auto"/>
            <w:tcMar>
              <w:top w:w="45" w:type="dxa"/>
              <w:left w:w="70" w:type="dxa"/>
              <w:bottom w:w="45" w:type="dxa"/>
              <w:right w:w="70" w:type="dxa"/>
            </w:tcMar>
            <w:vAlign w:val="top"/>
          </w:tcPr>
          <w:p w14:paraId="02DEEDE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Epilepsy</w:t>
            </w:r>
          </w:p>
        </w:tc>
        <w:tc>
          <w:tcPr>
            <w:tcW w:w="1587" w:type="dxa"/>
            <w:shd w:val="clear" w:color="auto" w:fill="auto"/>
            <w:tcMar>
              <w:top w:w="45" w:type="dxa"/>
              <w:left w:w="70" w:type="dxa"/>
              <w:bottom w:w="45" w:type="dxa"/>
              <w:right w:w="70" w:type="dxa"/>
            </w:tcMar>
            <w:vAlign w:val="top"/>
          </w:tcPr>
          <w:p w14:paraId="1A2F7DB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Mixed observational designs: cohort and case-control studies; exact design-level counts not reported in Table 1</w:t>
            </w:r>
          </w:p>
        </w:tc>
        <w:tc>
          <w:tcPr>
            <w:tcW w:w="992" w:type="dxa"/>
            <w:shd w:val="clear" w:color="auto" w:fill="auto"/>
            <w:tcMar>
              <w:top w:w="45" w:type="dxa"/>
              <w:left w:w="70" w:type="dxa"/>
              <w:bottom w:w="45" w:type="dxa"/>
              <w:right w:w="70" w:type="dxa"/>
            </w:tcMar>
            <w:vAlign w:val="top"/>
          </w:tcPr>
          <w:p w14:paraId="77673ED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International / multiregional</w:t>
            </w:r>
          </w:p>
        </w:tc>
        <w:tc>
          <w:tcPr>
            <w:tcW w:w="1020" w:type="dxa"/>
            <w:shd w:val="clear" w:color="auto" w:fill="auto"/>
            <w:tcMar>
              <w:top w:w="45" w:type="dxa"/>
              <w:left w:w="70" w:type="dxa"/>
              <w:bottom w:w="45" w:type="dxa"/>
              <w:right w:w="70" w:type="dxa"/>
            </w:tcMar>
            <w:vAlign w:val="top"/>
          </w:tcPr>
          <w:p w14:paraId="7026F24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737" w:type="dxa"/>
            <w:shd w:val="clear" w:color="auto" w:fill="auto"/>
            <w:tcMar>
              <w:top w:w="45" w:type="dxa"/>
              <w:left w:w="70" w:type="dxa"/>
              <w:bottom w:w="45" w:type="dxa"/>
              <w:right w:w="70" w:type="dxa"/>
            </w:tcMar>
            <w:vAlign w:val="top"/>
          </w:tcPr>
          <w:p w14:paraId="275B771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737" w:type="dxa"/>
            <w:shd w:val="clear" w:color="auto" w:fill="auto"/>
            <w:tcMar>
              <w:top w:w="45" w:type="dxa"/>
              <w:left w:w="70" w:type="dxa"/>
              <w:bottom w:w="45" w:type="dxa"/>
              <w:right w:w="70" w:type="dxa"/>
            </w:tcMar>
            <w:vAlign w:val="top"/>
          </w:tcPr>
          <w:p w14:paraId="357C4E4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964" w:type="dxa"/>
            <w:shd w:val="clear" w:color="auto" w:fill="auto"/>
            <w:tcMar>
              <w:top w:w="45" w:type="dxa"/>
              <w:left w:w="70" w:type="dxa"/>
              <w:bottom w:w="45" w:type="dxa"/>
              <w:right w:w="70" w:type="dxa"/>
            </w:tcMar>
            <w:vAlign w:val="top"/>
          </w:tcPr>
          <w:p w14:paraId="134084E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1417" w:type="dxa"/>
            <w:shd w:val="clear" w:color="auto" w:fill="auto"/>
            <w:tcMar>
              <w:top w:w="45" w:type="dxa"/>
              <w:left w:w="70" w:type="dxa"/>
              <w:bottom w:w="45" w:type="dxa"/>
              <w:right w:w="70" w:type="dxa"/>
            </w:tcMar>
            <w:vAlign w:val="top"/>
          </w:tcPr>
          <w:p w14:paraId="1563F69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applicable—structural outcome review</w:t>
            </w:r>
          </w:p>
        </w:tc>
        <w:tc>
          <w:tcPr>
            <w:tcW w:w="1757" w:type="dxa"/>
            <w:shd w:val="clear" w:color="auto" w:fill="auto"/>
            <w:tcMar>
              <w:top w:w="45" w:type="dxa"/>
              <w:left w:w="70" w:type="dxa"/>
              <w:bottom w:w="45" w:type="dxa"/>
              <w:right w:w="70" w:type="dxa"/>
            </w:tcMar>
            <w:vAlign w:val="top"/>
          </w:tcPr>
          <w:p w14:paraId="394E221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Included-study table does not consistently label formal study design. Abstract states 16 studies reported adverse pregnancy outcomes; Results text states 15 studies provided MCM data—internal discrepancy retained as noted.</w:t>
            </w:r>
          </w:p>
        </w:tc>
        <w:tc>
          <w:tcPr>
            <w:tcW w:w="1701" w:type="dxa"/>
            <w:shd w:val="clear" w:color="auto" w:fill="auto"/>
            <w:tcMar>
              <w:top w:w="45" w:type="dxa"/>
              <w:left w:w="70" w:type="dxa"/>
              <w:bottom w:w="45" w:type="dxa"/>
              <w:right w:w="70" w:type="dxa"/>
            </w:tcMar>
            <w:vAlign w:val="top"/>
          </w:tcPr>
          <w:p w14:paraId="7C509A6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p.1, Abstract; p.2, Methods, Sections 2.1–2.3; pp.3–5, Table 1; DOI: 10.1016/j.yebeh.2024.109924</w:t>
            </w:r>
          </w:p>
        </w:tc>
      </w:tr>
      <w:tr w14:paraId="59A64A63">
        <w:trPr>
          <w:cantSplit/>
          <w:jc w:val="center"/>
        </w:trPr>
        <w:tc>
          <w:tcPr>
            <w:tcW w:w="992" w:type="dxa"/>
            <w:shd w:val="clear" w:color="auto" w:fill="auto"/>
            <w:tcMar>
              <w:top w:w="45" w:type="dxa"/>
              <w:left w:w="70" w:type="dxa"/>
              <w:bottom w:w="45" w:type="dxa"/>
              <w:right w:w="70" w:type="dxa"/>
            </w:tcMar>
            <w:vAlign w:val="top"/>
          </w:tcPr>
          <w:p w14:paraId="6C2B131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Zhao et al., 2025</w:t>
            </w:r>
          </w:p>
        </w:tc>
        <w:tc>
          <w:tcPr>
            <w:tcW w:w="709" w:type="dxa"/>
            <w:shd w:val="clear" w:color="auto" w:fill="auto"/>
            <w:tcMar>
              <w:top w:w="45" w:type="dxa"/>
              <w:left w:w="70" w:type="dxa"/>
              <w:bottom w:w="45" w:type="dxa"/>
              <w:right w:w="70" w:type="dxa"/>
            </w:tcMar>
            <w:vAlign w:val="top"/>
          </w:tcPr>
          <w:p w14:paraId="19D01D1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Structural</w:t>
            </w:r>
          </w:p>
        </w:tc>
        <w:tc>
          <w:tcPr>
            <w:tcW w:w="1502" w:type="dxa"/>
            <w:shd w:val="clear" w:color="auto" w:fill="auto"/>
            <w:tcMar>
              <w:top w:w="45" w:type="dxa"/>
              <w:left w:w="70" w:type="dxa"/>
              <w:bottom w:w="45" w:type="dxa"/>
              <w:right w:w="70" w:type="dxa"/>
            </w:tcMar>
            <w:vAlign w:val="top"/>
          </w:tcPr>
          <w:p w14:paraId="2ED2E9F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Pregnant women exposed to lamotrigine during pregnancy.</w:t>
            </w:r>
          </w:p>
        </w:tc>
        <w:tc>
          <w:tcPr>
            <w:tcW w:w="1304" w:type="dxa"/>
            <w:shd w:val="clear" w:color="auto" w:fill="auto"/>
            <w:tcMar>
              <w:top w:w="45" w:type="dxa"/>
              <w:left w:w="70" w:type="dxa"/>
              <w:bottom w:w="45" w:type="dxa"/>
              <w:right w:w="70" w:type="dxa"/>
            </w:tcMar>
            <w:vAlign w:val="top"/>
          </w:tcPr>
          <w:p w14:paraId="2EA6BE1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 for included study populations in the source review PDF.</w:t>
            </w:r>
          </w:p>
        </w:tc>
        <w:tc>
          <w:tcPr>
            <w:tcW w:w="1587" w:type="dxa"/>
            <w:shd w:val="clear" w:color="auto" w:fill="auto"/>
            <w:tcMar>
              <w:top w:w="45" w:type="dxa"/>
              <w:left w:w="70" w:type="dxa"/>
              <w:bottom w:w="45" w:type="dxa"/>
              <w:right w:w="70" w:type="dxa"/>
            </w:tcMar>
            <w:vAlign w:val="top"/>
          </w:tcPr>
          <w:p w14:paraId="2203BA4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Mixed: 5 cohort and 3 case-control studies</w:t>
            </w:r>
          </w:p>
        </w:tc>
        <w:tc>
          <w:tcPr>
            <w:tcW w:w="992" w:type="dxa"/>
            <w:shd w:val="clear" w:color="auto" w:fill="auto"/>
            <w:tcMar>
              <w:top w:w="45" w:type="dxa"/>
              <w:left w:w="70" w:type="dxa"/>
              <w:bottom w:w="45" w:type="dxa"/>
              <w:right w:w="70" w:type="dxa"/>
            </w:tcMar>
            <w:vAlign w:val="top"/>
          </w:tcPr>
          <w:p w14:paraId="4D27B23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Predominantly Western</w:t>
            </w:r>
          </w:p>
        </w:tc>
        <w:tc>
          <w:tcPr>
            <w:tcW w:w="1020" w:type="dxa"/>
            <w:shd w:val="clear" w:color="auto" w:fill="auto"/>
            <w:tcMar>
              <w:top w:w="45" w:type="dxa"/>
              <w:left w:w="70" w:type="dxa"/>
              <w:bottom w:w="45" w:type="dxa"/>
              <w:right w:w="70" w:type="dxa"/>
            </w:tcMar>
            <w:vAlign w:val="top"/>
          </w:tcPr>
          <w:p w14:paraId="006503E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737" w:type="dxa"/>
            <w:shd w:val="clear" w:color="auto" w:fill="auto"/>
            <w:tcMar>
              <w:top w:w="45" w:type="dxa"/>
              <w:left w:w="70" w:type="dxa"/>
              <w:bottom w:w="45" w:type="dxa"/>
              <w:right w:w="70" w:type="dxa"/>
            </w:tcMar>
            <w:vAlign w:val="top"/>
          </w:tcPr>
          <w:p w14:paraId="100C23A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737" w:type="dxa"/>
            <w:shd w:val="clear" w:color="auto" w:fill="auto"/>
            <w:tcMar>
              <w:top w:w="45" w:type="dxa"/>
              <w:left w:w="70" w:type="dxa"/>
              <w:bottom w:w="45" w:type="dxa"/>
              <w:right w:w="70" w:type="dxa"/>
            </w:tcMar>
            <w:vAlign w:val="top"/>
          </w:tcPr>
          <w:p w14:paraId="1D884EA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964" w:type="dxa"/>
            <w:shd w:val="clear" w:color="auto" w:fill="auto"/>
            <w:tcMar>
              <w:top w:w="45" w:type="dxa"/>
              <w:left w:w="70" w:type="dxa"/>
              <w:bottom w:w="45" w:type="dxa"/>
              <w:right w:w="70" w:type="dxa"/>
            </w:tcMar>
            <w:vAlign w:val="top"/>
          </w:tcPr>
          <w:p w14:paraId="2D44147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1417" w:type="dxa"/>
            <w:shd w:val="clear" w:color="auto" w:fill="auto"/>
            <w:tcMar>
              <w:top w:w="45" w:type="dxa"/>
              <w:left w:w="70" w:type="dxa"/>
              <w:bottom w:w="45" w:type="dxa"/>
              <w:right w:w="70" w:type="dxa"/>
            </w:tcMar>
            <w:vAlign w:val="top"/>
          </w:tcPr>
          <w:p w14:paraId="739C959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applicable—structural outcome review</w:t>
            </w:r>
          </w:p>
        </w:tc>
        <w:tc>
          <w:tcPr>
            <w:tcW w:w="1757" w:type="dxa"/>
            <w:shd w:val="clear" w:color="auto" w:fill="auto"/>
            <w:tcMar>
              <w:top w:w="45" w:type="dxa"/>
              <w:left w:w="70" w:type="dxa"/>
              <w:bottom w:w="45" w:type="dxa"/>
              <w:right w:w="70" w:type="dxa"/>
            </w:tcMar>
            <w:vAlign w:val="top"/>
          </w:tcPr>
          <w:p w14:paraId="49EDE5B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Indication composition not reported. Table 1 reports setting, design, exposure window, outcome ascertainment, and adjustment but not sex, birthweight, or comorbidities. Geographic distribution: North American and European studies only (Predominantly Western).</w:t>
            </w:r>
          </w:p>
        </w:tc>
        <w:tc>
          <w:tcPr>
            <w:tcW w:w="1701" w:type="dxa"/>
            <w:shd w:val="clear" w:color="auto" w:fill="auto"/>
            <w:tcMar>
              <w:top w:w="45" w:type="dxa"/>
              <w:left w:w="70" w:type="dxa"/>
              <w:bottom w:w="45" w:type="dxa"/>
              <w:right w:w="70" w:type="dxa"/>
            </w:tcMar>
            <w:vAlign w:val="top"/>
          </w:tcPr>
          <w:p w14:paraId="71D33C1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pp.67–71, Methods and Results; p.70, Table 1; DOI: 10.1016/j.seizure.2025.06.005</w:t>
            </w:r>
          </w:p>
        </w:tc>
      </w:tr>
      <w:tr w14:paraId="02561583">
        <w:trPr>
          <w:cantSplit/>
          <w:jc w:val="center"/>
        </w:trPr>
        <w:tc>
          <w:tcPr>
            <w:tcW w:w="992" w:type="dxa"/>
            <w:shd w:val="clear" w:color="auto" w:fill="auto"/>
            <w:tcMar>
              <w:top w:w="45" w:type="dxa"/>
              <w:left w:w="70" w:type="dxa"/>
              <w:bottom w:w="45" w:type="dxa"/>
              <w:right w:w="70" w:type="dxa"/>
            </w:tcMar>
            <w:vAlign w:val="top"/>
          </w:tcPr>
          <w:p w14:paraId="701EEA2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Athar et al., 2022</w:t>
            </w:r>
          </w:p>
        </w:tc>
        <w:tc>
          <w:tcPr>
            <w:tcW w:w="709" w:type="dxa"/>
            <w:shd w:val="clear" w:color="auto" w:fill="auto"/>
            <w:tcMar>
              <w:top w:w="45" w:type="dxa"/>
              <w:left w:w="70" w:type="dxa"/>
              <w:bottom w:w="45" w:type="dxa"/>
              <w:right w:w="70" w:type="dxa"/>
            </w:tcMar>
            <w:vAlign w:val="top"/>
          </w:tcPr>
          <w:p w14:paraId="4D94E9C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Structural</w:t>
            </w:r>
          </w:p>
        </w:tc>
        <w:tc>
          <w:tcPr>
            <w:tcW w:w="1502" w:type="dxa"/>
            <w:shd w:val="clear" w:color="auto" w:fill="auto"/>
            <w:tcMar>
              <w:top w:w="45" w:type="dxa"/>
              <w:left w:w="70" w:type="dxa"/>
              <w:bottom w:w="45" w:type="dxa"/>
              <w:right w:w="70" w:type="dxa"/>
            </w:tcMar>
            <w:vAlign w:val="top"/>
          </w:tcPr>
          <w:p w14:paraId="3B84669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Pregnant women exposed to OXC at any time during pregnancy; quantitative analyses restricted to OXC monotherapy.</w:t>
            </w:r>
          </w:p>
        </w:tc>
        <w:tc>
          <w:tcPr>
            <w:tcW w:w="1304" w:type="dxa"/>
            <w:shd w:val="clear" w:color="auto" w:fill="auto"/>
            <w:tcMar>
              <w:top w:w="45" w:type="dxa"/>
              <w:left w:w="70" w:type="dxa"/>
              <w:bottom w:w="45" w:type="dxa"/>
              <w:right w:w="70" w:type="dxa"/>
            </w:tcMar>
            <w:vAlign w:val="top"/>
          </w:tcPr>
          <w:p w14:paraId="308C6C7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Mixed indications: epilepsy, substance use disorders, neuropathic pain, and bipolar disorders; study-level indication completeness could not be confirmed from the source review.</w:t>
            </w:r>
          </w:p>
        </w:tc>
        <w:tc>
          <w:tcPr>
            <w:tcW w:w="1587" w:type="dxa"/>
            <w:shd w:val="clear" w:color="auto" w:fill="auto"/>
            <w:tcMar>
              <w:top w:w="45" w:type="dxa"/>
              <w:left w:w="70" w:type="dxa"/>
              <w:bottom w:w="45" w:type="dxa"/>
              <w:right w:w="70" w:type="dxa"/>
            </w:tcMar>
            <w:vAlign w:val="top"/>
          </w:tcPr>
          <w:p w14:paraId="64E4BEE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Cohort only: 16 prospective and 3 retrospective cohorts</w:t>
            </w:r>
          </w:p>
        </w:tc>
        <w:tc>
          <w:tcPr>
            <w:tcW w:w="992" w:type="dxa"/>
            <w:shd w:val="clear" w:color="auto" w:fill="auto"/>
            <w:tcMar>
              <w:top w:w="45" w:type="dxa"/>
              <w:left w:w="70" w:type="dxa"/>
              <w:bottom w:w="45" w:type="dxa"/>
              <w:right w:w="70" w:type="dxa"/>
            </w:tcMar>
            <w:vAlign w:val="top"/>
          </w:tcPr>
          <w:p w14:paraId="4F89FE1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Predominantly European</w:t>
            </w:r>
          </w:p>
        </w:tc>
        <w:tc>
          <w:tcPr>
            <w:tcW w:w="1020" w:type="dxa"/>
            <w:shd w:val="clear" w:color="auto" w:fill="auto"/>
            <w:tcMar>
              <w:top w:w="45" w:type="dxa"/>
              <w:left w:w="70" w:type="dxa"/>
              <w:bottom w:w="45" w:type="dxa"/>
              <w:right w:w="70" w:type="dxa"/>
            </w:tcMar>
            <w:vAlign w:val="top"/>
          </w:tcPr>
          <w:p w14:paraId="4A03D1C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 congenital malformations ascertained peripartum</w:t>
            </w:r>
          </w:p>
        </w:tc>
        <w:tc>
          <w:tcPr>
            <w:tcW w:w="737" w:type="dxa"/>
            <w:shd w:val="clear" w:color="auto" w:fill="auto"/>
            <w:tcMar>
              <w:top w:w="45" w:type="dxa"/>
              <w:left w:w="70" w:type="dxa"/>
              <w:bottom w:w="45" w:type="dxa"/>
              <w:right w:w="70" w:type="dxa"/>
            </w:tcMar>
            <w:vAlign w:val="top"/>
          </w:tcPr>
          <w:p w14:paraId="74E2E92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737" w:type="dxa"/>
            <w:shd w:val="clear" w:color="auto" w:fill="auto"/>
            <w:tcMar>
              <w:top w:w="45" w:type="dxa"/>
              <w:left w:w="70" w:type="dxa"/>
              <w:bottom w:w="45" w:type="dxa"/>
              <w:right w:w="70" w:type="dxa"/>
            </w:tcMar>
            <w:vAlign w:val="top"/>
          </w:tcPr>
          <w:p w14:paraId="4B25103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964" w:type="dxa"/>
            <w:shd w:val="clear" w:color="auto" w:fill="auto"/>
            <w:tcMar>
              <w:top w:w="45" w:type="dxa"/>
              <w:left w:w="70" w:type="dxa"/>
              <w:bottom w:w="45" w:type="dxa"/>
              <w:right w:w="70" w:type="dxa"/>
            </w:tcMar>
            <w:vAlign w:val="top"/>
          </w:tcPr>
          <w:p w14:paraId="1DDD100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1417" w:type="dxa"/>
            <w:shd w:val="clear" w:color="auto" w:fill="auto"/>
            <w:tcMar>
              <w:top w:w="45" w:type="dxa"/>
              <w:left w:w="70" w:type="dxa"/>
              <w:bottom w:w="45" w:type="dxa"/>
              <w:right w:w="70" w:type="dxa"/>
            </w:tcMar>
            <w:vAlign w:val="top"/>
          </w:tcPr>
          <w:p w14:paraId="27FF913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applicable—structural outcome review</w:t>
            </w:r>
          </w:p>
        </w:tc>
        <w:tc>
          <w:tcPr>
            <w:tcW w:w="1757" w:type="dxa"/>
            <w:shd w:val="clear" w:color="auto" w:fill="auto"/>
            <w:tcMar>
              <w:top w:w="45" w:type="dxa"/>
              <w:left w:w="70" w:type="dxa"/>
              <w:bottom w:w="45" w:type="dxa"/>
              <w:right w:w="70" w:type="dxa"/>
            </w:tcMar>
            <w:vAlign w:val="top"/>
          </w:tcPr>
          <w:p w14:paraId="3EA4207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Geographic distribution: 11 European, 3 North American, 2 Australian, 3 other studies. Indication composition partially reported at study level. Sex, birthweight, and offspring comorbidities not tabulated.</w:t>
            </w:r>
          </w:p>
        </w:tc>
        <w:tc>
          <w:tcPr>
            <w:tcW w:w="1701" w:type="dxa"/>
            <w:shd w:val="clear" w:color="auto" w:fill="auto"/>
            <w:tcMar>
              <w:top w:w="45" w:type="dxa"/>
              <w:left w:w="70" w:type="dxa"/>
              <w:bottom w:w="45" w:type="dxa"/>
              <w:right w:w="70" w:type="dxa"/>
            </w:tcMar>
            <w:vAlign w:val="top"/>
          </w:tcPr>
          <w:p w14:paraId="296E1C9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Main PDF pp.3600–3607; ESM Tables S2–S4; DOI: 10.1111/bcp.15413</w:t>
            </w:r>
          </w:p>
        </w:tc>
      </w:tr>
      <w:tr w14:paraId="42CAB39C">
        <w:trPr>
          <w:cantSplit/>
          <w:jc w:val="center"/>
        </w:trPr>
        <w:tc>
          <w:tcPr>
            <w:tcW w:w="992" w:type="dxa"/>
            <w:shd w:val="clear" w:color="auto" w:fill="auto"/>
            <w:tcMar>
              <w:top w:w="45" w:type="dxa"/>
              <w:left w:w="70" w:type="dxa"/>
              <w:bottom w:w="45" w:type="dxa"/>
              <w:right w:w="70" w:type="dxa"/>
            </w:tcMar>
            <w:vAlign w:val="top"/>
          </w:tcPr>
          <w:p w14:paraId="07AFAAD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Alsaad et al., 2015</w:t>
            </w:r>
          </w:p>
        </w:tc>
        <w:tc>
          <w:tcPr>
            <w:tcW w:w="709" w:type="dxa"/>
            <w:shd w:val="clear" w:color="auto" w:fill="auto"/>
            <w:tcMar>
              <w:top w:w="45" w:type="dxa"/>
              <w:left w:w="70" w:type="dxa"/>
              <w:bottom w:w="45" w:type="dxa"/>
              <w:right w:w="70" w:type="dxa"/>
            </w:tcMar>
            <w:vAlign w:val="top"/>
          </w:tcPr>
          <w:p w14:paraId="71DC5A9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Structural</w:t>
            </w:r>
          </w:p>
        </w:tc>
        <w:tc>
          <w:tcPr>
            <w:tcW w:w="1502" w:type="dxa"/>
            <w:shd w:val="clear" w:color="auto" w:fill="auto"/>
            <w:tcMar>
              <w:top w:w="45" w:type="dxa"/>
              <w:left w:w="70" w:type="dxa"/>
              <w:bottom w:w="45" w:type="dxa"/>
              <w:right w:w="70" w:type="dxa"/>
            </w:tcMar>
            <w:vAlign w:val="top"/>
          </w:tcPr>
          <w:p w14:paraId="44A2CE3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Pregnant women exposed to any dose of TPM during the first trimester.</w:t>
            </w:r>
          </w:p>
        </w:tc>
        <w:tc>
          <w:tcPr>
            <w:tcW w:w="1304" w:type="dxa"/>
            <w:shd w:val="clear" w:color="auto" w:fill="auto"/>
            <w:tcMar>
              <w:top w:w="45" w:type="dxa"/>
              <w:left w:w="70" w:type="dxa"/>
              <w:bottom w:w="45" w:type="dxa"/>
              <w:right w:w="70" w:type="dxa"/>
            </w:tcMar>
            <w:vAlign w:val="top"/>
          </w:tcPr>
          <w:p w14:paraId="7171ADF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 (epilepsy, migraine, and appetite suppression noted in background; study-level indications not systematically reported).</w:t>
            </w:r>
          </w:p>
        </w:tc>
        <w:tc>
          <w:tcPr>
            <w:tcW w:w="1587" w:type="dxa"/>
            <w:shd w:val="clear" w:color="auto" w:fill="auto"/>
            <w:tcMar>
              <w:top w:w="45" w:type="dxa"/>
              <w:left w:w="70" w:type="dxa"/>
              <w:bottom w:w="45" w:type="dxa"/>
              <w:right w:w="70" w:type="dxa"/>
            </w:tcMar>
            <w:vAlign w:val="top"/>
          </w:tcPr>
          <w:p w14:paraId="5481DE8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Mixed: 6 cohort and 1 case-control study (7 reports identified; 6 contributed to controlled pooled OR)</w:t>
            </w:r>
          </w:p>
        </w:tc>
        <w:tc>
          <w:tcPr>
            <w:tcW w:w="992" w:type="dxa"/>
            <w:shd w:val="clear" w:color="auto" w:fill="auto"/>
            <w:tcMar>
              <w:top w:w="45" w:type="dxa"/>
              <w:left w:w="70" w:type="dxa"/>
              <w:bottom w:w="45" w:type="dxa"/>
              <w:right w:w="70" w:type="dxa"/>
            </w:tcMar>
            <w:vAlign w:val="top"/>
          </w:tcPr>
          <w:p w14:paraId="1FD23E6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International / multiregional</w:t>
            </w:r>
          </w:p>
        </w:tc>
        <w:tc>
          <w:tcPr>
            <w:tcW w:w="1020" w:type="dxa"/>
            <w:shd w:val="clear" w:color="auto" w:fill="auto"/>
            <w:tcMar>
              <w:top w:w="45" w:type="dxa"/>
              <w:left w:w="70" w:type="dxa"/>
              <w:bottom w:w="45" w:type="dxa"/>
              <w:right w:w="70" w:type="dxa"/>
            </w:tcMar>
            <w:vAlign w:val="top"/>
          </w:tcPr>
          <w:p w14:paraId="5201DB7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737" w:type="dxa"/>
            <w:shd w:val="clear" w:color="auto" w:fill="auto"/>
            <w:tcMar>
              <w:top w:w="45" w:type="dxa"/>
              <w:left w:w="70" w:type="dxa"/>
              <w:bottom w:w="45" w:type="dxa"/>
              <w:right w:w="70" w:type="dxa"/>
            </w:tcMar>
            <w:vAlign w:val="top"/>
          </w:tcPr>
          <w:p w14:paraId="177550F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737" w:type="dxa"/>
            <w:shd w:val="clear" w:color="auto" w:fill="auto"/>
            <w:tcMar>
              <w:top w:w="45" w:type="dxa"/>
              <w:left w:w="70" w:type="dxa"/>
              <w:bottom w:w="45" w:type="dxa"/>
              <w:right w:w="70" w:type="dxa"/>
            </w:tcMar>
            <w:vAlign w:val="top"/>
          </w:tcPr>
          <w:p w14:paraId="113858F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964" w:type="dxa"/>
            <w:shd w:val="clear" w:color="auto" w:fill="auto"/>
            <w:tcMar>
              <w:top w:w="45" w:type="dxa"/>
              <w:left w:w="70" w:type="dxa"/>
              <w:bottom w:w="45" w:type="dxa"/>
              <w:right w:w="70" w:type="dxa"/>
            </w:tcMar>
            <w:vAlign w:val="top"/>
          </w:tcPr>
          <w:p w14:paraId="5C7B6DC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1417" w:type="dxa"/>
            <w:shd w:val="clear" w:color="auto" w:fill="auto"/>
            <w:tcMar>
              <w:top w:w="45" w:type="dxa"/>
              <w:left w:w="70" w:type="dxa"/>
              <w:bottom w:w="45" w:type="dxa"/>
              <w:right w:w="70" w:type="dxa"/>
            </w:tcMar>
            <w:vAlign w:val="top"/>
          </w:tcPr>
          <w:p w14:paraId="2E15FDD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applicable—structural outcome review</w:t>
            </w:r>
          </w:p>
        </w:tc>
        <w:tc>
          <w:tcPr>
            <w:tcW w:w="1757" w:type="dxa"/>
            <w:shd w:val="clear" w:color="auto" w:fill="auto"/>
            <w:tcMar>
              <w:top w:w="45" w:type="dxa"/>
              <w:left w:w="70" w:type="dxa"/>
              <w:bottom w:w="45" w:type="dxa"/>
              <w:right w:w="70" w:type="dxa"/>
            </w:tcMar>
            <w:vAlign w:val="top"/>
          </w:tcPr>
          <w:p w14:paraId="2A039E7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One report lacked a usable control group and was excluded from the pooled OR. Sex, birthweight, and comorbidities not tabulated.</w:t>
            </w:r>
          </w:p>
        </w:tc>
        <w:tc>
          <w:tcPr>
            <w:tcW w:w="1701" w:type="dxa"/>
            <w:shd w:val="clear" w:color="auto" w:fill="auto"/>
            <w:tcMar>
              <w:top w:w="45" w:type="dxa"/>
              <w:left w:w="70" w:type="dxa"/>
              <w:bottom w:w="45" w:type="dxa"/>
              <w:right w:w="70" w:type="dxa"/>
            </w:tcMar>
            <w:vAlign w:val="top"/>
          </w:tcPr>
          <w:p w14:paraId="7607F3F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pp.45–46, Abstract and Methods; pp.46–47, Results and Table 2; DOI: 10.1016/j.reprotox.2015.03.003</w:t>
            </w:r>
          </w:p>
        </w:tc>
      </w:tr>
      <w:tr w14:paraId="130E58A2">
        <w:trPr>
          <w:cantSplit/>
          <w:jc w:val="center"/>
        </w:trPr>
        <w:tc>
          <w:tcPr>
            <w:tcW w:w="992" w:type="dxa"/>
            <w:shd w:val="clear" w:color="auto" w:fill="auto"/>
            <w:tcMar>
              <w:top w:w="45" w:type="dxa"/>
              <w:left w:w="70" w:type="dxa"/>
              <w:bottom w:w="45" w:type="dxa"/>
              <w:right w:w="70" w:type="dxa"/>
            </w:tcMar>
            <w:vAlign w:val="top"/>
          </w:tcPr>
          <w:p w14:paraId="2356173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Atzenhoffer et al., 2025</w:t>
            </w:r>
          </w:p>
        </w:tc>
        <w:tc>
          <w:tcPr>
            <w:tcW w:w="709" w:type="dxa"/>
            <w:shd w:val="clear" w:color="auto" w:fill="auto"/>
            <w:tcMar>
              <w:top w:w="45" w:type="dxa"/>
              <w:left w:w="70" w:type="dxa"/>
              <w:bottom w:w="45" w:type="dxa"/>
              <w:right w:w="70" w:type="dxa"/>
            </w:tcMar>
            <w:vAlign w:val="top"/>
          </w:tcPr>
          <w:p w14:paraId="5FCFD3A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Structural</w:t>
            </w:r>
          </w:p>
        </w:tc>
        <w:tc>
          <w:tcPr>
            <w:tcW w:w="1502" w:type="dxa"/>
            <w:shd w:val="clear" w:color="auto" w:fill="auto"/>
            <w:tcMar>
              <w:top w:w="45" w:type="dxa"/>
              <w:left w:w="70" w:type="dxa"/>
              <w:bottom w:w="45" w:type="dxa"/>
              <w:right w:w="70" w:type="dxa"/>
            </w:tcMar>
            <w:vAlign w:val="top"/>
          </w:tcPr>
          <w:p w14:paraId="1A5C8CA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Pregnant people exposed to PGB monotherapy during the first trimester.</w:t>
            </w:r>
          </w:p>
        </w:tc>
        <w:tc>
          <w:tcPr>
            <w:tcW w:w="1304" w:type="dxa"/>
            <w:shd w:val="clear" w:color="auto" w:fill="auto"/>
            <w:tcMar>
              <w:top w:w="45" w:type="dxa"/>
              <w:left w:w="70" w:type="dxa"/>
              <w:bottom w:w="45" w:type="dxa"/>
              <w:right w:w="70" w:type="dxa"/>
            </w:tcMar>
            <w:vAlign w:val="top"/>
          </w:tcPr>
          <w:p w14:paraId="7470A1D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Mixed: epilepsy, pain conditions, psychiatric disorders, restless legs syndrome, and unspecified indications.</w:t>
            </w:r>
          </w:p>
        </w:tc>
        <w:tc>
          <w:tcPr>
            <w:tcW w:w="1587" w:type="dxa"/>
            <w:shd w:val="clear" w:color="auto" w:fill="auto"/>
            <w:tcMar>
              <w:top w:w="45" w:type="dxa"/>
              <w:left w:w="70" w:type="dxa"/>
              <w:bottom w:w="45" w:type="dxa"/>
              <w:right w:w="70" w:type="dxa"/>
            </w:tcMar>
            <w:vAlign w:val="top"/>
          </w:tcPr>
          <w:p w14:paraId="2BAD91D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Cohort only: 4 prospective and 3 retrospective cohorts</w:t>
            </w:r>
          </w:p>
        </w:tc>
        <w:tc>
          <w:tcPr>
            <w:tcW w:w="992" w:type="dxa"/>
            <w:shd w:val="clear" w:color="auto" w:fill="auto"/>
            <w:tcMar>
              <w:top w:w="45" w:type="dxa"/>
              <w:left w:w="70" w:type="dxa"/>
              <w:bottom w:w="45" w:type="dxa"/>
              <w:right w:w="70" w:type="dxa"/>
            </w:tcMar>
            <w:vAlign w:val="top"/>
          </w:tcPr>
          <w:p w14:paraId="3DF9D73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International / multiregional</w:t>
            </w:r>
          </w:p>
        </w:tc>
        <w:tc>
          <w:tcPr>
            <w:tcW w:w="1020" w:type="dxa"/>
            <w:shd w:val="clear" w:color="auto" w:fill="auto"/>
            <w:tcMar>
              <w:top w:w="45" w:type="dxa"/>
              <w:left w:w="70" w:type="dxa"/>
              <w:bottom w:w="45" w:type="dxa"/>
              <w:right w:w="70" w:type="dxa"/>
            </w:tcMar>
            <w:vAlign w:val="top"/>
          </w:tcPr>
          <w:p w14:paraId="623989E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737" w:type="dxa"/>
            <w:shd w:val="clear" w:color="auto" w:fill="auto"/>
            <w:tcMar>
              <w:top w:w="45" w:type="dxa"/>
              <w:left w:w="70" w:type="dxa"/>
              <w:bottom w:w="45" w:type="dxa"/>
              <w:right w:w="70" w:type="dxa"/>
            </w:tcMar>
            <w:vAlign w:val="top"/>
          </w:tcPr>
          <w:p w14:paraId="57077E8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737" w:type="dxa"/>
            <w:shd w:val="clear" w:color="auto" w:fill="auto"/>
            <w:tcMar>
              <w:top w:w="45" w:type="dxa"/>
              <w:left w:w="70" w:type="dxa"/>
              <w:bottom w:w="45" w:type="dxa"/>
              <w:right w:w="70" w:type="dxa"/>
            </w:tcMar>
            <w:vAlign w:val="top"/>
          </w:tcPr>
          <w:p w14:paraId="1DE83DB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964" w:type="dxa"/>
            <w:shd w:val="clear" w:color="auto" w:fill="auto"/>
            <w:tcMar>
              <w:top w:w="45" w:type="dxa"/>
              <w:left w:w="70" w:type="dxa"/>
              <w:bottom w:w="45" w:type="dxa"/>
              <w:right w:w="70" w:type="dxa"/>
            </w:tcMar>
            <w:vAlign w:val="top"/>
          </w:tcPr>
          <w:p w14:paraId="6B5E3FD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1417" w:type="dxa"/>
            <w:shd w:val="clear" w:color="auto" w:fill="auto"/>
            <w:tcMar>
              <w:top w:w="45" w:type="dxa"/>
              <w:left w:w="70" w:type="dxa"/>
              <w:bottom w:w="45" w:type="dxa"/>
              <w:right w:w="70" w:type="dxa"/>
            </w:tcMar>
            <w:vAlign w:val="top"/>
          </w:tcPr>
          <w:p w14:paraId="18C4890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applicable—structural outcome review</w:t>
            </w:r>
          </w:p>
        </w:tc>
        <w:tc>
          <w:tcPr>
            <w:tcW w:w="1757" w:type="dxa"/>
            <w:shd w:val="clear" w:color="auto" w:fill="auto"/>
            <w:tcMar>
              <w:top w:w="45" w:type="dxa"/>
              <w:left w:w="70" w:type="dxa"/>
              <w:bottom w:w="45" w:type="dxa"/>
              <w:right w:w="70" w:type="dxa"/>
            </w:tcMar>
            <w:vAlign w:val="top"/>
          </w:tcPr>
          <w:p w14:paraId="098962C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Covariate details vary substantially across contributing studies. Sex, birthweight, and offspring comorbidities not tabulated. Hierarchical comparator selection used (one comparator category per study).</w:t>
            </w:r>
          </w:p>
        </w:tc>
        <w:tc>
          <w:tcPr>
            <w:tcW w:w="1701" w:type="dxa"/>
            <w:shd w:val="clear" w:color="auto" w:fill="auto"/>
            <w:tcMar>
              <w:top w:w="45" w:type="dxa"/>
              <w:left w:w="70" w:type="dxa"/>
              <w:bottom w:w="45" w:type="dxa"/>
              <w:right w:w="70" w:type="dxa"/>
            </w:tcMar>
            <w:vAlign w:val="top"/>
          </w:tcPr>
          <w:p w14:paraId="1F17544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p.1, Abstract; pp.2–4, Methods and Table 1; DOI: 10.1016/j.reprotox.2025.108958</w:t>
            </w:r>
          </w:p>
        </w:tc>
      </w:tr>
      <w:tr w14:paraId="1DD1F377">
        <w:trPr>
          <w:cantSplit/>
          <w:jc w:val="center"/>
        </w:trPr>
        <w:tc>
          <w:tcPr>
            <w:tcW w:w="992" w:type="dxa"/>
            <w:shd w:val="clear" w:color="auto" w:fill="auto"/>
            <w:tcMar>
              <w:top w:w="45" w:type="dxa"/>
              <w:left w:w="70" w:type="dxa"/>
              <w:bottom w:w="45" w:type="dxa"/>
              <w:right w:w="70" w:type="dxa"/>
            </w:tcMar>
            <w:vAlign w:val="top"/>
          </w:tcPr>
          <w:p w14:paraId="080E9AA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Veroniki et al., 2017a</w:t>
            </w:r>
          </w:p>
        </w:tc>
        <w:tc>
          <w:tcPr>
            <w:tcW w:w="709" w:type="dxa"/>
            <w:shd w:val="clear" w:color="auto" w:fill="auto"/>
            <w:tcMar>
              <w:top w:w="45" w:type="dxa"/>
              <w:left w:w="70" w:type="dxa"/>
              <w:bottom w:w="45" w:type="dxa"/>
              <w:right w:w="70" w:type="dxa"/>
            </w:tcMar>
            <w:vAlign w:val="top"/>
          </w:tcPr>
          <w:p w14:paraId="761F336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Structural</w:t>
            </w:r>
          </w:p>
        </w:tc>
        <w:tc>
          <w:tcPr>
            <w:tcW w:w="1502" w:type="dxa"/>
            <w:shd w:val="clear" w:color="auto" w:fill="auto"/>
            <w:tcMar>
              <w:top w:w="45" w:type="dxa"/>
              <w:left w:w="70" w:type="dxa"/>
              <w:bottom w:w="45" w:type="dxa"/>
              <w:right w:w="70" w:type="dxa"/>
            </w:tcMar>
            <w:vAlign w:val="top"/>
          </w:tcPr>
          <w:p w14:paraId="5F82A95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Pregnant women exposed to AED monotherapy or polytherapy; infants/children exposed in utero.</w:t>
            </w:r>
          </w:p>
        </w:tc>
        <w:tc>
          <w:tcPr>
            <w:tcW w:w="1304" w:type="dxa"/>
            <w:shd w:val="clear" w:color="auto" w:fill="auto"/>
            <w:tcMar>
              <w:top w:w="45" w:type="dxa"/>
              <w:left w:w="70" w:type="dxa"/>
              <w:bottom w:w="45" w:type="dxa"/>
              <w:right w:w="70" w:type="dxa"/>
            </w:tcMar>
            <w:vAlign w:val="top"/>
          </w:tcPr>
          <w:p w14:paraId="6E9BF73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Any indication; epilepsy predominated (89/96 studies); eligibility not restricted to epilepsy (mixed indication in 1, mental illness in 1, not reported in 5).</w:t>
            </w:r>
          </w:p>
        </w:tc>
        <w:tc>
          <w:tcPr>
            <w:tcW w:w="1587" w:type="dxa"/>
            <w:shd w:val="clear" w:color="auto" w:fill="auto"/>
            <w:tcMar>
              <w:top w:w="45" w:type="dxa"/>
              <w:left w:w="70" w:type="dxa"/>
              <w:bottom w:w="45" w:type="dxa"/>
              <w:right w:w="70" w:type="dxa"/>
            </w:tcMar>
            <w:vAlign w:val="top"/>
          </w:tcPr>
          <w:p w14:paraId="5E28395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Mixed: 92 cohort, 3 case-control, and 1 randomized trial (network includes additional design breakdown by outcome)</w:t>
            </w:r>
          </w:p>
        </w:tc>
        <w:tc>
          <w:tcPr>
            <w:tcW w:w="992" w:type="dxa"/>
            <w:shd w:val="clear" w:color="auto" w:fill="auto"/>
            <w:tcMar>
              <w:top w:w="45" w:type="dxa"/>
              <w:left w:w="70" w:type="dxa"/>
              <w:bottom w:w="45" w:type="dxa"/>
              <w:right w:w="70" w:type="dxa"/>
            </w:tcMar>
            <w:vAlign w:val="top"/>
          </w:tcPr>
          <w:p w14:paraId="2B380ED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International / multiregional</w:t>
            </w:r>
          </w:p>
        </w:tc>
        <w:tc>
          <w:tcPr>
            <w:tcW w:w="1020" w:type="dxa"/>
            <w:shd w:val="clear" w:color="auto" w:fill="auto"/>
            <w:tcMar>
              <w:top w:w="45" w:type="dxa"/>
              <w:left w:w="70" w:type="dxa"/>
              <w:bottom w:w="45" w:type="dxa"/>
              <w:right w:w="70" w:type="dxa"/>
            </w:tcMar>
            <w:vAlign w:val="top"/>
          </w:tcPr>
          <w:p w14:paraId="78EB139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Peripartum; structural outcomes ascertained at birth or early infancy</w:t>
            </w:r>
          </w:p>
        </w:tc>
        <w:tc>
          <w:tcPr>
            <w:tcW w:w="737" w:type="dxa"/>
            <w:shd w:val="clear" w:color="auto" w:fill="auto"/>
            <w:tcMar>
              <w:top w:w="45" w:type="dxa"/>
              <w:left w:w="70" w:type="dxa"/>
              <w:bottom w:w="45" w:type="dxa"/>
              <w:right w:w="70" w:type="dxa"/>
            </w:tcMar>
            <w:vAlign w:val="top"/>
          </w:tcPr>
          <w:p w14:paraId="48A289A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737" w:type="dxa"/>
            <w:shd w:val="clear" w:color="auto" w:fill="auto"/>
            <w:tcMar>
              <w:top w:w="45" w:type="dxa"/>
              <w:left w:w="70" w:type="dxa"/>
              <w:bottom w:w="45" w:type="dxa"/>
              <w:right w:w="70" w:type="dxa"/>
            </w:tcMar>
            <w:vAlign w:val="top"/>
          </w:tcPr>
          <w:p w14:paraId="16239DE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964" w:type="dxa"/>
            <w:shd w:val="clear" w:color="auto" w:fill="auto"/>
            <w:tcMar>
              <w:top w:w="45" w:type="dxa"/>
              <w:left w:w="70" w:type="dxa"/>
              <w:bottom w:w="45" w:type="dxa"/>
              <w:right w:w="70" w:type="dxa"/>
            </w:tcMar>
            <w:vAlign w:val="top"/>
          </w:tcPr>
          <w:p w14:paraId="05EB861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1417" w:type="dxa"/>
            <w:shd w:val="clear" w:color="auto" w:fill="auto"/>
            <w:tcMar>
              <w:top w:w="45" w:type="dxa"/>
              <w:left w:w="70" w:type="dxa"/>
              <w:bottom w:w="45" w:type="dxa"/>
              <w:right w:w="70" w:type="dxa"/>
            </w:tcMar>
            <w:vAlign w:val="top"/>
          </w:tcPr>
          <w:p w14:paraId="2B45134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applicable—structural outcome review</w:t>
            </w:r>
          </w:p>
        </w:tc>
        <w:tc>
          <w:tcPr>
            <w:tcW w:w="1757" w:type="dxa"/>
            <w:shd w:val="clear" w:color="auto" w:fill="auto"/>
            <w:tcMar>
              <w:top w:w="45" w:type="dxa"/>
              <w:left w:w="70" w:type="dxa"/>
              <w:bottom w:w="45" w:type="dxa"/>
              <w:right w:w="70" w:type="dxa"/>
            </w:tcMar>
            <w:vAlign w:val="top"/>
          </w:tcPr>
          <w:p w14:paraId="78B5A9C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Largest included review (96 studies). Network includes multiple AEDs. Design classification is overall: 92 cohort, 3 case-control, 1 RCT; prospective/retrospective breakdown not comprehensively reported. Sex, birthweight, and comorbidities not tabulated.</w:t>
            </w:r>
          </w:p>
        </w:tc>
        <w:tc>
          <w:tcPr>
            <w:tcW w:w="1701" w:type="dxa"/>
            <w:shd w:val="clear" w:color="auto" w:fill="auto"/>
            <w:tcMar>
              <w:top w:w="45" w:type="dxa"/>
              <w:left w:w="70" w:type="dxa"/>
              <w:bottom w:w="45" w:type="dxa"/>
              <w:right w:w="70" w:type="dxa"/>
            </w:tcMar>
            <w:vAlign w:val="top"/>
          </w:tcPr>
          <w:p w14:paraId="21409E6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Main PDF pp.2–6; ESM Appendix D Table 3, Appendix E Table 4, Appendices F–H; DOI: 10.1186/s12916-017-0845-1</w:t>
            </w:r>
          </w:p>
        </w:tc>
      </w:tr>
      <w:tr w14:paraId="4BE09AE0">
        <w:trPr>
          <w:cantSplit/>
          <w:jc w:val="center"/>
        </w:trPr>
        <w:tc>
          <w:tcPr>
            <w:tcW w:w="992" w:type="dxa"/>
            <w:shd w:val="clear" w:color="auto" w:fill="auto"/>
            <w:tcMar>
              <w:top w:w="45" w:type="dxa"/>
              <w:left w:w="70" w:type="dxa"/>
              <w:bottom w:w="45" w:type="dxa"/>
              <w:right w:w="70" w:type="dxa"/>
            </w:tcMar>
            <w:vAlign w:val="top"/>
          </w:tcPr>
          <w:p w14:paraId="2CE7EA6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Andrade et al., 2025</w:t>
            </w:r>
          </w:p>
        </w:tc>
        <w:tc>
          <w:tcPr>
            <w:tcW w:w="709" w:type="dxa"/>
            <w:shd w:val="clear" w:color="auto" w:fill="auto"/>
            <w:tcMar>
              <w:top w:w="45" w:type="dxa"/>
              <w:left w:w="70" w:type="dxa"/>
              <w:bottom w:w="45" w:type="dxa"/>
              <w:right w:w="70" w:type="dxa"/>
            </w:tcMar>
            <w:vAlign w:val="top"/>
          </w:tcPr>
          <w:p w14:paraId="2810890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Neurodevelopmental</w:t>
            </w:r>
          </w:p>
        </w:tc>
        <w:tc>
          <w:tcPr>
            <w:tcW w:w="1502" w:type="dxa"/>
            <w:shd w:val="clear" w:color="auto" w:fill="auto"/>
            <w:tcMar>
              <w:top w:w="45" w:type="dxa"/>
              <w:left w:w="70" w:type="dxa"/>
              <w:bottom w:w="45" w:type="dxa"/>
              <w:right w:w="70" w:type="dxa"/>
            </w:tcMar>
            <w:vAlign w:val="top"/>
          </w:tcPr>
          <w:p w14:paraId="3DF7CFC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Offspring with anytime gestational VPA exposure versus gestationally VPA-unexposed offspring.</w:t>
            </w:r>
          </w:p>
        </w:tc>
        <w:tc>
          <w:tcPr>
            <w:tcW w:w="1304" w:type="dxa"/>
            <w:shd w:val="clear" w:color="auto" w:fill="auto"/>
            <w:tcMar>
              <w:top w:w="45" w:type="dxa"/>
              <w:left w:w="70" w:type="dxa"/>
              <w:bottom w:w="45" w:type="dxa"/>
              <w:right w:w="70" w:type="dxa"/>
            </w:tcMar>
            <w:vAlign w:val="top"/>
          </w:tcPr>
          <w:p w14:paraId="416E45A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Predominantly epilepsy; one large cohort included mainly epilepsy plus other on- and off-label indications.</w:t>
            </w:r>
          </w:p>
        </w:tc>
        <w:tc>
          <w:tcPr>
            <w:tcW w:w="1587" w:type="dxa"/>
            <w:shd w:val="clear" w:color="auto" w:fill="auto"/>
            <w:tcMar>
              <w:top w:w="45" w:type="dxa"/>
              <w:left w:w="70" w:type="dxa"/>
              <w:bottom w:w="45" w:type="dxa"/>
              <w:right w:w="70" w:type="dxa"/>
            </w:tcMar>
            <w:vAlign w:val="top"/>
          </w:tcPr>
          <w:p w14:paraId="507A75A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Cohort only: 6 retrospective and 2 prospective cohorts</w:t>
            </w:r>
          </w:p>
        </w:tc>
        <w:tc>
          <w:tcPr>
            <w:tcW w:w="992" w:type="dxa"/>
            <w:shd w:val="clear" w:color="auto" w:fill="auto"/>
            <w:tcMar>
              <w:top w:w="45" w:type="dxa"/>
              <w:left w:w="70" w:type="dxa"/>
              <w:bottom w:w="45" w:type="dxa"/>
              <w:right w:w="70" w:type="dxa"/>
            </w:tcMar>
            <w:vAlign w:val="top"/>
          </w:tcPr>
          <w:p w14:paraId="7E30059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International / multiregional</w:t>
            </w:r>
          </w:p>
        </w:tc>
        <w:tc>
          <w:tcPr>
            <w:tcW w:w="1020" w:type="dxa"/>
            <w:shd w:val="clear" w:color="auto" w:fill="auto"/>
            <w:tcMar>
              <w:top w:w="45" w:type="dxa"/>
              <w:left w:w="70" w:type="dxa"/>
              <w:bottom w:w="45" w:type="dxa"/>
              <w:right w:w="70" w:type="dxa"/>
            </w:tcMar>
            <w:vAlign w:val="top"/>
          </w:tcPr>
          <w:p w14:paraId="73C8EB7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~2–12 years; sensitivity analysis required ≥6 years follow-up</w:t>
            </w:r>
          </w:p>
        </w:tc>
        <w:tc>
          <w:tcPr>
            <w:tcW w:w="737" w:type="dxa"/>
            <w:shd w:val="clear" w:color="auto" w:fill="auto"/>
            <w:tcMar>
              <w:top w:w="45" w:type="dxa"/>
              <w:left w:w="70" w:type="dxa"/>
              <w:bottom w:w="45" w:type="dxa"/>
              <w:right w:w="70" w:type="dxa"/>
            </w:tcMar>
            <w:vAlign w:val="top"/>
          </w:tcPr>
          <w:p w14:paraId="467AE48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737" w:type="dxa"/>
            <w:shd w:val="clear" w:color="auto" w:fill="auto"/>
            <w:tcMar>
              <w:top w:w="45" w:type="dxa"/>
              <w:left w:w="70" w:type="dxa"/>
              <w:bottom w:w="45" w:type="dxa"/>
              <w:right w:w="70" w:type="dxa"/>
            </w:tcMar>
            <w:vAlign w:val="top"/>
          </w:tcPr>
          <w:p w14:paraId="6E6E451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964" w:type="dxa"/>
            <w:shd w:val="clear" w:color="auto" w:fill="auto"/>
            <w:tcMar>
              <w:top w:w="45" w:type="dxa"/>
              <w:left w:w="70" w:type="dxa"/>
              <w:bottom w:w="45" w:type="dxa"/>
              <w:right w:w="70" w:type="dxa"/>
            </w:tcMar>
            <w:vAlign w:val="top"/>
          </w:tcPr>
          <w:p w14:paraId="2D7CFEA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1417" w:type="dxa"/>
            <w:shd w:val="clear" w:color="auto" w:fill="auto"/>
            <w:tcMar>
              <w:top w:w="45" w:type="dxa"/>
              <w:left w:w="70" w:type="dxa"/>
              <w:bottom w:w="45" w:type="dxa"/>
              <w:right w:w="70" w:type="dxa"/>
            </w:tcMar>
            <w:vAlign w:val="top"/>
          </w:tcPr>
          <w:p w14:paraId="69E1D92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Diagnosis-based (ASD and ADHD; formal diagnostic-system codes required; study-specific diagnostic source not tabulated by the source review)</w:t>
            </w:r>
          </w:p>
        </w:tc>
        <w:tc>
          <w:tcPr>
            <w:tcW w:w="1757" w:type="dxa"/>
            <w:shd w:val="clear" w:color="auto" w:fill="auto"/>
            <w:tcMar>
              <w:top w:w="45" w:type="dxa"/>
              <w:left w:w="70" w:type="dxa"/>
              <w:bottom w:w="45" w:type="dxa"/>
              <w:right w:w="70" w:type="dxa"/>
            </w:tcMar>
            <w:vAlign w:val="top"/>
          </w:tcPr>
          <w:p w14:paraId="69C37BC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Review reports study design, indication, sample size, offspring follow-up/assessment age, outcomes, and covariate domains. Sex composition, birthweight, and comorbidities not tabulated at review level.</w:t>
            </w:r>
          </w:p>
        </w:tc>
        <w:tc>
          <w:tcPr>
            <w:tcW w:w="1701" w:type="dxa"/>
            <w:shd w:val="clear" w:color="auto" w:fill="auto"/>
            <w:tcMar>
              <w:top w:w="45" w:type="dxa"/>
              <w:left w:w="70" w:type="dxa"/>
              <w:bottom w:w="45" w:type="dxa"/>
              <w:right w:w="70" w:type="dxa"/>
            </w:tcMar>
            <w:vAlign w:val="top"/>
          </w:tcPr>
          <w:p w14:paraId="054E887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Methods; Table 1 (pp.672–674); DOI: 10.1111/acps.13797</w:t>
            </w:r>
          </w:p>
        </w:tc>
      </w:tr>
      <w:tr w14:paraId="2E657923">
        <w:trPr>
          <w:cantSplit/>
          <w:jc w:val="center"/>
        </w:trPr>
        <w:tc>
          <w:tcPr>
            <w:tcW w:w="992" w:type="dxa"/>
            <w:shd w:val="clear" w:color="auto" w:fill="auto"/>
            <w:tcMar>
              <w:top w:w="45" w:type="dxa"/>
              <w:left w:w="70" w:type="dxa"/>
              <w:bottom w:w="45" w:type="dxa"/>
              <w:right w:w="70" w:type="dxa"/>
            </w:tcMar>
            <w:vAlign w:val="top"/>
          </w:tcPr>
          <w:p w14:paraId="34D017A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Peron et al., 2024</w:t>
            </w:r>
          </w:p>
        </w:tc>
        <w:tc>
          <w:tcPr>
            <w:tcW w:w="709" w:type="dxa"/>
            <w:shd w:val="clear" w:color="auto" w:fill="auto"/>
            <w:tcMar>
              <w:top w:w="45" w:type="dxa"/>
              <w:left w:w="70" w:type="dxa"/>
              <w:bottom w:w="45" w:type="dxa"/>
              <w:right w:w="70" w:type="dxa"/>
            </w:tcMar>
            <w:vAlign w:val="top"/>
          </w:tcPr>
          <w:p w14:paraId="7386747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Neurodevelopmental</w:t>
            </w:r>
          </w:p>
        </w:tc>
        <w:tc>
          <w:tcPr>
            <w:tcW w:w="1502" w:type="dxa"/>
            <w:shd w:val="clear" w:color="auto" w:fill="auto"/>
            <w:tcMar>
              <w:top w:w="45" w:type="dxa"/>
              <w:left w:w="70" w:type="dxa"/>
              <w:bottom w:w="45" w:type="dxa"/>
              <w:right w:w="70" w:type="dxa"/>
            </w:tcMar>
            <w:vAlign w:val="top"/>
          </w:tcPr>
          <w:p w14:paraId="29ADD46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Children prenatally exposed to LTG monotherapy born to women with epilepsy, compared with a prespecified hierarchical/mixed untreated comparator set.</w:t>
            </w:r>
          </w:p>
        </w:tc>
        <w:tc>
          <w:tcPr>
            <w:tcW w:w="1304" w:type="dxa"/>
            <w:shd w:val="clear" w:color="auto" w:fill="auto"/>
            <w:tcMar>
              <w:top w:w="45" w:type="dxa"/>
              <w:left w:w="70" w:type="dxa"/>
              <w:bottom w:w="45" w:type="dxa"/>
              <w:right w:w="70" w:type="dxa"/>
            </w:tcMar>
            <w:vAlign w:val="top"/>
          </w:tcPr>
          <w:p w14:paraId="5FB8270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Epilepsy</w:t>
            </w:r>
          </w:p>
        </w:tc>
        <w:tc>
          <w:tcPr>
            <w:tcW w:w="1587" w:type="dxa"/>
            <w:shd w:val="clear" w:color="auto" w:fill="auto"/>
            <w:tcMar>
              <w:top w:w="45" w:type="dxa"/>
              <w:left w:w="70" w:type="dxa"/>
              <w:bottom w:w="45" w:type="dxa"/>
              <w:right w:w="70" w:type="dxa"/>
            </w:tcMar>
            <w:vAlign w:val="top"/>
          </w:tcPr>
          <w:p w14:paraId="130C12E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Cohort studies (outcome-specific meta-analyses; exact study counts vary by outcome)</w:t>
            </w:r>
          </w:p>
        </w:tc>
        <w:tc>
          <w:tcPr>
            <w:tcW w:w="992" w:type="dxa"/>
            <w:shd w:val="clear" w:color="auto" w:fill="auto"/>
            <w:tcMar>
              <w:top w:w="45" w:type="dxa"/>
              <w:left w:w="70" w:type="dxa"/>
              <w:bottom w:w="45" w:type="dxa"/>
              <w:right w:w="70" w:type="dxa"/>
            </w:tcMar>
            <w:vAlign w:val="top"/>
          </w:tcPr>
          <w:p w14:paraId="0955501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International / multiregional</w:t>
            </w:r>
          </w:p>
        </w:tc>
        <w:tc>
          <w:tcPr>
            <w:tcW w:w="1020" w:type="dxa"/>
            <w:shd w:val="clear" w:color="auto" w:fill="auto"/>
            <w:tcMar>
              <w:top w:w="45" w:type="dxa"/>
              <w:left w:w="70" w:type="dxa"/>
              <w:bottom w:w="45" w:type="dxa"/>
              <w:right w:w="70" w:type="dxa"/>
            </w:tcMar>
            <w:vAlign w:val="top"/>
          </w:tcPr>
          <w:p w14:paraId="4D0F6B0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Study-specific: 7 months to ~12 years (varies by outcome)</w:t>
            </w:r>
          </w:p>
        </w:tc>
        <w:tc>
          <w:tcPr>
            <w:tcW w:w="737" w:type="dxa"/>
            <w:shd w:val="clear" w:color="auto" w:fill="auto"/>
            <w:tcMar>
              <w:top w:w="45" w:type="dxa"/>
              <w:left w:w="70" w:type="dxa"/>
              <w:bottom w:w="45" w:type="dxa"/>
              <w:right w:w="70" w:type="dxa"/>
            </w:tcMar>
            <w:vAlign w:val="top"/>
          </w:tcPr>
          <w:p w14:paraId="58D70F1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737" w:type="dxa"/>
            <w:shd w:val="clear" w:color="auto" w:fill="auto"/>
            <w:tcMar>
              <w:top w:w="45" w:type="dxa"/>
              <w:left w:w="70" w:type="dxa"/>
              <w:bottom w:w="45" w:type="dxa"/>
              <w:right w:w="70" w:type="dxa"/>
            </w:tcMar>
            <w:vAlign w:val="top"/>
          </w:tcPr>
          <w:p w14:paraId="243371B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964" w:type="dxa"/>
            <w:shd w:val="clear" w:color="auto" w:fill="auto"/>
            <w:tcMar>
              <w:top w:w="45" w:type="dxa"/>
              <w:left w:w="70" w:type="dxa"/>
              <w:bottom w:w="45" w:type="dxa"/>
              <w:right w:w="70" w:type="dxa"/>
            </w:tcMar>
            <w:vAlign w:val="top"/>
          </w:tcPr>
          <w:p w14:paraId="141A8EC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1417" w:type="dxa"/>
            <w:shd w:val="clear" w:color="auto" w:fill="auto"/>
            <w:tcMar>
              <w:top w:w="45" w:type="dxa"/>
              <w:left w:w="70" w:type="dxa"/>
              <w:bottom w:w="45" w:type="dxa"/>
              <w:right w:w="70" w:type="dxa"/>
            </w:tcMar>
            <w:vAlign w:val="top"/>
          </w:tcPr>
          <w:p w14:paraId="648920F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Composite; language–motor assessment; mixed (by outcome: neurodevelopmental disorders overall by composite ICD/education criteria; language disorders by direct testing and/or parent report; psychomotor delay by direct motor scales and/or report; ASD and ADHD by diagnosis or parent screening)</w:t>
            </w:r>
          </w:p>
        </w:tc>
        <w:tc>
          <w:tcPr>
            <w:tcW w:w="1757" w:type="dxa"/>
            <w:shd w:val="clear" w:color="auto" w:fill="auto"/>
            <w:tcMar>
              <w:top w:w="45" w:type="dxa"/>
              <w:left w:w="70" w:type="dxa"/>
              <w:bottom w:w="45" w:type="dxa"/>
              <w:right w:w="70" w:type="dxa"/>
            </w:tcMar>
            <w:vAlign w:val="top"/>
          </w:tcPr>
          <w:p w14:paraId="3DDD6DD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Outcome ascertainment harmonized within each meta-analysis via correspondence matrix (ESM S2). Sex, birthweight, and comorbidities not tabulated. Comparator set follows a prespecified hierarchy (untreated WWE, then general population).</w:t>
            </w:r>
          </w:p>
        </w:tc>
        <w:tc>
          <w:tcPr>
            <w:tcW w:w="1701" w:type="dxa"/>
            <w:shd w:val="clear" w:color="auto" w:fill="auto"/>
            <w:tcMar>
              <w:top w:w="45" w:type="dxa"/>
              <w:left w:w="70" w:type="dxa"/>
              <w:bottom w:w="45" w:type="dxa"/>
              <w:right w:w="70" w:type="dxa"/>
            </w:tcMar>
            <w:vAlign w:val="top"/>
          </w:tcPr>
          <w:p w14:paraId="59F311F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Abstract; Methods; Results; Supplementary Material S2; DOI: 10.1186/s12884-023-06242-9</w:t>
            </w:r>
          </w:p>
        </w:tc>
      </w:tr>
      <w:tr w14:paraId="0065D6CD">
        <w:trPr>
          <w:cantSplit/>
          <w:jc w:val="center"/>
        </w:trPr>
        <w:tc>
          <w:tcPr>
            <w:tcW w:w="992" w:type="dxa"/>
            <w:shd w:val="clear" w:color="auto" w:fill="auto"/>
            <w:tcMar>
              <w:top w:w="45" w:type="dxa"/>
              <w:left w:w="70" w:type="dxa"/>
              <w:bottom w:w="45" w:type="dxa"/>
              <w:right w:w="70" w:type="dxa"/>
            </w:tcMar>
            <w:vAlign w:val="top"/>
          </w:tcPr>
          <w:p w14:paraId="41FB5B4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Amaral de Lara et al., 2025</w:t>
            </w:r>
          </w:p>
        </w:tc>
        <w:tc>
          <w:tcPr>
            <w:tcW w:w="709" w:type="dxa"/>
            <w:shd w:val="clear" w:color="auto" w:fill="auto"/>
            <w:tcMar>
              <w:top w:w="45" w:type="dxa"/>
              <w:left w:w="70" w:type="dxa"/>
              <w:bottom w:w="45" w:type="dxa"/>
              <w:right w:w="70" w:type="dxa"/>
            </w:tcMar>
            <w:vAlign w:val="top"/>
          </w:tcPr>
          <w:p w14:paraId="37D1819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Neurodevelopmental</w:t>
            </w:r>
          </w:p>
        </w:tc>
        <w:tc>
          <w:tcPr>
            <w:tcW w:w="1502" w:type="dxa"/>
            <w:shd w:val="clear" w:color="auto" w:fill="auto"/>
            <w:tcMar>
              <w:top w:w="45" w:type="dxa"/>
              <w:left w:w="70" w:type="dxa"/>
              <w:bottom w:w="45" w:type="dxa"/>
              <w:right w:w="70" w:type="dxa"/>
            </w:tcMar>
            <w:vAlign w:val="top"/>
          </w:tcPr>
          <w:p w14:paraId="4C08901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Mothers with or without epilepsy who used ASMs prenatally; offspring exposed in utero. Study-specific comparator composition not uniformly reported.</w:t>
            </w:r>
          </w:p>
        </w:tc>
        <w:tc>
          <w:tcPr>
            <w:tcW w:w="1304" w:type="dxa"/>
            <w:shd w:val="clear" w:color="auto" w:fill="auto"/>
            <w:tcMar>
              <w:top w:w="45" w:type="dxa"/>
              <w:left w:w="70" w:type="dxa"/>
              <w:bottom w:w="45" w:type="dxa"/>
              <w:right w:w="70" w:type="dxa"/>
            </w:tcMar>
            <w:vAlign w:val="top"/>
          </w:tcPr>
          <w:p w14:paraId="211F413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Epilepsy status mixed or partly unspecified; eligibility allowed mothers with or without epilepsy; study-level treatment indications not reported.</w:t>
            </w:r>
          </w:p>
        </w:tc>
        <w:tc>
          <w:tcPr>
            <w:tcW w:w="1587" w:type="dxa"/>
            <w:shd w:val="clear" w:color="auto" w:fill="auto"/>
            <w:tcMar>
              <w:top w:w="45" w:type="dxa"/>
              <w:left w:w="70" w:type="dxa"/>
              <w:bottom w:w="45" w:type="dxa"/>
              <w:right w:w="70" w:type="dxa"/>
            </w:tcMar>
            <w:vAlign w:val="top"/>
          </w:tcPr>
          <w:p w14:paraId="31F8ED0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Mixed: 8 cohort, 1 case-control, and 1 cross-sectional study</w:t>
            </w:r>
          </w:p>
        </w:tc>
        <w:tc>
          <w:tcPr>
            <w:tcW w:w="992" w:type="dxa"/>
            <w:shd w:val="clear" w:color="auto" w:fill="auto"/>
            <w:tcMar>
              <w:top w:w="45" w:type="dxa"/>
              <w:left w:w="70" w:type="dxa"/>
              <w:bottom w:w="45" w:type="dxa"/>
              <w:right w:w="70" w:type="dxa"/>
            </w:tcMar>
            <w:vAlign w:val="top"/>
          </w:tcPr>
          <w:p w14:paraId="64B69BC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1020" w:type="dxa"/>
            <w:shd w:val="clear" w:color="auto" w:fill="auto"/>
            <w:tcMar>
              <w:top w:w="45" w:type="dxa"/>
              <w:left w:w="70" w:type="dxa"/>
              <w:bottom w:w="45" w:type="dxa"/>
              <w:right w:w="70" w:type="dxa"/>
            </w:tcMar>
            <w:vAlign w:val="top"/>
          </w:tcPr>
          <w:p w14:paraId="3614DBD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Mean follow-up 2–22 years across included studies</w:t>
            </w:r>
          </w:p>
        </w:tc>
        <w:tc>
          <w:tcPr>
            <w:tcW w:w="737" w:type="dxa"/>
            <w:shd w:val="clear" w:color="auto" w:fill="auto"/>
            <w:tcMar>
              <w:top w:w="45" w:type="dxa"/>
              <w:left w:w="70" w:type="dxa"/>
              <w:bottom w:w="45" w:type="dxa"/>
              <w:right w:w="70" w:type="dxa"/>
            </w:tcMar>
            <w:vAlign w:val="top"/>
          </w:tcPr>
          <w:p w14:paraId="7294F13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737" w:type="dxa"/>
            <w:shd w:val="clear" w:color="auto" w:fill="auto"/>
            <w:tcMar>
              <w:top w:w="45" w:type="dxa"/>
              <w:left w:w="70" w:type="dxa"/>
              <w:bottom w:w="45" w:type="dxa"/>
              <w:right w:w="70" w:type="dxa"/>
            </w:tcMar>
            <w:vAlign w:val="top"/>
          </w:tcPr>
          <w:p w14:paraId="5DBF952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964" w:type="dxa"/>
            <w:shd w:val="clear" w:color="auto" w:fill="auto"/>
            <w:tcMar>
              <w:top w:w="45" w:type="dxa"/>
              <w:left w:w="70" w:type="dxa"/>
              <w:bottom w:w="45" w:type="dxa"/>
              <w:right w:w="70" w:type="dxa"/>
            </w:tcMar>
            <w:vAlign w:val="top"/>
          </w:tcPr>
          <w:p w14:paraId="3AC4F06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1417" w:type="dxa"/>
            <w:shd w:val="clear" w:color="auto" w:fill="auto"/>
            <w:tcMar>
              <w:top w:w="45" w:type="dxa"/>
              <w:left w:w="70" w:type="dxa"/>
              <w:bottom w:w="45" w:type="dxa"/>
              <w:right w:w="70" w:type="dxa"/>
            </w:tcMar>
            <w:vAlign w:val="top"/>
          </w:tcPr>
          <w:p w14:paraId="39E6A9B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Unclear (outcome ascertainment method not reported by source review)</w:t>
            </w:r>
          </w:p>
        </w:tc>
        <w:tc>
          <w:tcPr>
            <w:tcW w:w="1757" w:type="dxa"/>
            <w:shd w:val="clear" w:color="auto" w:fill="auto"/>
            <w:tcMar>
              <w:top w:w="45" w:type="dxa"/>
              <w:left w:w="70" w:type="dxa"/>
              <w:bottom w:w="45" w:type="dxa"/>
              <w:right w:w="70" w:type="dxa"/>
            </w:tcMar>
            <w:vAlign w:val="top"/>
          </w:tcPr>
          <w:p w14:paraId="1EC8204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Indication and comparator composition not systematically reported. Sex, birthweight, and offspring comorbidities not tabulated. Neither the analysis unit nor geographic coverage is reported.</w:t>
            </w:r>
          </w:p>
        </w:tc>
        <w:tc>
          <w:tcPr>
            <w:tcW w:w="1701" w:type="dxa"/>
            <w:shd w:val="clear" w:color="auto" w:fill="auto"/>
            <w:tcMar>
              <w:top w:w="45" w:type="dxa"/>
              <w:left w:w="70" w:type="dxa"/>
              <w:bottom w:w="45" w:type="dxa"/>
              <w:right w:w="70" w:type="dxa"/>
            </w:tcMar>
            <w:vAlign w:val="top"/>
          </w:tcPr>
          <w:p w14:paraId="5F4916C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pp.42–43, Methods/Results and Table 1; pp.44–46, subgroup and sensitivity analyses; DOI: 10.1016/j.seizure.2025.05.003</w:t>
            </w:r>
          </w:p>
        </w:tc>
      </w:tr>
      <w:tr w14:paraId="40CAD2C5">
        <w:trPr>
          <w:cantSplit/>
          <w:jc w:val="center"/>
        </w:trPr>
        <w:tc>
          <w:tcPr>
            <w:tcW w:w="992" w:type="dxa"/>
            <w:shd w:val="clear" w:color="auto" w:fill="auto"/>
            <w:tcMar>
              <w:top w:w="45" w:type="dxa"/>
              <w:left w:w="70" w:type="dxa"/>
              <w:bottom w:w="45" w:type="dxa"/>
              <w:right w:w="70" w:type="dxa"/>
            </w:tcMar>
            <w:vAlign w:val="top"/>
          </w:tcPr>
          <w:p w14:paraId="1A3CA74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Xu et al., 2024</w:t>
            </w:r>
          </w:p>
        </w:tc>
        <w:tc>
          <w:tcPr>
            <w:tcW w:w="709" w:type="dxa"/>
            <w:shd w:val="clear" w:color="auto" w:fill="auto"/>
            <w:tcMar>
              <w:top w:w="45" w:type="dxa"/>
              <w:left w:w="70" w:type="dxa"/>
              <w:bottom w:w="45" w:type="dxa"/>
              <w:right w:w="70" w:type="dxa"/>
            </w:tcMar>
            <w:vAlign w:val="top"/>
          </w:tcPr>
          <w:p w14:paraId="087E0CE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Neurodevelopmental</w:t>
            </w:r>
          </w:p>
        </w:tc>
        <w:tc>
          <w:tcPr>
            <w:tcW w:w="1502" w:type="dxa"/>
            <w:shd w:val="clear" w:color="auto" w:fill="auto"/>
            <w:tcMar>
              <w:top w:w="45" w:type="dxa"/>
              <w:left w:w="70" w:type="dxa"/>
              <w:bottom w:w="45" w:type="dxa"/>
              <w:right w:w="70" w:type="dxa"/>
            </w:tcMar>
            <w:vAlign w:val="top"/>
          </w:tcPr>
          <w:p w14:paraId="21E38F9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Offspring of mothers exposed to ASMs during pregnancy, including general-population and clinically indicated maternal cohorts.</w:t>
            </w:r>
          </w:p>
        </w:tc>
        <w:tc>
          <w:tcPr>
            <w:tcW w:w="1304" w:type="dxa"/>
            <w:shd w:val="clear" w:color="auto" w:fill="auto"/>
            <w:tcMar>
              <w:top w:w="45" w:type="dxa"/>
              <w:left w:w="70" w:type="dxa"/>
              <w:bottom w:w="45" w:type="dxa"/>
              <w:right w:w="70" w:type="dxa"/>
            </w:tcMar>
            <w:vAlign w:val="top"/>
          </w:tcPr>
          <w:p w14:paraId="6143ED7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Epilepsy and bipolar/psychiatric disorder; analyses also included general-population cohorts.</w:t>
            </w:r>
          </w:p>
        </w:tc>
        <w:tc>
          <w:tcPr>
            <w:tcW w:w="1587" w:type="dxa"/>
            <w:shd w:val="clear" w:color="auto" w:fill="auto"/>
            <w:tcMar>
              <w:top w:w="45" w:type="dxa"/>
              <w:left w:w="70" w:type="dxa"/>
              <w:bottom w:w="45" w:type="dxa"/>
              <w:right w:w="70" w:type="dxa"/>
            </w:tcMar>
            <w:vAlign w:val="top"/>
          </w:tcPr>
          <w:p w14:paraId="713C9DC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Population-based cohort studies (registry/administrative data source)</w:t>
            </w:r>
          </w:p>
        </w:tc>
        <w:tc>
          <w:tcPr>
            <w:tcW w:w="992" w:type="dxa"/>
            <w:shd w:val="clear" w:color="auto" w:fill="auto"/>
            <w:tcMar>
              <w:top w:w="45" w:type="dxa"/>
              <w:left w:w="70" w:type="dxa"/>
              <w:bottom w:w="45" w:type="dxa"/>
              <w:right w:w="70" w:type="dxa"/>
            </w:tcMar>
            <w:vAlign w:val="top"/>
          </w:tcPr>
          <w:p w14:paraId="1B152E3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International / multiregional</w:t>
            </w:r>
          </w:p>
        </w:tc>
        <w:tc>
          <w:tcPr>
            <w:tcW w:w="1020" w:type="dxa"/>
            <w:shd w:val="clear" w:color="auto" w:fill="auto"/>
            <w:tcMar>
              <w:top w:w="45" w:type="dxa"/>
              <w:left w:w="70" w:type="dxa"/>
              <w:bottom w:w="45" w:type="dxa"/>
              <w:right w:w="70" w:type="dxa"/>
            </w:tcMar>
            <w:vAlign w:val="top"/>
          </w:tcPr>
          <w:p w14:paraId="27A5B66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Offspring age cutoffs ranged from &lt;9 to &lt;22 years (study-specific)</w:t>
            </w:r>
          </w:p>
        </w:tc>
        <w:tc>
          <w:tcPr>
            <w:tcW w:w="737" w:type="dxa"/>
            <w:shd w:val="clear" w:color="auto" w:fill="auto"/>
            <w:tcMar>
              <w:top w:w="45" w:type="dxa"/>
              <w:left w:w="70" w:type="dxa"/>
              <w:bottom w:w="45" w:type="dxa"/>
              <w:right w:w="70" w:type="dxa"/>
            </w:tcMar>
            <w:vAlign w:val="top"/>
          </w:tcPr>
          <w:p w14:paraId="711DA78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Unclear</w:t>
            </w:r>
          </w:p>
        </w:tc>
        <w:tc>
          <w:tcPr>
            <w:tcW w:w="737" w:type="dxa"/>
            <w:shd w:val="clear" w:color="auto" w:fill="auto"/>
            <w:tcMar>
              <w:top w:w="45" w:type="dxa"/>
              <w:left w:w="70" w:type="dxa"/>
              <w:bottom w:w="45" w:type="dxa"/>
              <w:right w:w="70" w:type="dxa"/>
            </w:tcMar>
            <w:vAlign w:val="top"/>
          </w:tcPr>
          <w:p w14:paraId="628E954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964" w:type="dxa"/>
            <w:shd w:val="clear" w:color="auto" w:fill="auto"/>
            <w:tcMar>
              <w:top w:w="45" w:type="dxa"/>
              <w:left w:w="70" w:type="dxa"/>
              <w:bottom w:w="45" w:type="dxa"/>
              <w:right w:w="70" w:type="dxa"/>
            </w:tcMar>
            <w:vAlign w:val="top"/>
          </w:tcPr>
          <w:p w14:paraId="24C7E4C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1417" w:type="dxa"/>
            <w:shd w:val="clear" w:color="auto" w:fill="auto"/>
            <w:tcMar>
              <w:top w:w="45" w:type="dxa"/>
              <w:left w:w="70" w:type="dxa"/>
              <w:bottom w:w="45" w:type="dxa"/>
              <w:right w:w="70" w:type="dxa"/>
            </w:tcMar>
            <w:vAlign w:val="top"/>
          </w:tcPr>
          <w:p w14:paraId="6982769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Diagnosis-based (ASD: ICD-9-CM, ICD-10, or validated claims algorithm requiring ≥2 coded visits; ADHD: ICD codes or medication use; ascertainment via Nordic registers and administrative data)</w:t>
            </w:r>
          </w:p>
        </w:tc>
        <w:tc>
          <w:tcPr>
            <w:tcW w:w="1757" w:type="dxa"/>
            <w:shd w:val="clear" w:color="auto" w:fill="auto"/>
            <w:tcMar>
              <w:top w:w="45" w:type="dxa"/>
              <w:left w:w="70" w:type="dxa"/>
              <w:bottom w:w="45" w:type="dxa"/>
              <w:right w:w="70" w:type="dxa"/>
            </w:tcMar>
            <w:vAlign w:val="top"/>
          </w:tcPr>
          <w:p w14:paraId="736A893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Sex composition at review level is Unclear (varies across contributing primary studies; not consistently tabulated). Birthweight and comorbidities not tabulated. Data source is registry/administrative; study design uniformly described as population-based cohort.</w:t>
            </w:r>
          </w:p>
        </w:tc>
        <w:tc>
          <w:tcPr>
            <w:tcW w:w="1701" w:type="dxa"/>
            <w:shd w:val="clear" w:color="auto" w:fill="auto"/>
            <w:tcMar>
              <w:top w:w="45" w:type="dxa"/>
              <w:left w:w="70" w:type="dxa"/>
              <w:bottom w:w="45" w:type="dxa"/>
              <w:right w:w="70" w:type="dxa"/>
            </w:tcMar>
            <w:vAlign w:val="top"/>
          </w:tcPr>
          <w:p w14:paraId="6CACDA9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pp.4–6, Methods and Table 1; pp.6–8, meta-analysis and subgroup analyses; DOI: 10.3389/fneur.2024.1440145</w:t>
            </w:r>
          </w:p>
        </w:tc>
      </w:tr>
      <w:tr w14:paraId="3939ACED">
        <w:trPr>
          <w:cantSplit/>
          <w:jc w:val="center"/>
        </w:trPr>
        <w:tc>
          <w:tcPr>
            <w:tcW w:w="992" w:type="dxa"/>
            <w:shd w:val="clear" w:color="auto" w:fill="auto"/>
            <w:tcMar>
              <w:top w:w="45" w:type="dxa"/>
              <w:left w:w="70" w:type="dxa"/>
              <w:bottom w:w="45" w:type="dxa"/>
              <w:right w:w="70" w:type="dxa"/>
            </w:tcMar>
            <w:vAlign w:val="top"/>
          </w:tcPr>
          <w:p w14:paraId="24CB692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Veroniki et al., 2017b</w:t>
            </w:r>
          </w:p>
        </w:tc>
        <w:tc>
          <w:tcPr>
            <w:tcW w:w="709" w:type="dxa"/>
            <w:shd w:val="clear" w:color="auto" w:fill="auto"/>
            <w:tcMar>
              <w:top w:w="45" w:type="dxa"/>
              <w:left w:w="70" w:type="dxa"/>
              <w:bottom w:w="45" w:type="dxa"/>
              <w:right w:w="70" w:type="dxa"/>
            </w:tcMar>
            <w:vAlign w:val="top"/>
          </w:tcPr>
          <w:p w14:paraId="1C0103C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Neurodevelopmental</w:t>
            </w:r>
          </w:p>
        </w:tc>
        <w:tc>
          <w:tcPr>
            <w:tcW w:w="1502" w:type="dxa"/>
            <w:shd w:val="clear" w:color="auto" w:fill="auto"/>
            <w:tcMar>
              <w:top w:w="45" w:type="dxa"/>
              <w:left w:w="70" w:type="dxa"/>
              <w:bottom w:w="45" w:type="dxa"/>
              <w:right w:w="70" w:type="dxa"/>
            </w:tcMar>
            <w:vAlign w:val="top"/>
          </w:tcPr>
          <w:p w14:paraId="05AED1E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Infants and children aged ≤12 years exposed in utero and/or during breastfeeding to AEDs; control was no AED/placebo or another AED.</w:t>
            </w:r>
          </w:p>
        </w:tc>
        <w:tc>
          <w:tcPr>
            <w:tcW w:w="1304" w:type="dxa"/>
            <w:shd w:val="clear" w:color="auto" w:fill="auto"/>
            <w:tcMar>
              <w:top w:w="45" w:type="dxa"/>
              <w:left w:w="70" w:type="dxa"/>
              <w:bottom w:w="45" w:type="dxa"/>
              <w:right w:w="70" w:type="dxa"/>
            </w:tcMar>
            <w:vAlign w:val="top"/>
          </w:tcPr>
          <w:p w14:paraId="2157439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Predominantly epilepsy (23/29 studies); not reported in 6 studies.</w:t>
            </w:r>
          </w:p>
        </w:tc>
        <w:tc>
          <w:tcPr>
            <w:tcW w:w="1587" w:type="dxa"/>
            <w:shd w:val="clear" w:color="auto" w:fill="auto"/>
            <w:tcMar>
              <w:top w:w="45" w:type="dxa"/>
              <w:left w:w="70" w:type="dxa"/>
              <w:bottom w:w="45" w:type="dxa"/>
              <w:right w:w="70" w:type="dxa"/>
            </w:tcMar>
            <w:vAlign w:val="top"/>
          </w:tcPr>
          <w:p w14:paraId="5F20CB5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Cohort only: 29 cohort studies (11 registry-based; 18 non-registry)</w:t>
            </w:r>
          </w:p>
        </w:tc>
        <w:tc>
          <w:tcPr>
            <w:tcW w:w="992" w:type="dxa"/>
            <w:shd w:val="clear" w:color="auto" w:fill="auto"/>
            <w:tcMar>
              <w:top w:w="45" w:type="dxa"/>
              <w:left w:w="70" w:type="dxa"/>
              <w:bottom w:w="45" w:type="dxa"/>
              <w:right w:w="70" w:type="dxa"/>
            </w:tcMar>
            <w:vAlign w:val="top"/>
          </w:tcPr>
          <w:p w14:paraId="268D1DE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International / multiregional</w:t>
            </w:r>
          </w:p>
        </w:tc>
        <w:tc>
          <w:tcPr>
            <w:tcW w:w="1020" w:type="dxa"/>
            <w:shd w:val="clear" w:color="auto" w:fill="auto"/>
            <w:tcMar>
              <w:top w:w="45" w:type="dxa"/>
              <w:left w:w="70" w:type="dxa"/>
              <w:bottom w:w="45" w:type="dxa"/>
              <w:right w:w="70" w:type="dxa"/>
            </w:tcMar>
            <w:vAlign w:val="top"/>
          </w:tcPr>
          <w:p w14:paraId="04D06E2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Approximately 0.75–12 years; one source-study age range extended to 13 years.</w:t>
            </w:r>
          </w:p>
        </w:tc>
        <w:tc>
          <w:tcPr>
            <w:tcW w:w="737" w:type="dxa"/>
            <w:shd w:val="clear" w:color="auto" w:fill="auto"/>
            <w:tcMar>
              <w:top w:w="45" w:type="dxa"/>
              <w:left w:w="70" w:type="dxa"/>
              <w:bottom w:w="45" w:type="dxa"/>
              <w:right w:w="70" w:type="dxa"/>
            </w:tcMar>
            <w:vAlign w:val="top"/>
          </w:tcPr>
          <w:p w14:paraId="6059E6D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737" w:type="dxa"/>
            <w:shd w:val="clear" w:color="auto" w:fill="auto"/>
            <w:tcMar>
              <w:top w:w="45" w:type="dxa"/>
              <w:left w:w="70" w:type="dxa"/>
              <w:bottom w:w="45" w:type="dxa"/>
              <w:right w:w="70" w:type="dxa"/>
            </w:tcMar>
            <w:vAlign w:val="top"/>
          </w:tcPr>
          <w:p w14:paraId="30517B9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964" w:type="dxa"/>
            <w:shd w:val="clear" w:color="auto" w:fill="auto"/>
            <w:tcMar>
              <w:top w:w="45" w:type="dxa"/>
              <w:left w:w="70" w:type="dxa"/>
              <w:bottom w:w="45" w:type="dxa"/>
              <w:right w:w="70" w:type="dxa"/>
            </w:tcMar>
            <w:vAlign w:val="top"/>
          </w:tcPr>
          <w:p w14:paraId="1A459AA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Not reported</w:t>
            </w:r>
          </w:p>
        </w:tc>
        <w:tc>
          <w:tcPr>
            <w:tcW w:w="1417" w:type="dxa"/>
            <w:shd w:val="clear" w:color="auto" w:fill="auto"/>
            <w:tcMar>
              <w:top w:w="45" w:type="dxa"/>
              <w:left w:w="70" w:type="dxa"/>
              <w:bottom w:w="45" w:type="dxa"/>
              <w:right w:w="70" w:type="dxa"/>
            </w:tcMar>
            <w:vAlign w:val="top"/>
          </w:tcPr>
          <w:p w14:paraId="33E1A49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Direct cognitive/neuropsychological assessment; language–motor assessment; diagnosis-based (cognitive delay by named psychometric scales [Bayley, Griffiths, McCarthy, WPPSI, WISC-III, etc.]; psychomotor delay by motor scales and developmental records; language delay by named language scales; autism/dyspraxia by clinical assessment, ICD-10, or M-CHAT)</w:t>
            </w:r>
          </w:p>
        </w:tc>
        <w:tc>
          <w:tcPr>
            <w:tcW w:w="1757" w:type="dxa"/>
            <w:shd w:val="clear" w:color="auto" w:fill="auto"/>
            <w:tcMar>
              <w:top w:w="45" w:type="dxa"/>
              <w:left w:w="70" w:type="dxa"/>
              <w:bottom w:w="45" w:type="dxa"/>
              <w:right w:w="70" w:type="dxa"/>
            </w:tcMar>
            <w:vAlign w:val="top"/>
          </w:tcPr>
          <w:p w14:paraId="5F8156D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Sex, birthweight, and comorbidities were not tabulated at review level. The review synthesized multiple neurodevelopmental outcomes using network meta-analysis; these contextual analyses were not included in the formal pairwise credibility appraisal.</w:t>
            </w:r>
          </w:p>
        </w:tc>
        <w:tc>
          <w:tcPr>
            <w:tcW w:w="1701" w:type="dxa"/>
            <w:shd w:val="clear" w:color="auto" w:fill="auto"/>
            <w:tcMar>
              <w:top w:w="45" w:type="dxa"/>
              <w:left w:w="70" w:type="dxa"/>
              <w:bottom w:w="45" w:type="dxa"/>
              <w:right w:w="70" w:type="dxa"/>
            </w:tcMar>
            <w:vAlign w:val="top"/>
          </w:tcPr>
          <w:p w14:paraId="02726AB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2"/>
              </w:rPr>
              <w:t>p.1, Abstract; pp.2–4, Eligibility and methods; pp.3–6, Tables 1–2; DOI: 10.1136/bmjopen-2017-017248</w:t>
            </w:r>
          </w:p>
        </w:tc>
      </w:tr>
    </w:tbl>
    <w:p w14:paraId="237886E9">
      <w:pPr>
        <w:spacing w:before="20" w:after="60" w:line="360" w:lineRule="auto"/>
        <w:jc w:val="both"/>
        <w:rPr>
          <w:rFonts w:hint="default" w:ascii="Times New Roman Regular" w:hAnsi="Times New Roman Regular" w:cs="Times New Roman Regular"/>
          <w:i w:val="0"/>
          <w:iCs/>
          <w:color w:val="auto"/>
        </w:rPr>
      </w:pPr>
      <w:r>
        <w:rPr>
          <w:rFonts w:hint="default" w:ascii="Times New Roman Regular" w:hAnsi="Times New Roman Regular" w:cs="Times New Roman Regular"/>
          <w:b w:val="0"/>
          <w:i w:val="0"/>
          <w:iCs/>
          <w:color w:val="auto"/>
          <w:sz w:val="15"/>
        </w:rPr>
        <w:t>Column guide. “Maternal clinical population” and “Treatment indication” summarize the exposed population and clinical indication reported by each source review. “Primary-study design(s)” describes the review-level design composition and does not imply design-based weighting or post hoc modification of the anchor-review selection process. Offspring age/follow-up, sex composition, birthweight, and comorbidities are reported as review-level population characteristics. “Not reported” indicates that the characteristic was not described at the review level and does not imply that no contributing primary study measured or adjusted for that characteristic. Outcome ascertainment is summarized only for neurodevelopmental reviews and is not applicable to structural-outcome reviews. Source-review terminology was retained where necessary for specific outcome labels.</w:t>
      </w:r>
    </w:p>
    <w:p w14:paraId="291090FF">
      <w:pPr>
        <w:spacing w:before="20" w:after="100" w:line="360" w:lineRule="auto"/>
        <w:jc w:val="both"/>
        <w:rPr>
          <w:rFonts w:hint="default" w:ascii="Times New Roman Regular" w:hAnsi="Times New Roman Regular" w:cs="Times New Roman Regular"/>
          <w:b w:val="0"/>
          <w:i w:val="0"/>
          <w:color w:val="auto"/>
          <w:sz w:val="13"/>
        </w:rPr>
      </w:pPr>
      <w:r>
        <w:rPr>
          <w:rFonts w:hint="default" w:ascii="Times New Roman Regular" w:hAnsi="Times New Roman Regular" w:cs="Times New Roman Regular"/>
          <w:b w:val="0"/>
          <w:i w:val="0"/>
          <w:iCs/>
          <w:color w:val="auto"/>
          <w:sz w:val="15"/>
        </w:rPr>
        <w:t>Scope and analysis unit. This table presents descriptive review-level characteristics for all 14 included systematic reviews and meta-analyses, with one row per review. No pooled estimates, meta-regression, weighting, or inferential comparisons were performed.</w:t>
      </w:r>
    </w:p>
    <w:p w14:paraId="4C4B0C73">
      <w:pPr>
        <w:spacing w:before="100" w:after="60" w:line="360" w:lineRule="auto"/>
        <w:jc w:val="both"/>
        <w:rPr>
          <w:rFonts w:hint="default" w:ascii="Times New Roman Regular" w:hAnsi="Times New Roman Regular" w:cs="Times New Roman Regular"/>
          <w:color w:val="auto"/>
        </w:rPr>
      </w:pPr>
      <w:r>
        <w:rPr>
          <w:rFonts w:hint="default" w:ascii="Times New Roman Regular" w:hAnsi="Times New Roman Regular" w:cs="Times New Roman Regular"/>
          <w:b w:val="0"/>
          <w:i w:val="0"/>
          <w:color w:val="auto"/>
          <w:sz w:val="13"/>
        </w:rPr>
        <w:t>Abbreviations. AED, antiepileptic drug (historical source-review terminology); ADHD, attention-deficit/hyperactivity disorder; ASM, antiseizure medication; ASQ, Ages and Stages Questionnaire; ASD, autism spectrum disorder; DAS, Differential Ability Scales; ESM, electronic supplementary material; EURAP, European Registry of Antiepileptic Drugs and Pregnancy; EUROCAT, European Surveillance of Congenital Anomalies; ICD, International Classification of Diseases; LTG, lamotrigine; M-CHAT, Modified Checklist for Autism in Toddlers; MCM, major congenital malformation; NBDPS, National Birth Defects Prevention Study; NMA, network meta-analysis; NOS, Newcastle–Ottawa Scale; OXC, oxcarbazepine; PGB, pregabalin; RCT, randomized controlled trial; TPM, topiramate; VPA, valproic acid/valproate; WPPSI, Wechsler Preschool and Primary Scale of Intelligence; WISC-III, Wechsler Intelligence Scale for Children, third edition; WWE, women with epilepsy.</w:t>
      </w:r>
    </w:p>
    <w:p w14:paraId="09AAE648">
      <w:pPr>
        <w:rPr>
          <w:rFonts w:hint="default" w:ascii="Times New Roman Regular" w:hAnsi="Times New Roman Regular" w:cs="Times New Roman Regular"/>
          <w:color w:val="auto"/>
        </w:rPr>
        <w:sectPr>
          <w:pgSz w:w="16838" w:h="11906" w:orient="landscape"/>
          <w:pgMar w:top="624" w:right="454" w:bottom="624" w:left="454" w:header="720" w:footer="720" w:gutter="0"/>
          <w:cols w:space="720" w:num="1"/>
          <w:docGrid w:linePitch="360" w:charSpace="0"/>
        </w:sectPr>
      </w:pPr>
    </w:p>
    <w:p w14:paraId="028FAF48">
      <w:pPr>
        <w:spacing w:before="40" w:after="80"/>
        <w:rPr>
          <w:rFonts w:hint="default" w:ascii="Times New Roman Bold" w:hAnsi="Times New Roman Bold" w:cs="Times New Roman Bold"/>
          <w:b/>
          <w:bCs w:val="0"/>
          <w:color w:val="auto"/>
        </w:rPr>
      </w:pPr>
      <w:r>
        <w:rPr>
          <w:rFonts w:hint="default" w:ascii="Times New Roman Bold" w:hAnsi="Times New Roman Bold" w:cs="Times New Roman Bold"/>
          <w:b/>
          <w:bCs w:val="0"/>
          <w:i w:val="0"/>
          <w:color w:val="auto"/>
          <w:sz w:val="20"/>
        </w:rPr>
        <w:t xml:space="preserve">Supplementary Table </w:t>
      </w:r>
      <w:r>
        <w:rPr>
          <w:rFonts w:hint="eastAsia" w:ascii="Times New Roman Bold" w:hAnsi="Times New Roman Bold" w:eastAsia="宋体" w:cs="Times New Roman Bold"/>
          <w:b/>
          <w:bCs w:val="0"/>
          <w:i w:val="0"/>
          <w:color w:val="auto"/>
          <w:sz w:val="20"/>
          <w:lang w:eastAsia="zh-CN"/>
        </w:rPr>
        <w:t>7</w:t>
      </w:r>
      <w:r>
        <w:rPr>
          <w:rFonts w:hint="default" w:ascii="Times New Roman Bold" w:hAnsi="Times New Roman Bold" w:cs="Times New Roman Bold"/>
          <w:b/>
          <w:bCs w:val="0"/>
          <w:i w:val="0"/>
          <w:color w:val="auto"/>
          <w:sz w:val="20"/>
        </w:rPr>
        <w:t>B. Adjustment and covariate characteristics of the 17 formally retained anchor estimates</w:t>
      </w:r>
    </w:p>
    <w:p w14:paraId="0A78C0FD">
      <w:pPr>
        <w:spacing w:before="60" w:after="60"/>
        <w:rPr>
          <w:rFonts w:hint="default" w:ascii="Times New Roman Regular" w:hAnsi="Times New Roman Regular" w:cs="Times New Roman Regular"/>
          <w:color w:val="auto"/>
        </w:rPr>
      </w:pPr>
      <w:r>
        <w:rPr>
          <w:rFonts w:hint="default" w:ascii="Times New Roman Regular" w:hAnsi="Times New Roman Regular" w:cs="Times New Roman Regular"/>
          <w:b/>
          <w:i w:val="0"/>
          <w:color w:val="auto"/>
          <w:sz w:val="17"/>
        </w:rPr>
        <w:t>Panel A. Anchor estimates and evidence appraisal</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327"/>
        <w:gridCol w:w="1327"/>
        <w:gridCol w:w="1327"/>
        <w:gridCol w:w="1327"/>
        <w:gridCol w:w="1327"/>
        <w:gridCol w:w="1327"/>
        <w:gridCol w:w="1327"/>
        <w:gridCol w:w="1327"/>
        <w:gridCol w:w="1327"/>
        <w:gridCol w:w="1327"/>
        <w:gridCol w:w="1327"/>
        <w:gridCol w:w="1327"/>
      </w:tblGrid>
      <w:tr w14:paraId="62F63236">
        <w:trPr>
          <w:tblHeader/>
          <w:jc w:val="center"/>
        </w:trPr>
        <w:tc>
          <w:tcPr>
            <w:tcW w:w="369" w:type="dxa"/>
            <w:shd w:val="clear" w:color="auto" w:fill="auto"/>
            <w:tcMar>
              <w:top w:w="45" w:type="dxa"/>
              <w:left w:w="70" w:type="dxa"/>
              <w:bottom w:w="45" w:type="dxa"/>
              <w:right w:w="70" w:type="dxa"/>
            </w:tcMar>
            <w:vAlign w:val="top"/>
          </w:tcPr>
          <w:p w14:paraId="2A09D406">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3"/>
              </w:rPr>
              <w:t>No.</w:t>
            </w:r>
          </w:p>
        </w:tc>
        <w:tc>
          <w:tcPr>
            <w:tcW w:w="1191" w:type="dxa"/>
            <w:shd w:val="clear" w:color="auto" w:fill="auto"/>
            <w:tcMar>
              <w:top w:w="45" w:type="dxa"/>
              <w:left w:w="70" w:type="dxa"/>
              <w:bottom w:w="45" w:type="dxa"/>
              <w:right w:w="70" w:type="dxa"/>
            </w:tcMar>
            <w:vAlign w:val="top"/>
          </w:tcPr>
          <w:p w14:paraId="0BFE2D72">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3"/>
              </w:rPr>
              <w:t>Review</w:t>
            </w:r>
          </w:p>
        </w:tc>
        <w:tc>
          <w:tcPr>
            <w:tcW w:w="822" w:type="dxa"/>
            <w:shd w:val="clear" w:color="auto" w:fill="auto"/>
            <w:tcMar>
              <w:top w:w="45" w:type="dxa"/>
              <w:left w:w="70" w:type="dxa"/>
              <w:bottom w:w="45" w:type="dxa"/>
              <w:right w:w="70" w:type="dxa"/>
            </w:tcMar>
            <w:vAlign w:val="top"/>
          </w:tcPr>
          <w:p w14:paraId="4D3DD31E">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3"/>
              </w:rPr>
              <w:t>Domain</w:t>
            </w:r>
          </w:p>
        </w:tc>
        <w:tc>
          <w:tcPr>
            <w:tcW w:w="1304" w:type="dxa"/>
            <w:shd w:val="clear" w:color="auto" w:fill="auto"/>
            <w:tcMar>
              <w:top w:w="45" w:type="dxa"/>
              <w:left w:w="70" w:type="dxa"/>
              <w:bottom w:w="45" w:type="dxa"/>
              <w:right w:w="70" w:type="dxa"/>
            </w:tcMar>
            <w:vAlign w:val="top"/>
          </w:tcPr>
          <w:p w14:paraId="0ED65593">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3"/>
              </w:rPr>
              <w:t>Drug/exposure</w:t>
            </w:r>
          </w:p>
        </w:tc>
        <w:tc>
          <w:tcPr>
            <w:tcW w:w="1276" w:type="dxa"/>
            <w:shd w:val="clear" w:color="auto" w:fill="auto"/>
            <w:tcMar>
              <w:top w:w="45" w:type="dxa"/>
              <w:left w:w="70" w:type="dxa"/>
              <w:bottom w:w="45" w:type="dxa"/>
              <w:right w:w="70" w:type="dxa"/>
            </w:tcMar>
            <w:vAlign w:val="top"/>
          </w:tcPr>
          <w:p w14:paraId="39B6ACA6">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3"/>
              </w:rPr>
              <w:t>Outcome</w:t>
            </w:r>
          </w:p>
        </w:tc>
        <w:tc>
          <w:tcPr>
            <w:tcW w:w="1928" w:type="dxa"/>
            <w:shd w:val="clear" w:color="auto" w:fill="auto"/>
            <w:tcMar>
              <w:top w:w="45" w:type="dxa"/>
              <w:left w:w="70" w:type="dxa"/>
              <w:bottom w:w="45" w:type="dxa"/>
              <w:right w:w="70" w:type="dxa"/>
            </w:tcMar>
            <w:vAlign w:val="top"/>
          </w:tcPr>
          <w:p w14:paraId="14716A4F">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3"/>
              </w:rPr>
              <w:t>Comparator</w:t>
            </w:r>
          </w:p>
        </w:tc>
        <w:tc>
          <w:tcPr>
            <w:tcW w:w="1191" w:type="dxa"/>
            <w:shd w:val="clear" w:color="auto" w:fill="auto"/>
            <w:tcMar>
              <w:top w:w="45" w:type="dxa"/>
              <w:left w:w="70" w:type="dxa"/>
              <w:bottom w:w="45" w:type="dxa"/>
              <w:right w:w="70" w:type="dxa"/>
            </w:tcMar>
            <w:vAlign w:val="top"/>
          </w:tcPr>
          <w:p w14:paraId="42E9734F">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3"/>
              </w:rPr>
              <w:t>Effect estimate (95% CI)</w:t>
            </w:r>
          </w:p>
        </w:tc>
        <w:tc>
          <w:tcPr>
            <w:tcW w:w="822" w:type="dxa"/>
            <w:shd w:val="clear" w:color="auto" w:fill="auto"/>
            <w:tcMar>
              <w:top w:w="45" w:type="dxa"/>
              <w:left w:w="70" w:type="dxa"/>
              <w:bottom w:w="45" w:type="dxa"/>
              <w:right w:w="70" w:type="dxa"/>
            </w:tcMar>
            <w:vAlign w:val="top"/>
          </w:tcPr>
          <w:p w14:paraId="2B6FD13D">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3"/>
              </w:rPr>
              <w:t>Adjustment status</w:t>
            </w:r>
          </w:p>
        </w:tc>
        <w:tc>
          <w:tcPr>
            <w:tcW w:w="2268" w:type="dxa"/>
            <w:shd w:val="clear" w:color="auto" w:fill="auto"/>
            <w:tcMar>
              <w:top w:w="45" w:type="dxa"/>
              <w:left w:w="70" w:type="dxa"/>
              <w:bottom w:w="45" w:type="dxa"/>
              <w:right w:w="70" w:type="dxa"/>
            </w:tcMar>
            <w:vAlign w:val="top"/>
          </w:tcPr>
          <w:p w14:paraId="28BBFD97">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3"/>
              </w:rPr>
              <w:t>Source-reported sensitivity analysis</w:t>
            </w:r>
          </w:p>
        </w:tc>
        <w:tc>
          <w:tcPr>
            <w:tcW w:w="567" w:type="dxa"/>
            <w:shd w:val="clear" w:color="auto" w:fill="auto"/>
            <w:tcMar>
              <w:top w:w="45" w:type="dxa"/>
              <w:left w:w="70" w:type="dxa"/>
              <w:bottom w:w="45" w:type="dxa"/>
              <w:right w:w="70" w:type="dxa"/>
            </w:tcMar>
            <w:vAlign w:val="top"/>
          </w:tcPr>
          <w:p w14:paraId="62529A22">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3"/>
              </w:rPr>
              <w:t>GRADE</w:t>
            </w:r>
          </w:p>
        </w:tc>
        <w:tc>
          <w:tcPr>
            <w:tcW w:w="765" w:type="dxa"/>
            <w:shd w:val="clear" w:color="auto" w:fill="auto"/>
            <w:tcMar>
              <w:top w:w="45" w:type="dxa"/>
              <w:left w:w="70" w:type="dxa"/>
              <w:bottom w:w="45" w:type="dxa"/>
              <w:right w:w="70" w:type="dxa"/>
            </w:tcMar>
            <w:vAlign w:val="top"/>
          </w:tcPr>
          <w:p w14:paraId="7208A1E0">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3"/>
              </w:rPr>
              <w:t>Umbrella credibility</w:t>
            </w:r>
          </w:p>
        </w:tc>
        <w:tc>
          <w:tcPr>
            <w:tcW w:w="2324" w:type="dxa"/>
            <w:shd w:val="clear" w:color="auto" w:fill="auto"/>
            <w:tcMar>
              <w:top w:w="45" w:type="dxa"/>
              <w:left w:w="70" w:type="dxa"/>
              <w:bottom w:w="45" w:type="dxa"/>
              <w:right w:w="70" w:type="dxa"/>
            </w:tcMar>
            <w:vAlign w:val="top"/>
          </w:tcPr>
          <w:p w14:paraId="741E295D">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3"/>
              </w:rPr>
              <w:t>Source location</w:t>
            </w:r>
          </w:p>
        </w:tc>
      </w:tr>
      <w:tr w14:paraId="3DE254D3">
        <w:trPr>
          <w:cantSplit/>
          <w:jc w:val="center"/>
        </w:trPr>
        <w:tc>
          <w:tcPr>
            <w:tcW w:w="369" w:type="dxa"/>
            <w:shd w:val="clear" w:color="auto" w:fill="auto"/>
            <w:tcMar>
              <w:top w:w="45" w:type="dxa"/>
              <w:left w:w="70" w:type="dxa"/>
              <w:bottom w:w="45" w:type="dxa"/>
              <w:right w:w="70" w:type="dxa"/>
            </w:tcMar>
            <w:vAlign w:val="top"/>
          </w:tcPr>
          <w:p w14:paraId="53DA4AC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1</w:t>
            </w:r>
          </w:p>
        </w:tc>
        <w:tc>
          <w:tcPr>
            <w:tcW w:w="1191" w:type="dxa"/>
            <w:shd w:val="clear" w:color="auto" w:fill="auto"/>
            <w:tcMar>
              <w:top w:w="45" w:type="dxa"/>
              <w:left w:w="70" w:type="dxa"/>
              <w:bottom w:w="45" w:type="dxa"/>
              <w:right w:w="70" w:type="dxa"/>
            </w:tcMar>
            <w:vAlign w:val="top"/>
          </w:tcPr>
          <w:p w14:paraId="5C9D675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Yang et al., 2025</w:t>
            </w:r>
          </w:p>
        </w:tc>
        <w:tc>
          <w:tcPr>
            <w:tcW w:w="822" w:type="dxa"/>
            <w:shd w:val="clear" w:color="auto" w:fill="auto"/>
            <w:tcMar>
              <w:top w:w="45" w:type="dxa"/>
              <w:left w:w="70" w:type="dxa"/>
              <w:bottom w:w="45" w:type="dxa"/>
              <w:right w:w="70" w:type="dxa"/>
            </w:tcMar>
            <w:vAlign w:val="top"/>
          </w:tcPr>
          <w:p w14:paraId="344515B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Structural</w:t>
            </w:r>
          </w:p>
        </w:tc>
        <w:tc>
          <w:tcPr>
            <w:tcW w:w="1304" w:type="dxa"/>
            <w:shd w:val="clear" w:color="auto" w:fill="auto"/>
            <w:tcMar>
              <w:top w:w="45" w:type="dxa"/>
              <w:left w:w="70" w:type="dxa"/>
              <w:bottom w:w="45" w:type="dxa"/>
              <w:right w:w="70" w:type="dxa"/>
            </w:tcMar>
            <w:vAlign w:val="top"/>
          </w:tcPr>
          <w:p w14:paraId="6A8573E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Valproic acid monotherapy</w:t>
            </w:r>
          </w:p>
        </w:tc>
        <w:tc>
          <w:tcPr>
            <w:tcW w:w="1276" w:type="dxa"/>
            <w:shd w:val="clear" w:color="auto" w:fill="auto"/>
            <w:tcMar>
              <w:top w:w="45" w:type="dxa"/>
              <w:left w:w="70" w:type="dxa"/>
              <w:bottom w:w="45" w:type="dxa"/>
              <w:right w:w="70" w:type="dxa"/>
            </w:tcMar>
            <w:vAlign w:val="top"/>
          </w:tcPr>
          <w:p w14:paraId="3E810CE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Combined major congenital anomalies</w:t>
            </w:r>
          </w:p>
        </w:tc>
        <w:tc>
          <w:tcPr>
            <w:tcW w:w="1928" w:type="dxa"/>
            <w:shd w:val="clear" w:color="auto" w:fill="auto"/>
            <w:tcMar>
              <w:top w:w="45" w:type="dxa"/>
              <w:left w:w="70" w:type="dxa"/>
              <w:bottom w:w="45" w:type="dxa"/>
              <w:right w:w="70" w:type="dxa"/>
            </w:tcMar>
            <w:vAlign w:val="top"/>
          </w:tcPr>
          <w:p w14:paraId="640F9A9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Other antiepileptic drug groups</w:t>
            </w:r>
          </w:p>
        </w:tc>
        <w:tc>
          <w:tcPr>
            <w:tcW w:w="1191" w:type="dxa"/>
            <w:shd w:val="clear" w:color="auto" w:fill="auto"/>
            <w:tcMar>
              <w:top w:w="45" w:type="dxa"/>
              <w:left w:w="70" w:type="dxa"/>
              <w:bottom w:w="45" w:type="dxa"/>
              <w:right w:w="70" w:type="dxa"/>
            </w:tcMar>
            <w:vAlign w:val="top"/>
          </w:tcPr>
          <w:p w14:paraId="0EC3B94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RR 2.36 (2.17–2.56)</w:t>
            </w:r>
          </w:p>
        </w:tc>
        <w:tc>
          <w:tcPr>
            <w:tcW w:w="822" w:type="dxa"/>
            <w:shd w:val="clear" w:color="auto" w:fill="auto"/>
            <w:tcMar>
              <w:top w:w="45" w:type="dxa"/>
              <w:left w:w="70" w:type="dxa"/>
              <w:bottom w:w="45" w:type="dxa"/>
              <w:right w:w="70" w:type="dxa"/>
            </w:tcMar>
            <w:vAlign w:val="top"/>
          </w:tcPr>
          <w:p w14:paraId="4FBB25C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Unadjusted</w:t>
            </w:r>
          </w:p>
        </w:tc>
        <w:tc>
          <w:tcPr>
            <w:tcW w:w="2268" w:type="dxa"/>
            <w:shd w:val="clear" w:color="auto" w:fill="auto"/>
            <w:tcMar>
              <w:top w:w="45" w:type="dxa"/>
              <w:left w:w="70" w:type="dxa"/>
              <w:bottom w:w="45" w:type="dxa"/>
              <w:right w:w="70" w:type="dxa"/>
            </w:tcMar>
            <w:vAlign w:val="top"/>
          </w:tcPr>
          <w:p w14:paraId="1B8C096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No design- or covariate-specific pooled analysis reported</w:t>
            </w:r>
          </w:p>
        </w:tc>
        <w:tc>
          <w:tcPr>
            <w:tcW w:w="567" w:type="dxa"/>
            <w:shd w:val="clear" w:color="auto" w:fill="auto"/>
            <w:tcMar>
              <w:top w:w="45" w:type="dxa"/>
              <w:left w:w="70" w:type="dxa"/>
              <w:bottom w:w="45" w:type="dxa"/>
              <w:right w:w="70" w:type="dxa"/>
            </w:tcMar>
            <w:vAlign w:val="top"/>
          </w:tcPr>
          <w:p w14:paraId="6970F8B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Low</w:t>
            </w:r>
          </w:p>
        </w:tc>
        <w:tc>
          <w:tcPr>
            <w:tcW w:w="765" w:type="dxa"/>
            <w:shd w:val="clear" w:color="auto" w:fill="auto"/>
            <w:tcMar>
              <w:top w:w="45" w:type="dxa"/>
              <w:left w:w="70" w:type="dxa"/>
              <w:bottom w:w="45" w:type="dxa"/>
              <w:right w:w="70" w:type="dxa"/>
            </w:tcMar>
            <w:vAlign w:val="top"/>
          </w:tcPr>
          <w:p w14:paraId="20A48C2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Class I</w:t>
            </w:r>
          </w:p>
        </w:tc>
        <w:tc>
          <w:tcPr>
            <w:tcW w:w="2324" w:type="dxa"/>
            <w:shd w:val="clear" w:color="auto" w:fill="auto"/>
            <w:tcMar>
              <w:top w:w="45" w:type="dxa"/>
              <w:left w:w="70" w:type="dxa"/>
              <w:bottom w:w="45" w:type="dxa"/>
              <w:right w:w="70" w:type="dxa"/>
            </w:tcMar>
            <w:vAlign w:val="top"/>
          </w:tcPr>
          <w:p w14:paraId="7075744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Main PDF pp.2–3, Sections 2.5 and 3.2.1–3.2.6; p.8, Figure 2; Supporting Information S1, outcome columns J–O</w:t>
            </w:r>
          </w:p>
        </w:tc>
      </w:tr>
      <w:tr w14:paraId="76FB92E7">
        <w:trPr>
          <w:cantSplit/>
          <w:jc w:val="center"/>
        </w:trPr>
        <w:tc>
          <w:tcPr>
            <w:tcW w:w="369" w:type="dxa"/>
            <w:shd w:val="clear" w:color="auto" w:fill="auto"/>
            <w:tcMar>
              <w:top w:w="45" w:type="dxa"/>
              <w:left w:w="70" w:type="dxa"/>
              <w:bottom w:w="45" w:type="dxa"/>
              <w:right w:w="70" w:type="dxa"/>
            </w:tcMar>
            <w:vAlign w:val="top"/>
          </w:tcPr>
          <w:p w14:paraId="4142BBA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2</w:t>
            </w:r>
          </w:p>
        </w:tc>
        <w:tc>
          <w:tcPr>
            <w:tcW w:w="1191" w:type="dxa"/>
            <w:shd w:val="clear" w:color="auto" w:fill="auto"/>
            <w:tcMar>
              <w:top w:w="45" w:type="dxa"/>
              <w:left w:w="70" w:type="dxa"/>
              <w:bottom w:w="45" w:type="dxa"/>
              <w:right w:w="70" w:type="dxa"/>
            </w:tcMar>
            <w:vAlign w:val="top"/>
          </w:tcPr>
          <w:p w14:paraId="1FB85ED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Yang et al., 2025</w:t>
            </w:r>
          </w:p>
        </w:tc>
        <w:tc>
          <w:tcPr>
            <w:tcW w:w="822" w:type="dxa"/>
            <w:shd w:val="clear" w:color="auto" w:fill="auto"/>
            <w:tcMar>
              <w:top w:w="45" w:type="dxa"/>
              <w:left w:w="70" w:type="dxa"/>
              <w:bottom w:w="45" w:type="dxa"/>
              <w:right w:w="70" w:type="dxa"/>
            </w:tcMar>
            <w:vAlign w:val="top"/>
          </w:tcPr>
          <w:p w14:paraId="56B22E4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Structural</w:t>
            </w:r>
          </w:p>
        </w:tc>
        <w:tc>
          <w:tcPr>
            <w:tcW w:w="1304" w:type="dxa"/>
            <w:shd w:val="clear" w:color="auto" w:fill="auto"/>
            <w:tcMar>
              <w:top w:w="45" w:type="dxa"/>
              <w:left w:w="70" w:type="dxa"/>
              <w:bottom w:w="45" w:type="dxa"/>
              <w:right w:w="70" w:type="dxa"/>
            </w:tcMar>
            <w:vAlign w:val="top"/>
          </w:tcPr>
          <w:p w14:paraId="522E61B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Valproic acid monotherapy</w:t>
            </w:r>
          </w:p>
        </w:tc>
        <w:tc>
          <w:tcPr>
            <w:tcW w:w="1276" w:type="dxa"/>
            <w:shd w:val="clear" w:color="auto" w:fill="auto"/>
            <w:tcMar>
              <w:top w:w="45" w:type="dxa"/>
              <w:left w:w="70" w:type="dxa"/>
              <w:bottom w:w="45" w:type="dxa"/>
              <w:right w:w="70" w:type="dxa"/>
            </w:tcMar>
            <w:vAlign w:val="top"/>
          </w:tcPr>
          <w:p w14:paraId="79DE028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Neural tube defects</w:t>
            </w:r>
          </w:p>
        </w:tc>
        <w:tc>
          <w:tcPr>
            <w:tcW w:w="1928" w:type="dxa"/>
            <w:shd w:val="clear" w:color="auto" w:fill="auto"/>
            <w:tcMar>
              <w:top w:w="45" w:type="dxa"/>
              <w:left w:w="70" w:type="dxa"/>
              <w:bottom w:w="45" w:type="dxa"/>
              <w:right w:w="70" w:type="dxa"/>
            </w:tcMar>
            <w:vAlign w:val="top"/>
          </w:tcPr>
          <w:p w14:paraId="4D5923C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Other antiepileptic drug groups</w:t>
            </w:r>
          </w:p>
        </w:tc>
        <w:tc>
          <w:tcPr>
            <w:tcW w:w="1191" w:type="dxa"/>
            <w:shd w:val="clear" w:color="auto" w:fill="auto"/>
            <w:tcMar>
              <w:top w:w="45" w:type="dxa"/>
              <w:left w:w="70" w:type="dxa"/>
              <w:bottom w:w="45" w:type="dxa"/>
              <w:right w:w="70" w:type="dxa"/>
            </w:tcMar>
            <w:vAlign w:val="top"/>
          </w:tcPr>
          <w:p w14:paraId="296B97E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RR 6.54 (4.51–9.47)</w:t>
            </w:r>
          </w:p>
        </w:tc>
        <w:tc>
          <w:tcPr>
            <w:tcW w:w="822" w:type="dxa"/>
            <w:shd w:val="clear" w:color="auto" w:fill="auto"/>
            <w:tcMar>
              <w:top w:w="45" w:type="dxa"/>
              <w:left w:w="70" w:type="dxa"/>
              <w:bottom w:w="45" w:type="dxa"/>
              <w:right w:w="70" w:type="dxa"/>
            </w:tcMar>
            <w:vAlign w:val="top"/>
          </w:tcPr>
          <w:p w14:paraId="72B632F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Unadjusted</w:t>
            </w:r>
          </w:p>
        </w:tc>
        <w:tc>
          <w:tcPr>
            <w:tcW w:w="2268" w:type="dxa"/>
            <w:shd w:val="clear" w:color="auto" w:fill="auto"/>
            <w:tcMar>
              <w:top w:w="45" w:type="dxa"/>
              <w:left w:w="70" w:type="dxa"/>
              <w:bottom w:w="45" w:type="dxa"/>
              <w:right w:w="70" w:type="dxa"/>
            </w:tcMar>
            <w:vAlign w:val="top"/>
          </w:tcPr>
          <w:p w14:paraId="4322B65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No design- or covariate-specific pooled analysis reported</w:t>
            </w:r>
          </w:p>
        </w:tc>
        <w:tc>
          <w:tcPr>
            <w:tcW w:w="567" w:type="dxa"/>
            <w:shd w:val="clear" w:color="auto" w:fill="auto"/>
            <w:tcMar>
              <w:top w:w="45" w:type="dxa"/>
              <w:left w:w="70" w:type="dxa"/>
              <w:bottom w:w="45" w:type="dxa"/>
              <w:right w:w="70" w:type="dxa"/>
            </w:tcMar>
            <w:vAlign w:val="top"/>
          </w:tcPr>
          <w:p w14:paraId="1948AB0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Low</w:t>
            </w:r>
          </w:p>
        </w:tc>
        <w:tc>
          <w:tcPr>
            <w:tcW w:w="765" w:type="dxa"/>
            <w:shd w:val="clear" w:color="auto" w:fill="auto"/>
            <w:tcMar>
              <w:top w:w="45" w:type="dxa"/>
              <w:left w:w="70" w:type="dxa"/>
              <w:bottom w:w="45" w:type="dxa"/>
              <w:right w:w="70" w:type="dxa"/>
            </w:tcMar>
            <w:vAlign w:val="top"/>
          </w:tcPr>
          <w:p w14:paraId="0A603FE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Class IV</w:t>
            </w:r>
          </w:p>
        </w:tc>
        <w:tc>
          <w:tcPr>
            <w:tcW w:w="2324" w:type="dxa"/>
            <w:shd w:val="clear" w:color="auto" w:fill="auto"/>
            <w:tcMar>
              <w:top w:w="45" w:type="dxa"/>
              <w:left w:w="70" w:type="dxa"/>
              <w:bottom w:w="45" w:type="dxa"/>
              <w:right w:w="70" w:type="dxa"/>
            </w:tcMar>
            <w:vAlign w:val="top"/>
          </w:tcPr>
          <w:p w14:paraId="2C26863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Main PDF pp.2–3, Sections 2.5 and 3.2.1–3.2.6; p.8, Figure 2; Supporting Information S1, outcome columns J–O</w:t>
            </w:r>
          </w:p>
        </w:tc>
      </w:tr>
      <w:tr w14:paraId="4A0BF534">
        <w:trPr>
          <w:cantSplit/>
          <w:jc w:val="center"/>
        </w:trPr>
        <w:tc>
          <w:tcPr>
            <w:tcW w:w="369" w:type="dxa"/>
            <w:shd w:val="clear" w:color="auto" w:fill="auto"/>
            <w:tcMar>
              <w:top w:w="45" w:type="dxa"/>
              <w:left w:w="70" w:type="dxa"/>
              <w:bottom w:w="45" w:type="dxa"/>
              <w:right w:w="70" w:type="dxa"/>
            </w:tcMar>
            <w:vAlign w:val="top"/>
          </w:tcPr>
          <w:p w14:paraId="27A0018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3</w:t>
            </w:r>
          </w:p>
        </w:tc>
        <w:tc>
          <w:tcPr>
            <w:tcW w:w="1191" w:type="dxa"/>
            <w:shd w:val="clear" w:color="auto" w:fill="auto"/>
            <w:tcMar>
              <w:top w:w="45" w:type="dxa"/>
              <w:left w:w="70" w:type="dxa"/>
              <w:bottom w:w="45" w:type="dxa"/>
              <w:right w:w="70" w:type="dxa"/>
            </w:tcMar>
            <w:vAlign w:val="top"/>
          </w:tcPr>
          <w:p w14:paraId="3348995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Yang et al., 2025</w:t>
            </w:r>
          </w:p>
        </w:tc>
        <w:tc>
          <w:tcPr>
            <w:tcW w:w="822" w:type="dxa"/>
            <w:shd w:val="clear" w:color="auto" w:fill="auto"/>
            <w:tcMar>
              <w:top w:w="45" w:type="dxa"/>
              <w:left w:w="70" w:type="dxa"/>
              <w:bottom w:w="45" w:type="dxa"/>
              <w:right w:w="70" w:type="dxa"/>
            </w:tcMar>
            <w:vAlign w:val="top"/>
          </w:tcPr>
          <w:p w14:paraId="4AB4ABB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Structural</w:t>
            </w:r>
          </w:p>
        </w:tc>
        <w:tc>
          <w:tcPr>
            <w:tcW w:w="1304" w:type="dxa"/>
            <w:shd w:val="clear" w:color="auto" w:fill="auto"/>
            <w:tcMar>
              <w:top w:w="45" w:type="dxa"/>
              <w:left w:w="70" w:type="dxa"/>
              <w:bottom w:w="45" w:type="dxa"/>
              <w:right w:w="70" w:type="dxa"/>
            </w:tcMar>
            <w:vAlign w:val="top"/>
          </w:tcPr>
          <w:p w14:paraId="257D20D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Valproic acid monotherapy</w:t>
            </w:r>
          </w:p>
        </w:tc>
        <w:tc>
          <w:tcPr>
            <w:tcW w:w="1276" w:type="dxa"/>
            <w:shd w:val="clear" w:color="auto" w:fill="auto"/>
            <w:tcMar>
              <w:top w:w="45" w:type="dxa"/>
              <w:left w:w="70" w:type="dxa"/>
              <w:bottom w:w="45" w:type="dxa"/>
              <w:right w:w="70" w:type="dxa"/>
            </w:tcMar>
            <w:vAlign w:val="top"/>
          </w:tcPr>
          <w:p w14:paraId="121DEA8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Congenital heart defects</w:t>
            </w:r>
          </w:p>
        </w:tc>
        <w:tc>
          <w:tcPr>
            <w:tcW w:w="1928" w:type="dxa"/>
            <w:shd w:val="clear" w:color="auto" w:fill="auto"/>
            <w:tcMar>
              <w:top w:w="45" w:type="dxa"/>
              <w:left w:w="70" w:type="dxa"/>
              <w:bottom w:w="45" w:type="dxa"/>
              <w:right w:w="70" w:type="dxa"/>
            </w:tcMar>
            <w:vAlign w:val="top"/>
          </w:tcPr>
          <w:p w14:paraId="11F5D95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Other antiepileptic drug groups</w:t>
            </w:r>
          </w:p>
        </w:tc>
        <w:tc>
          <w:tcPr>
            <w:tcW w:w="1191" w:type="dxa"/>
            <w:shd w:val="clear" w:color="auto" w:fill="auto"/>
            <w:tcMar>
              <w:top w:w="45" w:type="dxa"/>
              <w:left w:w="70" w:type="dxa"/>
              <w:bottom w:w="45" w:type="dxa"/>
              <w:right w:w="70" w:type="dxa"/>
            </w:tcMar>
            <w:vAlign w:val="top"/>
          </w:tcPr>
          <w:p w14:paraId="33115B9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RR 2.53 (2.16–2.96)</w:t>
            </w:r>
          </w:p>
        </w:tc>
        <w:tc>
          <w:tcPr>
            <w:tcW w:w="822" w:type="dxa"/>
            <w:shd w:val="clear" w:color="auto" w:fill="auto"/>
            <w:tcMar>
              <w:top w:w="45" w:type="dxa"/>
              <w:left w:w="70" w:type="dxa"/>
              <w:bottom w:w="45" w:type="dxa"/>
              <w:right w:w="70" w:type="dxa"/>
            </w:tcMar>
            <w:vAlign w:val="top"/>
          </w:tcPr>
          <w:p w14:paraId="6E49B04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Unadjusted</w:t>
            </w:r>
          </w:p>
        </w:tc>
        <w:tc>
          <w:tcPr>
            <w:tcW w:w="2268" w:type="dxa"/>
            <w:shd w:val="clear" w:color="auto" w:fill="auto"/>
            <w:tcMar>
              <w:top w:w="45" w:type="dxa"/>
              <w:left w:w="70" w:type="dxa"/>
              <w:bottom w:w="45" w:type="dxa"/>
              <w:right w:w="70" w:type="dxa"/>
            </w:tcMar>
            <w:vAlign w:val="top"/>
          </w:tcPr>
          <w:p w14:paraId="536F702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No design- or covariate-specific pooled analysis reported</w:t>
            </w:r>
          </w:p>
        </w:tc>
        <w:tc>
          <w:tcPr>
            <w:tcW w:w="567" w:type="dxa"/>
            <w:shd w:val="clear" w:color="auto" w:fill="auto"/>
            <w:tcMar>
              <w:top w:w="45" w:type="dxa"/>
              <w:left w:w="70" w:type="dxa"/>
              <w:bottom w:w="45" w:type="dxa"/>
              <w:right w:w="70" w:type="dxa"/>
            </w:tcMar>
            <w:vAlign w:val="top"/>
          </w:tcPr>
          <w:p w14:paraId="16C80B5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Low</w:t>
            </w:r>
          </w:p>
        </w:tc>
        <w:tc>
          <w:tcPr>
            <w:tcW w:w="765" w:type="dxa"/>
            <w:shd w:val="clear" w:color="auto" w:fill="auto"/>
            <w:tcMar>
              <w:top w:w="45" w:type="dxa"/>
              <w:left w:w="70" w:type="dxa"/>
              <w:bottom w:w="45" w:type="dxa"/>
              <w:right w:w="70" w:type="dxa"/>
            </w:tcMar>
            <w:vAlign w:val="top"/>
          </w:tcPr>
          <w:p w14:paraId="6AF7DA5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Class IV</w:t>
            </w:r>
          </w:p>
        </w:tc>
        <w:tc>
          <w:tcPr>
            <w:tcW w:w="2324" w:type="dxa"/>
            <w:shd w:val="clear" w:color="auto" w:fill="auto"/>
            <w:tcMar>
              <w:top w:w="45" w:type="dxa"/>
              <w:left w:w="70" w:type="dxa"/>
              <w:bottom w:w="45" w:type="dxa"/>
              <w:right w:w="70" w:type="dxa"/>
            </w:tcMar>
            <w:vAlign w:val="top"/>
          </w:tcPr>
          <w:p w14:paraId="51FDEDF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Main PDF pp.2–3, Sections 2.5 and 3.2.1–3.2.6; p.8, Figure 2; Supporting Information S1, outcome columns J–O</w:t>
            </w:r>
          </w:p>
        </w:tc>
      </w:tr>
      <w:tr w14:paraId="0516EF70">
        <w:trPr>
          <w:cantSplit/>
          <w:jc w:val="center"/>
        </w:trPr>
        <w:tc>
          <w:tcPr>
            <w:tcW w:w="369" w:type="dxa"/>
            <w:shd w:val="clear" w:color="auto" w:fill="auto"/>
            <w:tcMar>
              <w:top w:w="45" w:type="dxa"/>
              <w:left w:w="70" w:type="dxa"/>
              <w:bottom w:w="45" w:type="dxa"/>
              <w:right w:w="70" w:type="dxa"/>
            </w:tcMar>
            <w:vAlign w:val="top"/>
          </w:tcPr>
          <w:p w14:paraId="1115DEF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4</w:t>
            </w:r>
          </w:p>
        </w:tc>
        <w:tc>
          <w:tcPr>
            <w:tcW w:w="1191" w:type="dxa"/>
            <w:shd w:val="clear" w:color="auto" w:fill="auto"/>
            <w:tcMar>
              <w:top w:w="45" w:type="dxa"/>
              <w:left w:w="70" w:type="dxa"/>
              <w:bottom w:w="45" w:type="dxa"/>
              <w:right w:w="70" w:type="dxa"/>
            </w:tcMar>
            <w:vAlign w:val="top"/>
          </w:tcPr>
          <w:p w14:paraId="508D571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Yang et al., 2025</w:t>
            </w:r>
          </w:p>
        </w:tc>
        <w:tc>
          <w:tcPr>
            <w:tcW w:w="822" w:type="dxa"/>
            <w:shd w:val="clear" w:color="auto" w:fill="auto"/>
            <w:tcMar>
              <w:top w:w="45" w:type="dxa"/>
              <w:left w:w="70" w:type="dxa"/>
              <w:bottom w:w="45" w:type="dxa"/>
              <w:right w:w="70" w:type="dxa"/>
            </w:tcMar>
            <w:vAlign w:val="top"/>
          </w:tcPr>
          <w:p w14:paraId="2AB7EEB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Structural</w:t>
            </w:r>
          </w:p>
        </w:tc>
        <w:tc>
          <w:tcPr>
            <w:tcW w:w="1304" w:type="dxa"/>
            <w:shd w:val="clear" w:color="auto" w:fill="auto"/>
            <w:tcMar>
              <w:top w:w="45" w:type="dxa"/>
              <w:left w:w="70" w:type="dxa"/>
              <w:bottom w:w="45" w:type="dxa"/>
              <w:right w:w="70" w:type="dxa"/>
            </w:tcMar>
            <w:vAlign w:val="top"/>
          </w:tcPr>
          <w:p w14:paraId="66893AF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Valproic acid monotherapy</w:t>
            </w:r>
          </w:p>
        </w:tc>
        <w:tc>
          <w:tcPr>
            <w:tcW w:w="1276" w:type="dxa"/>
            <w:shd w:val="clear" w:color="auto" w:fill="auto"/>
            <w:tcMar>
              <w:top w:w="45" w:type="dxa"/>
              <w:left w:w="70" w:type="dxa"/>
              <w:bottom w:w="45" w:type="dxa"/>
              <w:right w:w="70" w:type="dxa"/>
            </w:tcMar>
            <w:vAlign w:val="top"/>
          </w:tcPr>
          <w:p w14:paraId="7D28B7E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Cleft lip and/or palate</w:t>
            </w:r>
          </w:p>
        </w:tc>
        <w:tc>
          <w:tcPr>
            <w:tcW w:w="1928" w:type="dxa"/>
            <w:shd w:val="clear" w:color="auto" w:fill="auto"/>
            <w:tcMar>
              <w:top w:w="45" w:type="dxa"/>
              <w:left w:w="70" w:type="dxa"/>
              <w:bottom w:w="45" w:type="dxa"/>
              <w:right w:w="70" w:type="dxa"/>
            </w:tcMar>
            <w:vAlign w:val="top"/>
          </w:tcPr>
          <w:p w14:paraId="5789D30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Other antiepileptic drug groups</w:t>
            </w:r>
          </w:p>
        </w:tc>
        <w:tc>
          <w:tcPr>
            <w:tcW w:w="1191" w:type="dxa"/>
            <w:shd w:val="clear" w:color="auto" w:fill="auto"/>
            <w:tcMar>
              <w:top w:w="45" w:type="dxa"/>
              <w:left w:w="70" w:type="dxa"/>
              <w:bottom w:w="45" w:type="dxa"/>
              <w:right w:w="70" w:type="dxa"/>
            </w:tcMar>
            <w:vAlign w:val="top"/>
          </w:tcPr>
          <w:p w14:paraId="571AD5C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RR 4.31 (3.06–6.08)</w:t>
            </w:r>
          </w:p>
        </w:tc>
        <w:tc>
          <w:tcPr>
            <w:tcW w:w="822" w:type="dxa"/>
            <w:shd w:val="clear" w:color="auto" w:fill="auto"/>
            <w:tcMar>
              <w:top w:w="45" w:type="dxa"/>
              <w:left w:w="70" w:type="dxa"/>
              <w:bottom w:w="45" w:type="dxa"/>
              <w:right w:w="70" w:type="dxa"/>
            </w:tcMar>
            <w:vAlign w:val="top"/>
          </w:tcPr>
          <w:p w14:paraId="191DEAA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Unadjusted</w:t>
            </w:r>
          </w:p>
        </w:tc>
        <w:tc>
          <w:tcPr>
            <w:tcW w:w="2268" w:type="dxa"/>
            <w:shd w:val="clear" w:color="auto" w:fill="auto"/>
            <w:tcMar>
              <w:top w:w="45" w:type="dxa"/>
              <w:left w:w="70" w:type="dxa"/>
              <w:bottom w:w="45" w:type="dxa"/>
              <w:right w:w="70" w:type="dxa"/>
            </w:tcMar>
            <w:vAlign w:val="top"/>
          </w:tcPr>
          <w:p w14:paraId="2E729D7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No design- or covariate-specific pooled analysis reported</w:t>
            </w:r>
          </w:p>
        </w:tc>
        <w:tc>
          <w:tcPr>
            <w:tcW w:w="567" w:type="dxa"/>
            <w:shd w:val="clear" w:color="auto" w:fill="auto"/>
            <w:tcMar>
              <w:top w:w="45" w:type="dxa"/>
              <w:left w:w="70" w:type="dxa"/>
              <w:bottom w:w="45" w:type="dxa"/>
              <w:right w:w="70" w:type="dxa"/>
            </w:tcMar>
            <w:vAlign w:val="top"/>
          </w:tcPr>
          <w:p w14:paraId="0922D7B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Low</w:t>
            </w:r>
          </w:p>
        </w:tc>
        <w:tc>
          <w:tcPr>
            <w:tcW w:w="765" w:type="dxa"/>
            <w:shd w:val="clear" w:color="auto" w:fill="auto"/>
            <w:tcMar>
              <w:top w:w="45" w:type="dxa"/>
              <w:left w:w="70" w:type="dxa"/>
              <w:bottom w:w="45" w:type="dxa"/>
              <w:right w:w="70" w:type="dxa"/>
            </w:tcMar>
            <w:vAlign w:val="top"/>
          </w:tcPr>
          <w:p w14:paraId="4F2686A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Class IV</w:t>
            </w:r>
          </w:p>
        </w:tc>
        <w:tc>
          <w:tcPr>
            <w:tcW w:w="2324" w:type="dxa"/>
            <w:shd w:val="clear" w:color="auto" w:fill="auto"/>
            <w:tcMar>
              <w:top w:w="45" w:type="dxa"/>
              <w:left w:w="70" w:type="dxa"/>
              <w:bottom w:w="45" w:type="dxa"/>
              <w:right w:w="70" w:type="dxa"/>
            </w:tcMar>
            <w:vAlign w:val="top"/>
          </w:tcPr>
          <w:p w14:paraId="04A3872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Main PDF pp.2–3, Sections 2.5 and 3.2.1–3.2.6; p.8, Figure 2; Supporting Information S1, outcome columns J–O</w:t>
            </w:r>
          </w:p>
        </w:tc>
      </w:tr>
      <w:tr w14:paraId="41F706D2">
        <w:trPr>
          <w:cantSplit/>
          <w:jc w:val="center"/>
        </w:trPr>
        <w:tc>
          <w:tcPr>
            <w:tcW w:w="369" w:type="dxa"/>
            <w:shd w:val="clear" w:color="auto" w:fill="auto"/>
            <w:tcMar>
              <w:top w:w="45" w:type="dxa"/>
              <w:left w:w="70" w:type="dxa"/>
              <w:bottom w:w="45" w:type="dxa"/>
              <w:right w:w="70" w:type="dxa"/>
            </w:tcMar>
            <w:vAlign w:val="top"/>
          </w:tcPr>
          <w:p w14:paraId="05C1016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5</w:t>
            </w:r>
          </w:p>
        </w:tc>
        <w:tc>
          <w:tcPr>
            <w:tcW w:w="1191" w:type="dxa"/>
            <w:shd w:val="clear" w:color="auto" w:fill="auto"/>
            <w:tcMar>
              <w:top w:w="45" w:type="dxa"/>
              <w:left w:w="70" w:type="dxa"/>
              <w:bottom w:w="45" w:type="dxa"/>
              <w:right w:w="70" w:type="dxa"/>
            </w:tcMar>
            <w:vAlign w:val="top"/>
          </w:tcPr>
          <w:p w14:paraId="7B92655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Yang et al., 2025</w:t>
            </w:r>
          </w:p>
        </w:tc>
        <w:tc>
          <w:tcPr>
            <w:tcW w:w="822" w:type="dxa"/>
            <w:shd w:val="clear" w:color="auto" w:fill="auto"/>
            <w:tcMar>
              <w:top w:w="45" w:type="dxa"/>
              <w:left w:w="70" w:type="dxa"/>
              <w:bottom w:w="45" w:type="dxa"/>
              <w:right w:w="70" w:type="dxa"/>
            </w:tcMar>
            <w:vAlign w:val="top"/>
          </w:tcPr>
          <w:p w14:paraId="621F825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Structural</w:t>
            </w:r>
          </w:p>
        </w:tc>
        <w:tc>
          <w:tcPr>
            <w:tcW w:w="1304" w:type="dxa"/>
            <w:shd w:val="clear" w:color="auto" w:fill="auto"/>
            <w:tcMar>
              <w:top w:w="45" w:type="dxa"/>
              <w:left w:w="70" w:type="dxa"/>
              <w:bottom w:w="45" w:type="dxa"/>
              <w:right w:w="70" w:type="dxa"/>
            </w:tcMar>
            <w:vAlign w:val="top"/>
          </w:tcPr>
          <w:p w14:paraId="30DB096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Valproic acid monotherapy</w:t>
            </w:r>
          </w:p>
        </w:tc>
        <w:tc>
          <w:tcPr>
            <w:tcW w:w="1276" w:type="dxa"/>
            <w:shd w:val="clear" w:color="auto" w:fill="auto"/>
            <w:tcMar>
              <w:top w:w="45" w:type="dxa"/>
              <w:left w:w="70" w:type="dxa"/>
              <w:bottom w:w="45" w:type="dxa"/>
              <w:right w:w="70" w:type="dxa"/>
            </w:tcMar>
            <w:vAlign w:val="top"/>
          </w:tcPr>
          <w:p w14:paraId="3497323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Genitourinary anomalies</w:t>
            </w:r>
          </w:p>
        </w:tc>
        <w:tc>
          <w:tcPr>
            <w:tcW w:w="1928" w:type="dxa"/>
            <w:shd w:val="clear" w:color="auto" w:fill="auto"/>
            <w:tcMar>
              <w:top w:w="45" w:type="dxa"/>
              <w:left w:w="70" w:type="dxa"/>
              <w:bottom w:w="45" w:type="dxa"/>
              <w:right w:w="70" w:type="dxa"/>
            </w:tcMar>
            <w:vAlign w:val="top"/>
          </w:tcPr>
          <w:p w14:paraId="1BA8806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Other antiepileptic drug groups</w:t>
            </w:r>
          </w:p>
        </w:tc>
        <w:tc>
          <w:tcPr>
            <w:tcW w:w="1191" w:type="dxa"/>
            <w:shd w:val="clear" w:color="auto" w:fill="auto"/>
            <w:tcMar>
              <w:top w:w="45" w:type="dxa"/>
              <w:left w:w="70" w:type="dxa"/>
              <w:bottom w:w="45" w:type="dxa"/>
              <w:right w:w="70" w:type="dxa"/>
            </w:tcMar>
            <w:vAlign w:val="top"/>
          </w:tcPr>
          <w:p w14:paraId="4EE2A82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RR 3.32 (2.67–4.14)</w:t>
            </w:r>
          </w:p>
        </w:tc>
        <w:tc>
          <w:tcPr>
            <w:tcW w:w="822" w:type="dxa"/>
            <w:shd w:val="clear" w:color="auto" w:fill="auto"/>
            <w:tcMar>
              <w:top w:w="45" w:type="dxa"/>
              <w:left w:w="70" w:type="dxa"/>
              <w:bottom w:w="45" w:type="dxa"/>
              <w:right w:w="70" w:type="dxa"/>
            </w:tcMar>
            <w:vAlign w:val="top"/>
          </w:tcPr>
          <w:p w14:paraId="30BF0C4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Unadjusted</w:t>
            </w:r>
          </w:p>
        </w:tc>
        <w:tc>
          <w:tcPr>
            <w:tcW w:w="2268" w:type="dxa"/>
            <w:shd w:val="clear" w:color="auto" w:fill="auto"/>
            <w:tcMar>
              <w:top w:w="45" w:type="dxa"/>
              <w:left w:w="70" w:type="dxa"/>
              <w:bottom w:w="45" w:type="dxa"/>
              <w:right w:w="70" w:type="dxa"/>
            </w:tcMar>
            <w:vAlign w:val="top"/>
          </w:tcPr>
          <w:p w14:paraId="2A1AE90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No design- or covariate-specific pooled analysis reported</w:t>
            </w:r>
          </w:p>
        </w:tc>
        <w:tc>
          <w:tcPr>
            <w:tcW w:w="567" w:type="dxa"/>
            <w:shd w:val="clear" w:color="auto" w:fill="auto"/>
            <w:tcMar>
              <w:top w:w="45" w:type="dxa"/>
              <w:left w:w="70" w:type="dxa"/>
              <w:bottom w:w="45" w:type="dxa"/>
              <w:right w:w="70" w:type="dxa"/>
            </w:tcMar>
            <w:vAlign w:val="top"/>
          </w:tcPr>
          <w:p w14:paraId="487A456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Low</w:t>
            </w:r>
          </w:p>
        </w:tc>
        <w:tc>
          <w:tcPr>
            <w:tcW w:w="765" w:type="dxa"/>
            <w:shd w:val="clear" w:color="auto" w:fill="auto"/>
            <w:tcMar>
              <w:top w:w="45" w:type="dxa"/>
              <w:left w:w="70" w:type="dxa"/>
              <w:bottom w:w="45" w:type="dxa"/>
              <w:right w:w="70" w:type="dxa"/>
            </w:tcMar>
            <w:vAlign w:val="top"/>
          </w:tcPr>
          <w:p w14:paraId="011FAD6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Class IV</w:t>
            </w:r>
          </w:p>
        </w:tc>
        <w:tc>
          <w:tcPr>
            <w:tcW w:w="2324" w:type="dxa"/>
            <w:shd w:val="clear" w:color="auto" w:fill="auto"/>
            <w:tcMar>
              <w:top w:w="45" w:type="dxa"/>
              <w:left w:w="70" w:type="dxa"/>
              <w:bottom w:w="45" w:type="dxa"/>
              <w:right w:w="70" w:type="dxa"/>
            </w:tcMar>
            <w:vAlign w:val="top"/>
          </w:tcPr>
          <w:p w14:paraId="535A8AA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Main PDF pp.2–3, Sections 2.5 and 3.2.1–3.2.6; p.8, Figure 2; Supporting Information S1, outcome columns J–O</w:t>
            </w:r>
          </w:p>
        </w:tc>
      </w:tr>
      <w:tr w14:paraId="5931BBAA">
        <w:trPr>
          <w:cantSplit/>
          <w:jc w:val="center"/>
        </w:trPr>
        <w:tc>
          <w:tcPr>
            <w:tcW w:w="369" w:type="dxa"/>
            <w:shd w:val="clear" w:color="auto" w:fill="auto"/>
            <w:tcMar>
              <w:top w:w="45" w:type="dxa"/>
              <w:left w:w="70" w:type="dxa"/>
              <w:bottom w:w="45" w:type="dxa"/>
              <w:right w:w="70" w:type="dxa"/>
            </w:tcMar>
            <w:vAlign w:val="top"/>
          </w:tcPr>
          <w:p w14:paraId="1658CD9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6</w:t>
            </w:r>
          </w:p>
        </w:tc>
        <w:tc>
          <w:tcPr>
            <w:tcW w:w="1191" w:type="dxa"/>
            <w:shd w:val="clear" w:color="auto" w:fill="auto"/>
            <w:tcMar>
              <w:top w:w="45" w:type="dxa"/>
              <w:left w:w="70" w:type="dxa"/>
              <w:bottom w:w="45" w:type="dxa"/>
              <w:right w:w="70" w:type="dxa"/>
            </w:tcMar>
            <w:vAlign w:val="top"/>
          </w:tcPr>
          <w:p w14:paraId="0934D57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Yang et al., 2025</w:t>
            </w:r>
          </w:p>
        </w:tc>
        <w:tc>
          <w:tcPr>
            <w:tcW w:w="822" w:type="dxa"/>
            <w:shd w:val="clear" w:color="auto" w:fill="auto"/>
            <w:tcMar>
              <w:top w:w="45" w:type="dxa"/>
              <w:left w:w="70" w:type="dxa"/>
              <w:bottom w:w="45" w:type="dxa"/>
              <w:right w:w="70" w:type="dxa"/>
            </w:tcMar>
            <w:vAlign w:val="top"/>
          </w:tcPr>
          <w:p w14:paraId="70397DE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Structural</w:t>
            </w:r>
          </w:p>
        </w:tc>
        <w:tc>
          <w:tcPr>
            <w:tcW w:w="1304" w:type="dxa"/>
            <w:shd w:val="clear" w:color="auto" w:fill="auto"/>
            <w:tcMar>
              <w:top w:w="45" w:type="dxa"/>
              <w:left w:w="70" w:type="dxa"/>
              <w:bottom w:w="45" w:type="dxa"/>
              <w:right w:w="70" w:type="dxa"/>
            </w:tcMar>
            <w:vAlign w:val="top"/>
          </w:tcPr>
          <w:p w14:paraId="5D3468C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Valproic acid monotherapy</w:t>
            </w:r>
          </w:p>
        </w:tc>
        <w:tc>
          <w:tcPr>
            <w:tcW w:w="1276" w:type="dxa"/>
            <w:shd w:val="clear" w:color="auto" w:fill="auto"/>
            <w:tcMar>
              <w:top w:w="45" w:type="dxa"/>
              <w:left w:w="70" w:type="dxa"/>
              <w:bottom w:w="45" w:type="dxa"/>
              <w:right w:w="70" w:type="dxa"/>
            </w:tcMar>
            <w:vAlign w:val="top"/>
          </w:tcPr>
          <w:p w14:paraId="70782B5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Musculoskeletal anomalies</w:t>
            </w:r>
          </w:p>
        </w:tc>
        <w:tc>
          <w:tcPr>
            <w:tcW w:w="1928" w:type="dxa"/>
            <w:shd w:val="clear" w:color="auto" w:fill="auto"/>
            <w:tcMar>
              <w:top w:w="45" w:type="dxa"/>
              <w:left w:w="70" w:type="dxa"/>
              <w:bottom w:w="45" w:type="dxa"/>
              <w:right w:w="70" w:type="dxa"/>
            </w:tcMar>
            <w:vAlign w:val="top"/>
          </w:tcPr>
          <w:p w14:paraId="4DD6722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Other antiepileptic drug groups</w:t>
            </w:r>
          </w:p>
        </w:tc>
        <w:tc>
          <w:tcPr>
            <w:tcW w:w="1191" w:type="dxa"/>
            <w:shd w:val="clear" w:color="auto" w:fill="auto"/>
            <w:tcMar>
              <w:top w:w="45" w:type="dxa"/>
              <w:left w:w="70" w:type="dxa"/>
              <w:bottom w:w="45" w:type="dxa"/>
              <w:right w:w="70" w:type="dxa"/>
            </w:tcMar>
            <w:vAlign w:val="top"/>
          </w:tcPr>
          <w:p w14:paraId="7C8EFA7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RR 2.88 (1.98–4.19)</w:t>
            </w:r>
          </w:p>
        </w:tc>
        <w:tc>
          <w:tcPr>
            <w:tcW w:w="822" w:type="dxa"/>
            <w:shd w:val="clear" w:color="auto" w:fill="auto"/>
            <w:tcMar>
              <w:top w:w="45" w:type="dxa"/>
              <w:left w:w="70" w:type="dxa"/>
              <w:bottom w:w="45" w:type="dxa"/>
              <w:right w:w="70" w:type="dxa"/>
            </w:tcMar>
            <w:vAlign w:val="top"/>
          </w:tcPr>
          <w:p w14:paraId="267E26B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Unadjusted</w:t>
            </w:r>
          </w:p>
        </w:tc>
        <w:tc>
          <w:tcPr>
            <w:tcW w:w="2268" w:type="dxa"/>
            <w:shd w:val="clear" w:color="auto" w:fill="auto"/>
            <w:tcMar>
              <w:top w:w="45" w:type="dxa"/>
              <w:left w:w="70" w:type="dxa"/>
              <w:bottom w:w="45" w:type="dxa"/>
              <w:right w:w="70" w:type="dxa"/>
            </w:tcMar>
            <w:vAlign w:val="top"/>
          </w:tcPr>
          <w:p w14:paraId="54DAC2A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No design- or covariate-specific pooled analysis reported</w:t>
            </w:r>
          </w:p>
        </w:tc>
        <w:tc>
          <w:tcPr>
            <w:tcW w:w="567" w:type="dxa"/>
            <w:shd w:val="clear" w:color="auto" w:fill="auto"/>
            <w:tcMar>
              <w:top w:w="45" w:type="dxa"/>
              <w:left w:w="70" w:type="dxa"/>
              <w:bottom w:w="45" w:type="dxa"/>
              <w:right w:w="70" w:type="dxa"/>
            </w:tcMar>
            <w:vAlign w:val="top"/>
          </w:tcPr>
          <w:p w14:paraId="744E129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Low</w:t>
            </w:r>
          </w:p>
        </w:tc>
        <w:tc>
          <w:tcPr>
            <w:tcW w:w="765" w:type="dxa"/>
            <w:shd w:val="clear" w:color="auto" w:fill="auto"/>
            <w:tcMar>
              <w:top w:w="45" w:type="dxa"/>
              <w:left w:w="70" w:type="dxa"/>
              <w:bottom w:w="45" w:type="dxa"/>
              <w:right w:w="70" w:type="dxa"/>
            </w:tcMar>
            <w:vAlign w:val="top"/>
          </w:tcPr>
          <w:p w14:paraId="5E3975B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Class IV</w:t>
            </w:r>
          </w:p>
        </w:tc>
        <w:tc>
          <w:tcPr>
            <w:tcW w:w="2324" w:type="dxa"/>
            <w:shd w:val="clear" w:color="auto" w:fill="auto"/>
            <w:tcMar>
              <w:top w:w="45" w:type="dxa"/>
              <w:left w:w="70" w:type="dxa"/>
              <w:bottom w:w="45" w:type="dxa"/>
              <w:right w:w="70" w:type="dxa"/>
            </w:tcMar>
            <w:vAlign w:val="top"/>
          </w:tcPr>
          <w:p w14:paraId="4F37E79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Main PDF pp.2–3, Sections 2.5 and 3.2.1–3.2.6; p.8, Figure 2; Supporting Information S1, outcome columns J–O</w:t>
            </w:r>
          </w:p>
        </w:tc>
      </w:tr>
      <w:tr w14:paraId="02C3A098">
        <w:trPr>
          <w:cantSplit/>
          <w:jc w:val="center"/>
        </w:trPr>
        <w:tc>
          <w:tcPr>
            <w:tcW w:w="369" w:type="dxa"/>
            <w:shd w:val="clear" w:color="auto" w:fill="auto"/>
            <w:tcMar>
              <w:top w:w="45" w:type="dxa"/>
              <w:left w:w="70" w:type="dxa"/>
              <w:bottom w:w="45" w:type="dxa"/>
              <w:right w:w="70" w:type="dxa"/>
            </w:tcMar>
            <w:vAlign w:val="top"/>
          </w:tcPr>
          <w:p w14:paraId="3D3F5C5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7</w:t>
            </w:r>
          </w:p>
        </w:tc>
        <w:tc>
          <w:tcPr>
            <w:tcW w:w="1191" w:type="dxa"/>
            <w:shd w:val="clear" w:color="auto" w:fill="auto"/>
            <w:tcMar>
              <w:top w:w="45" w:type="dxa"/>
              <w:left w:w="70" w:type="dxa"/>
              <w:bottom w:w="45" w:type="dxa"/>
              <w:right w:w="70" w:type="dxa"/>
            </w:tcMar>
            <w:vAlign w:val="top"/>
          </w:tcPr>
          <w:p w14:paraId="4189E5E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Pariente et al., 2017</w:t>
            </w:r>
          </w:p>
        </w:tc>
        <w:tc>
          <w:tcPr>
            <w:tcW w:w="822" w:type="dxa"/>
            <w:shd w:val="clear" w:color="auto" w:fill="auto"/>
            <w:tcMar>
              <w:top w:w="45" w:type="dxa"/>
              <w:left w:w="70" w:type="dxa"/>
              <w:bottom w:w="45" w:type="dxa"/>
              <w:right w:w="70" w:type="dxa"/>
            </w:tcMar>
            <w:vAlign w:val="top"/>
          </w:tcPr>
          <w:p w14:paraId="15E3AF9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Structural</w:t>
            </w:r>
          </w:p>
        </w:tc>
        <w:tc>
          <w:tcPr>
            <w:tcW w:w="1304" w:type="dxa"/>
            <w:shd w:val="clear" w:color="auto" w:fill="auto"/>
            <w:tcMar>
              <w:top w:w="45" w:type="dxa"/>
              <w:left w:w="70" w:type="dxa"/>
              <w:bottom w:w="45" w:type="dxa"/>
              <w:right w:w="70" w:type="dxa"/>
            </w:tcMar>
            <w:vAlign w:val="top"/>
          </w:tcPr>
          <w:p w14:paraId="42C9C19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Lamotrigine monotherapy</w:t>
            </w:r>
          </w:p>
        </w:tc>
        <w:tc>
          <w:tcPr>
            <w:tcW w:w="1276" w:type="dxa"/>
            <w:shd w:val="clear" w:color="auto" w:fill="auto"/>
            <w:tcMar>
              <w:top w:w="45" w:type="dxa"/>
              <w:left w:w="70" w:type="dxa"/>
              <w:bottom w:w="45" w:type="dxa"/>
              <w:right w:w="70" w:type="dxa"/>
            </w:tcMar>
            <w:vAlign w:val="top"/>
          </w:tcPr>
          <w:p w14:paraId="16F0F7D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Major congenital anomalies</w:t>
            </w:r>
          </w:p>
        </w:tc>
        <w:tc>
          <w:tcPr>
            <w:tcW w:w="1928" w:type="dxa"/>
            <w:shd w:val="clear" w:color="auto" w:fill="auto"/>
            <w:tcMar>
              <w:top w:w="45" w:type="dxa"/>
              <w:left w:w="70" w:type="dxa"/>
              <w:bottom w:w="45" w:type="dxa"/>
              <w:right w:w="70" w:type="dxa"/>
            </w:tcMar>
            <w:vAlign w:val="top"/>
          </w:tcPr>
          <w:p w14:paraId="55437F9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Disease-matched controls (women with epilepsy who did not take AEDs)</w:t>
            </w:r>
          </w:p>
        </w:tc>
        <w:tc>
          <w:tcPr>
            <w:tcW w:w="1191" w:type="dxa"/>
            <w:shd w:val="clear" w:color="auto" w:fill="auto"/>
            <w:tcMar>
              <w:top w:w="45" w:type="dxa"/>
              <w:left w:w="70" w:type="dxa"/>
              <w:bottom w:w="45" w:type="dxa"/>
              <w:right w:w="70" w:type="dxa"/>
            </w:tcMar>
            <w:vAlign w:val="top"/>
          </w:tcPr>
          <w:p w14:paraId="60A49FA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OR 1.15 (0.62–2.16)</w:t>
            </w:r>
          </w:p>
        </w:tc>
        <w:tc>
          <w:tcPr>
            <w:tcW w:w="822" w:type="dxa"/>
            <w:shd w:val="clear" w:color="auto" w:fill="auto"/>
            <w:tcMar>
              <w:top w:w="45" w:type="dxa"/>
              <w:left w:w="70" w:type="dxa"/>
              <w:bottom w:w="45" w:type="dxa"/>
              <w:right w:w="70" w:type="dxa"/>
            </w:tcMar>
            <w:vAlign w:val="top"/>
          </w:tcPr>
          <w:p w14:paraId="265ED2B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Unadjusted</w:t>
            </w:r>
          </w:p>
        </w:tc>
        <w:tc>
          <w:tcPr>
            <w:tcW w:w="2268" w:type="dxa"/>
            <w:shd w:val="clear" w:color="auto" w:fill="auto"/>
            <w:tcMar>
              <w:top w:w="45" w:type="dxa"/>
              <w:left w:w="70" w:type="dxa"/>
              <w:bottom w:w="45" w:type="dxa"/>
              <w:right w:w="70" w:type="dxa"/>
            </w:tcMar>
            <w:vAlign w:val="top"/>
          </w:tcPr>
          <w:p w14:paraId="2ED83AE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No—no design- or covariate-specific pooled analysis reported</w:t>
            </w:r>
          </w:p>
        </w:tc>
        <w:tc>
          <w:tcPr>
            <w:tcW w:w="567" w:type="dxa"/>
            <w:shd w:val="clear" w:color="auto" w:fill="auto"/>
            <w:tcMar>
              <w:top w:w="45" w:type="dxa"/>
              <w:left w:w="70" w:type="dxa"/>
              <w:bottom w:w="45" w:type="dxa"/>
              <w:right w:w="70" w:type="dxa"/>
            </w:tcMar>
            <w:vAlign w:val="top"/>
          </w:tcPr>
          <w:p w14:paraId="346FB15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Very Low</w:t>
            </w:r>
          </w:p>
        </w:tc>
        <w:tc>
          <w:tcPr>
            <w:tcW w:w="765" w:type="dxa"/>
            <w:shd w:val="clear" w:color="auto" w:fill="auto"/>
            <w:tcMar>
              <w:top w:w="45" w:type="dxa"/>
              <w:left w:w="70" w:type="dxa"/>
              <w:bottom w:w="45" w:type="dxa"/>
              <w:right w:w="70" w:type="dxa"/>
            </w:tcMar>
            <w:vAlign w:val="top"/>
          </w:tcPr>
          <w:p w14:paraId="02712E4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NS</w:t>
            </w:r>
          </w:p>
        </w:tc>
        <w:tc>
          <w:tcPr>
            <w:tcW w:w="2324" w:type="dxa"/>
            <w:shd w:val="clear" w:color="auto" w:fill="auto"/>
            <w:tcMar>
              <w:top w:w="45" w:type="dxa"/>
              <w:left w:w="70" w:type="dxa"/>
              <w:bottom w:w="45" w:type="dxa"/>
              <w:right w:w="70" w:type="dxa"/>
            </w:tcMar>
            <w:vAlign w:val="top"/>
          </w:tcPr>
          <w:p w14:paraId="31BAB20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Main PDF p.3 (printed p.441), Section 2.5; pp.5–8 (printed pp.443–446), forest plot and Table 2; ESM pp.1–4, Tables 1–2</w:t>
            </w:r>
          </w:p>
        </w:tc>
      </w:tr>
      <w:tr w14:paraId="5C5FC3EF">
        <w:trPr>
          <w:cantSplit/>
          <w:jc w:val="center"/>
        </w:trPr>
        <w:tc>
          <w:tcPr>
            <w:tcW w:w="369" w:type="dxa"/>
            <w:shd w:val="clear" w:color="auto" w:fill="auto"/>
            <w:tcMar>
              <w:top w:w="45" w:type="dxa"/>
              <w:left w:w="70" w:type="dxa"/>
              <w:bottom w:w="45" w:type="dxa"/>
              <w:right w:w="70" w:type="dxa"/>
            </w:tcMar>
            <w:vAlign w:val="top"/>
          </w:tcPr>
          <w:p w14:paraId="6074D5D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8</w:t>
            </w:r>
          </w:p>
        </w:tc>
        <w:tc>
          <w:tcPr>
            <w:tcW w:w="1191" w:type="dxa"/>
            <w:shd w:val="clear" w:color="auto" w:fill="auto"/>
            <w:tcMar>
              <w:top w:w="45" w:type="dxa"/>
              <w:left w:w="70" w:type="dxa"/>
              <w:bottom w:w="45" w:type="dxa"/>
              <w:right w:w="70" w:type="dxa"/>
            </w:tcMar>
            <w:vAlign w:val="top"/>
          </w:tcPr>
          <w:p w14:paraId="78CC376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Zhao et al., 2025</w:t>
            </w:r>
          </w:p>
        </w:tc>
        <w:tc>
          <w:tcPr>
            <w:tcW w:w="822" w:type="dxa"/>
            <w:shd w:val="clear" w:color="auto" w:fill="auto"/>
            <w:tcMar>
              <w:top w:w="45" w:type="dxa"/>
              <w:left w:w="70" w:type="dxa"/>
              <w:bottom w:w="45" w:type="dxa"/>
              <w:right w:w="70" w:type="dxa"/>
            </w:tcMar>
            <w:vAlign w:val="top"/>
          </w:tcPr>
          <w:p w14:paraId="54EBA72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Structural</w:t>
            </w:r>
          </w:p>
        </w:tc>
        <w:tc>
          <w:tcPr>
            <w:tcW w:w="1304" w:type="dxa"/>
            <w:shd w:val="clear" w:color="auto" w:fill="auto"/>
            <w:tcMar>
              <w:top w:w="45" w:type="dxa"/>
              <w:left w:w="70" w:type="dxa"/>
              <w:bottom w:w="45" w:type="dxa"/>
              <w:right w:w="70" w:type="dxa"/>
            </w:tcMar>
            <w:vAlign w:val="top"/>
          </w:tcPr>
          <w:p w14:paraId="427A854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Lamotrigine exposure during pregnancy</w:t>
            </w:r>
          </w:p>
        </w:tc>
        <w:tc>
          <w:tcPr>
            <w:tcW w:w="1276" w:type="dxa"/>
            <w:shd w:val="clear" w:color="auto" w:fill="auto"/>
            <w:tcMar>
              <w:top w:w="45" w:type="dxa"/>
              <w:left w:w="70" w:type="dxa"/>
              <w:bottom w:w="45" w:type="dxa"/>
              <w:right w:w="70" w:type="dxa"/>
            </w:tcMar>
            <w:vAlign w:val="top"/>
          </w:tcPr>
          <w:p w14:paraId="5862C2A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Orofacial clefts</w:t>
            </w:r>
          </w:p>
        </w:tc>
        <w:tc>
          <w:tcPr>
            <w:tcW w:w="1928" w:type="dxa"/>
            <w:shd w:val="clear" w:color="auto" w:fill="auto"/>
            <w:tcMar>
              <w:top w:w="45" w:type="dxa"/>
              <w:left w:w="70" w:type="dxa"/>
              <w:bottom w:w="45" w:type="dxa"/>
              <w:right w:w="70" w:type="dxa"/>
            </w:tcMar>
            <w:vAlign w:val="top"/>
          </w:tcPr>
          <w:p w14:paraId="7ABDA4C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Control group not receiving antiseizure medication therapy</w:t>
            </w:r>
          </w:p>
        </w:tc>
        <w:tc>
          <w:tcPr>
            <w:tcW w:w="1191" w:type="dxa"/>
            <w:shd w:val="clear" w:color="auto" w:fill="auto"/>
            <w:tcMar>
              <w:top w:w="45" w:type="dxa"/>
              <w:left w:w="70" w:type="dxa"/>
              <w:bottom w:w="45" w:type="dxa"/>
              <w:right w:w="70" w:type="dxa"/>
            </w:tcMar>
            <w:vAlign w:val="top"/>
          </w:tcPr>
          <w:p w14:paraId="483B02A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OR 1.42 (1.05–1.92)</w:t>
            </w:r>
          </w:p>
        </w:tc>
        <w:tc>
          <w:tcPr>
            <w:tcW w:w="822" w:type="dxa"/>
            <w:shd w:val="clear" w:color="auto" w:fill="auto"/>
            <w:tcMar>
              <w:top w:w="45" w:type="dxa"/>
              <w:left w:w="70" w:type="dxa"/>
              <w:bottom w:w="45" w:type="dxa"/>
              <w:right w:w="70" w:type="dxa"/>
            </w:tcMar>
            <w:vAlign w:val="top"/>
          </w:tcPr>
          <w:p w14:paraId="1E6F725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Mixed</w:t>
            </w:r>
          </w:p>
        </w:tc>
        <w:tc>
          <w:tcPr>
            <w:tcW w:w="2268" w:type="dxa"/>
            <w:shd w:val="clear" w:color="auto" w:fill="auto"/>
            <w:tcMar>
              <w:top w:w="45" w:type="dxa"/>
              <w:left w:w="70" w:type="dxa"/>
              <w:bottom w:w="45" w:type="dxa"/>
              <w:right w:w="70" w:type="dxa"/>
            </w:tcMar>
            <w:vAlign w:val="top"/>
          </w:tcPr>
          <w:p w14:paraId="46D236D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Yes—cohort-only and ≥5-variable-adjusted subgroup analyses were reported; the association was attenuated and was not statistically significant in the subgroup restricted to studies adjusting for at least five variables.</w:t>
            </w:r>
          </w:p>
        </w:tc>
        <w:tc>
          <w:tcPr>
            <w:tcW w:w="567" w:type="dxa"/>
            <w:shd w:val="clear" w:color="auto" w:fill="auto"/>
            <w:tcMar>
              <w:top w:w="45" w:type="dxa"/>
              <w:left w:w="70" w:type="dxa"/>
              <w:bottom w:w="45" w:type="dxa"/>
              <w:right w:w="70" w:type="dxa"/>
            </w:tcMar>
            <w:vAlign w:val="top"/>
          </w:tcPr>
          <w:p w14:paraId="4F43CD8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Very Low</w:t>
            </w:r>
          </w:p>
        </w:tc>
        <w:tc>
          <w:tcPr>
            <w:tcW w:w="765" w:type="dxa"/>
            <w:shd w:val="clear" w:color="auto" w:fill="auto"/>
            <w:tcMar>
              <w:top w:w="45" w:type="dxa"/>
              <w:left w:w="70" w:type="dxa"/>
              <w:bottom w:w="45" w:type="dxa"/>
              <w:right w:w="70" w:type="dxa"/>
            </w:tcMar>
            <w:vAlign w:val="top"/>
          </w:tcPr>
          <w:p w14:paraId="353B5BC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Class IV</w:t>
            </w:r>
          </w:p>
        </w:tc>
        <w:tc>
          <w:tcPr>
            <w:tcW w:w="2324" w:type="dxa"/>
            <w:shd w:val="clear" w:color="auto" w:fill="auto"/>
            <w:tcMar>
              <w:top w:w="45" w:type="dxa"/>
              <w:left w:w="70" w:type="dxa"/>
              <w:bottom w:w="45" w:type="dxa"/>
              <w:right w:w="70" w:type="dxa"/>
            </w:tcMar>
            <w:vAlign w:val="top"/>
          </w:tcPr>
          <w:p w14:paraId="6F2ABB0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PDF p.2 (printed p.68), Sections 2.3–2.4 and 3.3; PDF p.3 (printed p.69), Discussion; PDF p.4 (printed p.70), Table 1</w:t>
            </w:r>
          </w:p>
        </w:tc>
      </w:tr>
      <w:tr w14:paraId="46A37089">
        <w:trPr>
          <w:cantSplit/>
          <w:jc w:val="center"/>
        </w:trPr>
        <w:tc>
          <w:tcPr>
            <w:tcW w:w="369" w:type="dxa"/>
            <w:shd w:val="clear" w:color="auto" w:fill="auto"/>
            <w:tcMar>
              <w:top w:w="45" w:type="dxa"/>
              <w:left w:w="70" w:type="dxa"/>
              <w:bottom w:w="45" w:type="dxa"/>
              <w:right w:w="70" w:type="dxa"/>
            </w:tcMar>
            <w:vAlign w:val="top"/>
          </w:tcPr>
          <w:p w14:paraId="5FA4B4B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9</w:t>
            </w:r>
          </w:p>
        </w:tc>
        <w:tc>
          <w:tcPr>
            <w:tcW w:w="1191" w:type="dxa"/>
            <w:shd w:val="clear" w:color="auto" w:fill="auto"/>
            <w:tcMar>
              <w:top w:w="45" w:type="dxa"/>
              <w:left w:w="70" w:type="dxa"/>
              <w:bottom w:w="45" w:type="dxa"/>
              <w:right w:w="70" w:type="dxa"/>
            </w:tcMar>
            <w:vAlign w:val="top"/>
          </w:tcPr>
          <w:p w14:paraId="1D72F9E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Alsaad et al., 2015</w:t>
            </w:r>
          </w:p>
        </w:tc>
        <w:tc>
          <w:tcPr>
            <w:tcW w:w="822" w:type="dxa"/>
            <w:shd w:val="clear" w:color="auto" w:fill="auto"/>
            <w:tcMar>
              <w:top w:w="45" w:type="dxa"/>
              <w:left w:w="70" w:type="dxa"/>
              <w:bottom w:w="45" w:type="dxa"/>
              <w:right w:w="70" w:type="dxa"/>
            </w:tcMar>
            <w:vAlign w:val="top"/>
          </w:tcPr>
          <w:p w14:paraId="25B941E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Structural</w:t>
            </w:r>
          </w:p>
        </w:tc>
        <w:tc>
          <w:tcPr>
            <w:tcW w:w="1304" w:type="dxa"/>
            <w:shd w:val="clear" w:color="auto" w:fill="auto"/>
            <w:tcMar>
              <w:top w:w="45" w:type="dxa"/>
              <w:left w:w="70" w:type="dxa"/>
              <w:bottom w:w="45" w:type="dxa"/>
              <w:right w:w="70" w:type="dxa"/>
            </w:tcMar>
            <w:vAlign w:val="top"/>
          </w:tcPr>
          <w:p w14:paraId="2239CFB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Topiramate exposure during the first trimester</w:t>
            </w:r>
          </w:p>
        </w:tc>
        <w:tc>
          <w:tcPr>
            <w:tcW w:w="1276" w:type="dxa"/>
            <w:shd w:val="clear" w:color="auto" w:fill="auto"/>
            <w:tcMar>
              <w:top w:w="45" w:type="dxa"/>
              <w:left w:w="70" w:type="dxa"/>
              <w:bottom w:w="45" w:type="dxa"/>
              <w:right w:w="70" w:type="dxa"/>
            </w:tcMar>
            <w:vAlign w:val="top"/>
          </w:tcPr>
          <w:p w14:paraId="2D7B92D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Oral clefts</w:t>
            </w:r>
          </w:p>
        </w:tc>
        <w:tc>
          <w:tcPr>
            <w:tcW w:w="1928" w:type="dxa"/>
            <w:shd w:val="clear" w:color="auto" w:fill="auto"/>
            <w:tcMar>
              <w:top w:w="45" w:type="dxa"/>
              <w:left w:w="70" w:type="dxa"/>
              <w:bottom w:w="45" w:type="dxa"/>
              <w:right w:w="70" w:type="dxa"/>
            </w:tcMar>
            <w:vAlign w:val="top"/>
          </w:tcPr>
          <w:p w14:paraId="0D437C8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No topiramate exposure</w:t>
            </w:r>
          </w:p>
        </w:tc>
        <w:tc>
          <w:tcPr>
            <w:tcW w:w="1191" w:type="dxa"/>
            <w:shd w:val="clear" w:color="auto" w:fill="auto"/>
            <w:tcMar>
              <w:top w:w="45" w:type="dxa"/>
              <w:left w:w="70" w:type="dxa"/>
              <w:bottom w:w="45" w:type="dxa"/>
              <w:right w:w="70" w:type="dxa"/>
            </w:tcMar>
            <w:vAlign w:val="top"/>
          </w:tcPr>
          <w:p w14:paraId="24D7920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OR 6.26 (3.13–12.51)</w:t>
            </w:r>
          </w:p>
        </w:tc>
        <w:tc>
          <w:tcPr>
            <w:tcW w:w="822" w:type="dxa"/>
            <w:shd w:val="clear" w:color="auto" w:fill="auto"/>
            <w:tcMar>
              <w:top w:w="45" w:type="dxa"/>
              <w:left w:w="70" w:type="dxa"/>
              <w:bottom w:w="45" w:type="dxa"/>
              <w:right w:w="70" w:type="dxa"/>
            </w:tcMar>
            <w:vAlign w:val="top"/>
          </w:tcPr>
          <w:p w14:paraId="1269383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Unadjusted</w:t>
            </w:r>
          </w:p>
        </w:tc>
        <w:tc>
          <w:tcPr>
            <w:tcW w:w="2268" w:type="dxa"/>
            <w:shd w:val="clear" w:color="auto" w:fill="auto"/>
            <w:tcMar>
              <w:top w:w="45" w:type="dxa"/>
              <w:left w:w="70" w:type="dxa"/>
              <w:bottom w:w="45" w:type="dxa"/>
              <w:right w:w="70" w:type="dxa"/>
            </w:tcMar>
            <w:vAlign w:val="top"/>
          </w:tcPr>
          <w:p w14:paraId="419DFAA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No—leave-one-out sensitivity only; no design- or covariate-specific pooled analysis reported</w:t>
            </w:r>
          </w:p>
        </w:tc>
        <w:tc>
          <w:tcPr>
            <w:tcW w:w="567" w:type="dxa"/>
            <w:shd w:val="clear" w:color="auto" w:fill="auto"/>
            <w:tcMar>
              <w:top w:w="45" w:type="dxa"/>
              <w:left w:w="70" w:type="dxa"/>
              <w:bottom w:w="45" w:type="dxa"/>
              <w:right w:w="70" w:type="dxa"/>
            </w:tcMar>
            <w:vAlign w:val="top"/>
          </w:tcPr>
          <w:p w14:paraId="0AFC34E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Low</w:t>
            </w:r>
          </w:p>
        </w:tc>
        <w:tc>
          <w:tcPr>
            <w:tcW w:w="765" w:type="dxa"/>
            <w:shd w:val="clear" w:color="auto" w:fill="auto"/>
            <w:tcMar>
              <w:top w:w="45" w:type="dxa"/>
              <w:left w:w="70" w:type="dxa"/>
              <w:bottom w:w="45" w:type="dxa"/>
              <w:right w:w="70" w:type="dxa"/>
            </w:tcMar>
            <w:vAlign w:val="top"/>
          </w:tcPr>
          <w:p w14:paraId="24A418A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Class III</w:t>
            </w:r>
          </w:p>
        </w:tc>
        <w:tc>
          <w:tcPr>
            <w:tcW w:w="2324" w:type="dxa"/>
            <w:shd w:val="clear" w:color="auto" w:fill="auto"/>
            <w:tcMar>
              <w:top w:w="45" w:type="dxa"/>
              <w:left w:w="70" w:type="dxa"/>
              <w:bottom w:w="45" w:type="dxa"/>
              <w:right w:w="70" w:type="dxa"/>
            </w:tcMar>
            <w:vAlign w:val="top"/>
          </w:tcPr>
          <w:p w14:paraId="0C51EF6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PDF p.2 (printed p.46), Sections 2.2–2.3 and 3; PDF p.3 (printed p.47), Table 2; PDF p.4 (printed p.48), Section 3.2 and Figure 2</w:t>
            </w:r>
          </w:p>
        </w:tc>
      </w:tr>
      <w:tr w14:paraId="096E179B">
        <w:trPr>
          <w:cantSplit/>
          <w:jc w:val="center"/>
        </w:trPr>
        <w:tc>
          <w:tcPr>
            <w:tcW w:w="369" w:type="dxa"/>
            <w:shd w:val="clear" w:color="auto" w:fill="auto"/>
            <w:tcMar>
              <w:top w:w="45" w:type="dxa"/>
              <w:left w:w="70" w:type="dxa"/>
              <w:bottom w:w="45" w:type="dxa"/>
              <w:right w:w="70" w:type="dxa"/>
            </w:tcMar>
            <w:vAlign w:val="top"/>
          </w:tcPr>
          <w:p w14:paraId="5A67CEB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10</w:t>
            </w:r>
          </w:p>
        </w:tc>
        <w:tc>
          <w:tcPr>
            <w:tcW w:w="1191" w:type="dxa"/>
            <w:shd w:val="clear" w:color="auto" w:fill="auto"/>
            <w:tcMar>
              <w:top w:w="45" w:type="dxa"/>
              <w:left w:w="70" w:type="dxa"/>
              <w:bottom w:w="45" w:type="dxa"/>
              <w:right w:w="70" w:type="dxa"/>
            </w:tcMar>
            <w:vAlign w:val="top"/>
          </w:tcPr>
          <w:p w14:paraId="0992221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Athar et al., 2022</w:t>
            </w:r>
          </w:p>
        </w:tc>
        <w:tc>
          <w:tcPr>
            <w:tcW w:w="822" w:type="dxa"/>
            <w:shd w:val="clear" w:color="auto" w:fill="auto"/>
            <w:tcMar>
              <w:top w:w="45" w:type="dxa"/>
              <w:left w:w="70" w:type="dxa"/>
              <w:bottom w:w="45" w:type="dxa"/>
              <w:right w:w="70" w:type="dxa"/>
            </w:tcMar>
            <w:vAlign w:val="top"/>
          </w:tcPr>
          <w:p w14:paraId="7B29359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Structural</w:t>
            </w:r>
          </w:p>
        </w:tc>
        <w:tc>
          <w:tcPr>
            <w:tcW w:w="1304" w:type="dxa"/>
            <w:shd w:val="clear" w:color="auto" w:fill="auto"/>
            <w:tcMar>
              <w:top w:w="45" w:type="dxa"/>
              <w:left w:w="70" w:type="dxa"/>
              <w:bottom w:w="45" w:type="dxa"/>
              <w:right w:w="70" w:type="dxa"/>
            </w:tcMar>
            <w:vAlign w:val="top"/>
          </w:tcPr>
          <w:p w14:paraId="248DC04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Oxcarbazepine monotherapy</w:t>
            </w:r>
          </w:p>
        </w:tc>
        <w:tc>
          <w:tcPr>
            <w:tcW w:w="1276" w:type="dxa"/>
            <w:shd w:val="clear" w:color="auto" w:fill="auto"/>
            <w:tcMar>
              <w:top w:w="45" w:type="dxa"/>
              <w:left w:w="70" w:type="dxa"/>
              <w:bottom w:w="45" w:type="dxa"/>
              <w:right w:w="70" w:type="dxa"/>
            </w:tcMar>
            <w:vAlign w:val="top"/>
          </w:tcPr>
          <w:p w14:paraId="0B79138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Congenital anomalies</w:t>
            </w:r>
          </w:p>
        </w:tc>
        <w:tc>
          <w:tcPr>
            <w:tcW w:w="1928" w:type="dxa"/>
            <w:shd w:val="clear" w:color="auto" w:fill="auto"/>
            <w:tcMar>
              <w:top w:w="45" w:type="dxa"/>
              <w:left w:w="70" w:type="dxa"/>
              <w:bottom w:w="45" w:type="dxa"/>
              <w:right w:w="70" w:type="dxa"/>
            </w:tcMar>
            <w:vAlign w:val="top"/>
          </w:tcPr>
          <w:p w14:paraId="7FB0E04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Unexposed controls</w:t>
            </w:r>
          </w:p>
        </w:tc>
        <w:tc>
          <w:tcPr>
            <w:tcW w:w="1191" w:type="dxa"/>
            <w:shd w:val="clear" w:color="auto" w:fill="auto"/>
            <w:tcMar>
              <w:top w:w="45" w:type="dxa"/>
              <w:left w:w="70" w:type="dxa"/>
              <w:bottom w:w="45" w:type="dxa"/>
              <w:right w:w="70" w:type="dxa"/>
            </w:tcMar>
            <w:vAlign w:val="top"/>
          </w:tcPr>
          <w:p w14:paraId="1E7DC13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OR 1.69 (0.95–2.98)</w:t>
            </w:r>
          </w:p>
        </w:tc>
        <w:tc>
          <w:tcPr>
            <w:tcW w:w="822" w:type="dxa"/>
            <w:shd w:val="clear" w:color="auto" w:fill="auto"/>
            <w:tcMar>
              <w:top w:w="45" w:type="dxa"/>
              <w:left w:w="70" w:type="dxa"/>
              <w:bottom w:w="45" w:type="dxa"/>
              <w:right w:w="70" w:type="dxa"/>
            </w:tcMar>
            <w:vAlign w:val="top"/>
          </w:tcPr>
          <w:p w14:paraId="58FF3DF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Mixed</w:t>
            </w:r>
          </w:p>
        </w:tc>
        <w:tc>
          <w:tcPr>
            <w:tcW w:w="2268" w:type="dxa"/>
            <w:shd w:val="clear" w:color="auto" w:fill="auto"/>
            <w:tcMar>
              <w:top w:w="45" w:type="dxa"/>
              <w:left w:w="70" w:type="dxa"/>
              <w:bottom w:w="45" w:type="dxa"/>
              <w:right w:w="70" w:type="dxa"/>
            </w:tcMar>
            <w:vAlign w:val="top"/>
          </w:tcPr>
          <w:p w14:paraId="137064F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No—risk-of-bias exclusion sensitivity only; no design- or covariate-specific pooled analysis reported</w:t>
            </w:r>
          </w:p>
        </w:tc>
        <w:tc>
          <w:tcPr>
            <w:tcW w:w="567" w:type="dxa"/>
            <w:shd w:val="clear" w:color="auto" w:fill="auto"/>
            <w:tcMar>
              <w:top w:w="45" w:type="dxa"/>
              <w:left w:w="70" w:type="dxa"/>
              <w:bottom w:w="45" w:type="dxa"/>
              <w:right w:w="70" w:type="dxa"/>
            </w:tcMar>
            <w:vAlign w:val="top"/>
          </w:tcPr>
          <w:p w14:paraId="7562666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Very Low</w:t>
            </w:r>
          </w:p>
        </w:tc>
        <w:tc>
          <w:tcPr>
            <w:tcW w:w="765" w:type="dxa"/>
            <w:shd w:val="clear" w:color="auto" w:fill="auto"/>
            <w:tcMar>
              <w:top w:w="45" w:type="dxa"/>
              <w:left w:w="70" w:type="dxa"/>
              <w:bottom w:w="45" w:type="dxa"/>
              <w:right w:w="70" w:type="dxa"/>
            </w:tcMar>
            <w:vAlign w:val="top"/>
          </w:tcPr>
          <w:p w14:paraId="78D32D9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NS</w:t>
            </w:r>
          </w:p>
        </w:tc>
        <w:tc>
          <w:tcPr>
            <w:tcW w:w="2324" w:type="dxa"/>
            <w:shd w:val="clear" w:color="auto" w:fill="auto"/>
            <w:tcMar>
              <w:top w:w="45" w:type="dxa"/>
              <w:left w:w="70" w:type="dxa"/>
              <w:bottom w:w="45" w:type="dxa"/>
              <w:right w:w="70" w:type="dxa"/>
            </w:tcMar>
            <w:vAlign w:val="top"/>
          </w:tcPr>
          <w:p w14:paraId="7C52836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Main PDF p.3604, Section 3.4 and Figure 3; p.3605, Discussion; p.3606, GRADE Table 1; ESM Tables S2–S4</w:t>
            </w:r>
          </w:p>
        </w:tc>
      </w:tr>
      <w:tr w14:paraId="02F2A389">
        <w:trPr>
          <w:cantSplit/>
          <w:jc w:val="center"/>
        </w:trPr>
        <w:tc>
          <w:tcPr>
            <w:tcW w:w="369" w:type="dxa"/>
            <w:shd w:val="clear" w:color="auto" w:fill="auto"/>
            <w:tcMar>
              <w:top w:w="45" w:type="dxa"/>
              <w:left w:w="70" w:type="dxa"/>
              <w:bottom w:w="45" w:type="dxa"/>
              <w:right w:w="70" w:type="dxa"/>
            </w:tcMar>
            <w:vAlign w:val="top"/>
          </w:tcPr>
          <w:p w14:paraId="2B93B8F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11</w:t>
            </w:r>
          </w:p>
        </w:tc>
        <w:tc>
          <w:tcPr>
            <w:tcW w:w="1191" w:type="dxa"/>
            <w:shd w:val="clear" w:color="auto" w:fill="auto"/>
            <w:tcMar>
              <w:top w:w="45" w:type="dxa"/>
              <w:left w:w="70" w:type="dxa"/>
              <w:bottom w:w="45" w:type="dxa"/>
              <w:right w:w="70" w:type="dxa"/>
            </w:tcMar>
            <w:vAlign w:val="top"/>
          </w:tcPr>
          <w:p w14:paraId="26C0166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Atzenhoffer et al., 2025</w:t>
            </w:r>
          </w:p>
        </w:tc>
        <w:tc>
          <w:tcPr>
            <w:tcW w:w="822" w:type="dxa"/>
            <w:shd w:val="clear" w:color="auto" w:fill="auto"/>
            <w:tcMar>
              <w:top w:w="45" w:type="dxa"/>
              <w:left w:w="70" w:type="dxa"/>
              <w:bottom w:w="45" w:type="dxa"/>
              <w:right w:w="70" w:type="dxa"/>
            </w:tcMar>
            <w:vAlign w:val="top"/>
          </w:tcPr>
          <w:p w14:paraId="7E93149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Structural</w:t>
            </w:r>
          </w:p>
        </w:tc>
        <w:tc>
          <w:tcPr>
            <w:tcW w:w="1304" w:type="dxa"/>
            <w:shd w:val="clear" w:color="auto" w:fill="auto"/>
            <w:tcMar>
              <w:top w:w="45" w:type="dxa"/>
              <w:left w:w="70" w:type="dxa"/>
              <w:bottom w:w="45" w:type="dxa"/>
              <w:right w:w="70" w:type="dxa"/>
            </w:tcMar>
            <w:vAlign w:val="top"/>
          </w:tcPr>
          <w:p w14:paraId="137332B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Pregabalin monotherapy during the first trimester</w:t>
            </w:r>
          </w:p>
        </w:tc>
        <w:tc>
          <w:tcPr>
            <w:tcW w:w="1276" w:type="dxa"/>
            <w:shd w:val="clear" w:color="auto" w:fill="auto"/>
            <w:tcMar>
              <w:top w:w="45" w:type="dxa"/>
              <w:left w:w="70" w:type="dxa"/>
              <w:bottom w:w="45" w:type="dxa"/>
              <w:right w:w="70" w:type="dxa"/>
            </w:tcMar>
            <w:vAlign w:val="top"/>
          </w:tcPr>
          <w:p w14:paraId="7823429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Major congenital anomalies</w:t>
            </w:r>
          </w:p>
        </w:tc>
        <w:tc>
          <w:tcPr>
            <w:tcW w:w="1928" w:type="dxa"/>
            <w:shd w:val="clear" w:color="auto" w:fill="auto"/>
            <w:tcMar>
              <w:top w:w="45" w:type="dxa"/>
              <w:left w:w="70" w:type="dxa"/>
              <w:bottom w:w="45" w:type="dxa"/>
              <w:right w:w="70" w:type="dxa"/>
            </w:tcMar>
            <w:vAlign w:val="top"/>
          </w:tcPr>
          <w:p w14:paraId="5B4E460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One comparator per study, selected hierarchically: unexposed sick, unexposed not otherwise specified, unexposed disease-free, then lamotrigine-exposed; Table 1 reports the actual comparator category study by study.</w:t>
            </w:r>
          </w:p>
        </w:tc>
        <w:tc>
          <w:tcPr>
            <w:tcW w:w="1191" w:type="dxa"/>
            <w:shd w:val="clear" w:color="auto" w:fill="auto"/>
            <w:tcMar>
              <w:top w:w="45" w:type="dxa"/>
              <w:left w:w="70" w:type="dxa"/>
              <w:bottom w:w="45" w:type="dxa"/>
              <w:right w:w="70" w:type="dxa"/>
            </w:tcMar>
            <w:vAlign w:val="top"/>
          </w:tcPr>
          <w:p w14:paraId="72CA477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OR 1.79 (0.80–3.99)</w:t>
            </w:r>
          </w:p>
        </w:tc>
        <w:tc>
          <w:tcPr>
            <w:tcW w:w="822" w:type="dxa"/>
            <w:shd w:val="clear" w:color="auto" w:fill="auto"/>
            <w:tcMar>
              <w:top w:w="45" w:type="dxa"/>
              <w:left w:w="70" w:type="dxa"/>
              <w:bottom w:w="45" w:type="dxa"/>
              <w:right w:w="70" w:type="dxa"/>
            </w:tcMar>
            <w:vAlign w:val="top"/>
          </w:tcPr>
          <w:p w14:paraId="2D559BF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Mixed</w:t>
            </w:r>
          </w:p>
        </w:tc>
        <w:tc>
          <w:tcPr>
            <w:tcW w:w="2268" w:type="dxa"/>
            <w:shd w:val="clear" w:color="auto" w:fill="auto"/>
            <w:tcMar>
              <w:top w:w="45" w:type="dxa"/>
              <w:left w:w="70" w:type="dxa"/>
              <w:bottom w:w="45" w:type="dxa"/>
              <w:right w:w="70" w:type="dxa"/>
            </w:tcMar>
            <w:vAlign w:val="top"/>
          </w:tcPr>
          <w:p w14:paraId="4096FF2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No—comparator-specific sensitivity only; no design- or covariate-specific pooled analysis reported</w:t>
            </w:r>
          </w:p>
        </w:tc>
        <w:tc>
          <w:tcPr>
            <w:tcW w:w="567" w:type="dxa"/>
            <w:shd w:val="clear" w:color="auto" w:fill="auto"/>
            <w:tcMar>
              <w:top w:w="45" w:type="dxa"/>
              <w:left w:w="70" w:type="dxa"/>
              <w:bottom w:w="45" w:type="dxa"/>
              <w:right w:w="70" w:type="dxa"/>
            </w:tcMar>
            <w:vAlign w:val="top"/>
          </w:tcPr>
          <w:p w14:paraId="5BBE952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Very Low</w:t>
            </w:r>
          </w:p>
        </w:tc>
        <w:tc>
          <w:tcPr>
            <w:tcW w:w="765" w:type="dxa"/>
            <w:shd w:val="clear" w:color="auto" w:fill="auto"/>
            <w:tcMar>
              <w:top w:w="45" w:type="dxa"/>
              <w:left w:w="70" w:type="dxa"/>
              <w:bottom w:w="45" w:type="dxa"/>
              <w:right w:w="70" w:type="dxa"/>
            </w:tcMar>
            <w:vAlign w:val="top"/>
          </w:tcPr>
          <w:p w14:paraId="78CBD01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NS</w:t>
            </w:r>
          </w:p>
        </w:tc>
        <w:tc>
          <w:tcPr>
            <w:tcW w:w="2324" w:type="dxa"/>
            <w:shd w:val="clear" w:color="auto" w:fill="auto"/>
            <w:tcMar>
              <w:top w:w="45" w:type="dxa"/>
              <w:left w:w="70" w:type="dxa"/>
              <w:bottom w:w="45" w:type="dxa"/>
              <w:right w:w="70" w:type="dxa"/>
            </w:tcMar>
            <w:vAlign w:val="top"/>
          </w:tcPr>
          <w:p w14:paraId="7655A85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PDF p.2 (printed p.2), Sections 2.2–2.4; PDF p.4 (printed p.4), Table 1; PDF p.5 (printed p.5), Section 3.5 and Table 2</w:t>
            </w:r>
          </w:p>
        </w:tc>
      </w:tr>
      <w:tr w14:paraId="6966418D">
        <w:trPr>
          <w:cantSplit/>
          <w:jc w:val="center"/>
        </w:trPr>
        <w:tc>
          <w:tcPr>
            <w:tcW w:w="369" w:type="dxa"/>
            <w:shd w:val="clear" w:color="auto" w:fill="auto"/>
            <w:tcMar>
              <w:top w:w="45" w:type="dxa"/>
              <w:left w:w="70" w:type="dxa"/>
              <w:bottom w:w="45" w:type="dxa"/>
              <w:right w:w="70" w:type="dxa"/>
            </w:tcMar>
            <w:vAlign w:val="top"/>
          </w:tcPr>
          <w:p w14:paraId="4095D43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12</w:t>
            </w:r>
          </w:p>
        </w:tc>
        <w:tc>
          <w:tcPr>
            <w:tcW w:w="1191" w:type="dxa"/>
            <w:shd w:val="clear" w:color="auto" w:fill="auto"/>
            <w:tcMar>
              <w:top w:w="45" w:type="dxa"/>
              <w:left w:w="70" w:type="dxa"/>
              <w:bottom w:w="45" w:type="dxa"/>
              <w:right w:w="70" w:type="dxa"/>
            </w:tcMar>
            <w:vAlign w:val="top"/>
          </w:tcPr>
          <w:p w14:paraId="7302483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Andrade et al., 2025</w:t>
            </w:r>
          </w:p>
        </w:tc>
        <w:tc>
          <w:tcPr>
            <w:tcW w:w="822" w:type="dxa"/>
            <w:shd w:val="clear" w:color="auto" w:fill="auto"/>
            <w:tcMar>
              <w:top w:w="45" w:type="dxa"/>
              <w:left w:w="70" w:type="dxa"/>
              <w:bottom w:w="45" w:type="dxa"/>
              <w:right w:w="70" w:type="dxa"/>
            </w:tcMar>
            <w:vAlign w:val="top"/>
          </w:tcPr>
          <w:p w14:paraId="525C219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Neurodevelopmental</w:t>
            </w:r>
          </w:p>
        </w:tc>
        <w:tc>
          <w:tcPr>
            <w:tcW w:w="1304" w:type="dxa"/>
            <w:shd w:val="clear" w:color="auto" w:fill="auto"/>
            <w:tcMar>
              <w:top w:w="45" w:type="dxa"/>
              <w:left w:w="70" w:type="dxa"/>
              <w:bottom w:w="45" w:type="dxa"/>
              <w:right w:w="70" w:type="dxa"/>
            </w:tcMar>
            <w:vAlign w:val="top"/>
          </w:tcPr>
          <w:p w14:paraId="295C3A0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Anytime gestational valproate exposure</w:t>
            </w:r>
          </w:p>
        </w:tc>
        <w:tc>
          <w:tcPr>
            <w:tcW w:w="1276" w:type="dxa"/>
            <w:shd w:val="clear" w:color="auto" w:fill="auto"/>
            <w:tcMar>
              <w:top w:w="45" w:type="dxa"/>
              <w:left w:w="70" w:type="dxa"/>
              <w:bottom w:w="45" w:type="dxa"/>
              <w:right w:w="70" w:type="dxa"/>
            </w:tcMar>
            <w:vAlign w:val="top"/>
          </w:tcPr>
          <w:p w14:paraId="67908CD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Autism spectrum disorder</w:t>
            </w:r>
          </w:p>
        </w:tc>
        <w:tc>
          <w:tcPr>
            <w:tcW w:w="1928" w:type="dxa"/>
            <w:shd w:val="clear" w:color="auto" w:fill="auto"/>
            <w:tcMar>
              <w:top w:w="45" w:type="dxa"/>
              <w:left w:w="70" w:type="dxa"/>
              <w:bottom w:w="45" w:type="dxa"/>
              <w:right w:w="70" w:type="dxa"/>
            </w:tcMar>
            <w:vAlign w:val="top"/>
          </w:tcPr>
          <w:p w14:paraId="60CB09E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Gestationally valproate-unexposed offspring</w:t>
            </w:r>
          </w:p>
        </w:tc>
        <w:tc>
          <w:tcPr>
            <w:tcW w:w="1191" w:type="dxa"/>
            <w:shd w:val="clear" w:color="auto" w:fill="auto"/>
            <w:tcMar>
              <w:top w:w="45" w:type="dxa"/>
              <w:left w:w="70" w:type="dxa"/>
              <w:bottom w:w="45" w:type="dxa"/>
              <w:right w:w="70" w:type="dxa"/>
            </w:tcMar>
            <w:vAlign w:val="top"/>
          </w:tcPr>
          <w:p w14:paraId="36ACAA2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aHR 3.10 (2.24–4.28)</w:t>
            </w:r>
          </w:p>
        </w:tc>
        <w:tc>
          <w:tcPr>
            <w:tcW w:w="822" w:type="dxa"/>
            <w:shd w:val="clear" w:color="auto" w:fill="auto"/>
            <w:tcMar>
              <w:top w:w="45" w:type="dxa"/>
              <w:left w:w="70" w:type="dxa"/>
              <w:bottom w:w="45" w:type="dxa"/>
              <w:right w:w="70" w:type="dxa"/>
            </w:tcMar>
            <w:vAlign w:val="top"/>
          </w:tcPr>
          <w:p w14:paraId="06D8CD0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Adjusted</w:t>
            </w:r>
          </w:p>
        </w:tc>
        <w:tc>
          <w:tcPr>
            <w:tcW w:w="2268" w:type="dxa"/>
            <w:shd w:val="clear" w:color="auto" w:fill="auto"/>
            <w:tcMar>
              <w:top w:w="45" w:type="dxa"/>
              <w:left w:w="70" w:type="dxa"/>
              <w:bottom w:w="45" w:type="dxa"/>
              <w:right w:w="70" w:type="dxa"/>
            </w:tcMar>
            <w:vAlign w:val="top"/>
          </w:tcPr>
          <w:p w14:paraId="6CC6B74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Yes—sensitivity restricted to ≥6 years follow-up and sibling comparison reported</w:t>
            </w:r>
          </w:p>
        </w:tc>
        <w:tc>
          <w:tcPr>
            <w:tcW w:w="567" w:type="dxa"/>
            <w:shd w:val="clear" w:color="auto" w:fill="auto"/>
            <w:tcMar>
              <w:top w:w="45" w:type="dxa"/>
              <w:left w:w="70" w:type="dxa"/>
              <w:bottom w:w="45" w:type="dxa"/>
              <w:right w:w="70" w:type="dxa"/>
            </w:tcMar>
            <w:vAlign w:val="top"/>
          </w:tcPr>
          <w:p w14:paraId="32E7653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Low</w:t>
            </w:r>
          </w:p>
        </w:tc>
        <w:tc>
          <w:tcPr>
            <w:tcW w:w="765" w:type="dxa"/>
            <w:shd w:val="clear" w:color="auto" w:fill="auto"/>
            <w:tcMar>
              <w:top w:w="45" w:type="dxa"/>
              <w:left w:w="70" w:type="dxa"/>
              <w:bottom w:w="45" w:type="dxa"/>
              <w:right w:w="70" w:type="dxa"/>
            </w:tcMar>
            <w:vAlign w:val="top"/>
          </w:tcPr>
          <w:p w14:paraId="1DD4A66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Class II</w:t>
            </w:r>
          </w:p>
        </w:tc>
        <w:tc>
          <w:tcPr>
            <w:tcW w:w="2324" w:type="dxa"/>
            <w:shd w:val="clear" w:color="auto" w:fill="auto"/>
            <w:tcMar>
              <w:top w:w="45" w:type="dxa"/>
              <w:left w:w="70" w:type="dxa"/>
              <w:bottom w:w="45" w:type="dxa"/>
              <w:right w:w="70" w:type="dxa"/>
            </w:tcMar>
            <w:vAlign w:val="top"/>
          </w:tcPr>
          <w:p w14:paraId="4A862A2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PDF pp.5–6 (printed pp.672–673), Table 1; PDF pp.7–8 (printed pp.674–675), Figures 2C and 4C; PDF p.8 (printed p.676), Section 4.3.12</w:t>
            </w:r>
          </w:p>
        </w:tc>
      </w:tr>
      <w:tr w14:paraId="46F7E6E4">
        <w:trPr>
          <w:cantSplit/>
          <w:jc w:val="center"/>
        </w:trPr>
        <w:tc>
          <w:tcPr>
            <w:tcW w:w="369" w:type="dxa"/>
            <w:shd w:val="clear" w:color="auto" w:fill="auto"/>
            <w:tcMar>
              <w:top w:w="45" w:type="dxa"/>
              <w:left w:w="70" w:type="dxa"/>
              <w:bottom w:w="45" w:type="dxa"/>
              <w:right w:w="70" w:type="dxa"/>
            </w:tcMar>
            <w:vAlign w:val="top"/>
          </w:tcPr>
          <w:p w14:paraId="1F839FD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13</w:t>
            </w:r>
          </w:p>
        </w:tc>
        <w:tc>
          <w:tcPr>
            <w:tcW w:w="1191" w:type="dxa"/>
            <w:shd w:val="clear" w:color="auto" w:fill="auto"/>
            <w:tcMar>
              <w:top w:w="45" w:type="dxa"/>
              <w:left w:w="70" w:type="dxa"/>
              <w:bottom w:w="45" w:type="dxa"/>
              <w:right w:w="70" w:type="dxa"/>
            </w:tcMar>
            <w:vAlign w:val="top"/>
          </w:tcPr>
          <w:p w14:paraId="26EEF6E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Andrade et al., 2025</w:t>
            </w:r>
          </w:p>
        </w:tc>
        <w:tc>
          <w:tcPr>
            <w:tcW w:w="822" w:type="dxa"/>
            <w:shd w:val="clear" w:color="auto" w:fill="auto"/>
            <w:tcMar>
              <w:top w:w="45" w:type="dxa"/>
              <w:left w:w="70" w:type="dxa"/>
              <w:bottom w:w="45" w:type="dxa"/>
              <w:right w:w="70" w:type="dxa"/>
            </w:tcMar>
            <w:vAlign w:val="top"/>
          </w:tcPr>
          <w:p w14:paraId="23F1515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Neurodevelopmental</w:t>
            </w:r>
          </w:p>
        </w:tc>
        <w:tc>
          <w:tcPr>
            <w:tcW w:w="1304" w:type="dxa"/>
            <w:shd w:val="clear" w:color="auto" w:fill="auto"/>
            <w:tcMar>
              <w:top w:w="45" w:type="dxa"/>
              <w:left w:w="70" w:type="dxa"/>
              <w:bottom w:w="45" w:type="dxa"/>
              <w:right w:w="70" w:type="dxa"/>
            </w:tcMar>
            <w:vAlign w:val="top"/>
          </w:tcPr>
          <w:p w14:paraId="77D1A71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Anytime gestational valproate exposure</w:t>
            </w:r>
          </w:p>
        </w:tc>
        <w:tc>
          <w:tcPr>
            <w:tcW w:w="1276" w:type="dxa"/>
            <w:shd w:val="clear" w:color="auto" w:fill="auto"/>
            <w:tcMar>
              <w:top w:w="45" w:type="dxa"/>
              <w:left w:w="70" w:type="dxa"/>
              <w:bottom w:w="45" w:type="dxa"/>
              <w:right w:w="70" w:type="dxa"/>
            </w:tcMar>
            <w:vAlign w:val="top"/>
          </w:tcPr>
          <w:p w14:paraId="23D7301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Attention-deficit/hyperactivity disorder</w:t>
            </w:r>
          </w:p>
        </w:tc>
        <w:tc>
          <w:tcPr>
            <w:tcW w:w="1928" w:type="dxa"/>
            <w:shd w:val="clear" w:color="auto" w:fill="auto"/>
            <w:tcMar>
              <w:top w:w="45" w:type="dxa"/>
              <w:left w:w="70" w:type="dxa"/>
              <w:bottom w:w="45" w:type="dxa"/>
              <w:right w:w="70" w:type="dxa"/>
            </w:tcMar>
            <w:vAlign w:val="top"/>
          </w:tcPr>
          <w:p w14:paraId="234224A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Gestationally valproate-unexposed offspring</w:t>
            </w:r>
          </w:p>
        </w:tc>
        <w:tc>
          <w:tcPr>
            <w:tcW w:w="1191" w:type="dxa"/>
            <w:shd w:val="clear" w:color="auto" w:fill="auto"/>
            <w:tcMar>
              <w:top w:w="45" w:type="dxa"/>
              <w:left w:w="70" w:type="dxa"/>
              <w:bottom w:w="45" w:type="dxa"/>
              <w:right w:w="70" w:type="dxa"/>
            </w:tcMar>
            <w:vAlign w:val="top"/>
          </w:tcPr>
          <w:p w14:paraId="194D9CA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aHR 1.62 (1.30–2.01)</w:t>
            </w:r>
          </w:p>
        </w:tc>
        <w:tc>
          <w:tcPr>
            <w:tcW w:w="822" w:type="dxa"/>
            <w:shd w:val="clear" w:color="auto" w:fill="auto"/>
            <w:tcMar>
              <w:top w:w="45" w:type="dxa"/>
              <w:left w:w="70" w:type="dxa"/>
              <w:bottom w:w="45" w:type="dxa"/>
              <w:right w:w="70" w:type="dxa"/>
            </w:tcMar>
            <w:vAlign w:val="top"/>
          </w:tcPr>
          <w:p w14:paraId="620C787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Adjusted</w:t>
            </w:r>
          </w:p>
        </w:tc>
        <w:tc>
          <w:tcPr>
            <w:tcW w:w="2268" w:type="dxa"/>
            <w:shd w:val="clear" w:color="auto" w:fill="auto"/>
            <w:tcMar>
              <w:top w:w="45" w:type="dxa"/>
              <w:left w:w="70" w:type="dxa"/>
              <w:bottom w:w="45" w:type="dxa"/>
              <w:right w:w="70" w:type="dxa"/>
            </w:tcMar>
            <w:vAlign w:val="top"/>
          </w:tcPr>
          <w:p w14:paraId="6BB21CC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Yes—sibling comparison sensitivity reported</w:t>
            </w:r>
          </w:p>
        </w:tc>
        <w:tc>
          <w:tcPr>
            <w:tcW w:w="567" w:type="dxa"/>
            <w:shd w:val="clear" w:color="auto" w:fill="auto"/>
            <w:tcMar>
              <w:top w:w="45" w:type="dxa"/>
              <w:left w:w="70" w:type="dxa"/>
              <w:bottom w:w="45" w:type="dxa"/>
              <w:right w:w="70" w:type="dxa"/>
            </w:tcMar>
            <w:vAlign w:val="top"/>
          </w:tcPr>
          <w:p w14:paraId="11A96F2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Very Low</w:t>
            </w:r>
          </w:p>
        </w:tc>
        <w:tc>
          <w:tcPr>
            <w:tcW w:w="765" w:type="dxa"/>
            <w:shd w:val="clear" w:color="auto" w:fill="auto"/>
            <w:tcMar>
              <w:top w:w="45" w:type="dxa"/>
              <w:left w:w="70" w:type="dxa"/>
              <w:bottom w:w="45" w:type="dxa"/>
              <w:right w:w="70" w:type="dxa"/>
            </w:tcMar>
            <w:vAlign w:val="top"/>
          </w:tcPr>
          <w:p w14:paraId="7C0B09A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Class IV</w:t>
            </w:r>
          </w:p>
        </w:tc>
        <w:tc>
          <w:tcPr>
            <w:tcW w:w="2324" w:type="dxa"/>
            <w:shd w:val="clear" w:color="auto" w:fill="auto"/>
            <w:tcMar>
              <w:top w:w="45" w:type="dxa"/>
              <w:left w:w="70" w:type="dxa"/>
              <w:bottom w:w="45" w:type="dxa"/>
              <w:right w:w="70" w:type="dxa"/>
            </w:tcMar>
            <w:vAlign w:val="top"/>
          </w:tcPr>
          <w:p w14:paraId="71852BA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PDF pp.5–6 (printed pp.672–673), Table 1; PDF pp.7–8 (printed pp.674–675), Figures 2C and 4C</w:t>
            </w:r>
          </w:p>
        </w:tc>
      </w:tr>
      <w:tr w14:paraId="56D3E249">
        <w:trPr>
          <w:cantSplit/>
          <w:jc w:val="center"/>
        </w:trPr>
        <w:tc>
          <w:tcPr>
            <w:tcW w:w="369" w:type="dxa"/>
            <w:shd w:val="clear" w:color="auto" w:fill="auto"/>
            <w:tcMar>
              <w:top w:w="45" w:type="dxa"/>
              <w:left w:w="70" w:type="dxa"/>
              <w:bottom w:w="45" w:type="dxa"/>
              <w:right w:w="70" w:type="dxa"/>
            </w:tcMar>
            <w:vAlign w:val="top"/>
          </w:tcPr>
          <w:p w14:paraId="2DF7FE0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14</w:t>
            </w:r>
          </w:p>
        </w:tc>
        <w:tc>
          <w:tcPr>
            <w:tcW w:w="1191" w:type="dxa"/>
            <w:shd w:val="clear" w:color="auto" w:fill="auto"/>
            <w:tcMar>
              <w:top w:w="45" w:type="dxa"/>
              <w:left w:w="70" w:type="dxa"/>
              <w:bottom w:w="45" w:type="dxa"/>
              <w:right w:w="70" w:type="dxa"/>
            </w:tcMar>
            <w:vAlign w:val="top"/>
          </w:tcPr>
          <w:p w14:paraId="4A87B19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Xu et al., 2024</w:t>
            </w:r>
          </w:p>
        </w:tc>
        <w:tc>
          <w:tcPr>
            <w:tcW w:w="822" w:type="dxa"/>
            <w:shd w:val="clear" w:color="auto" w:fill="auto"/>
            <w:tcMar>
              <w:top w:w="45" w:type="dxa"/>
              <w:left w:w="70" w:type="dxa"/>
              <w:bottom w:w="45" w:type="dxa"/>
              <w:right w:w="70" w:type="dxa"/>
            </w:tcMar>
            <w:vAlign w:val="top"/>
          </w:tcPr>
          <w:p w14:paraId="2BE40F5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Neurodevelopmental</w:t>
            </w:r>
          </w:p>
        </w:tc>
        <w:tc>
          <w:tcPr>
            <w:tcW w:w="1304" w:type="dxa"/>
            <w:shd w:val="clear" w:color="auto" w:fill="auto"/>
            <w:tcMar>
              <w:top w:w="45" w:type="dxa"/>
              <w:left w:w="70" w:type="dxa"/>
              <w:bottom w:w="45" w:type="dxa"/>
              <w:right w:w="70" w:type="dxa"/>
            </w:tcMar>
            <w:vAlign w:val="top"/>
          </w:tcPr>
          <w:p w14:paraId="08BEAD7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Any ASM exposure during pregnancy</w:t>
            </w:r>
          </w:p>
        </w:tc>
        <w:tc>
          <w:tcPr>
            <w:tcW w:w="1276" w:type="dxa"/>
            <w:shd w:val="clear" w:color="auto" w:fill="auto"/>
            <w:tcMar>
              <w:top w:w="45" w:type="dxa"/>
              <w:left w:w="70" w:type="dxa"/>
              <w:bottom w:w="45" w:type="dxa"/>
              <w:right w:w="70" w:type="dxa"/>
            </w:tcMar>
            <w:vAlign w:val="top"/>
          </w:tcPr>
          <w:p w14:paraId="720EB96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Autism spectrum disorder</w:t>
            </w:r>
          </w:p>
        </w:tc>
        <w:tc>
          <w:tcPr>
            <w:tcW w:w="1928" w:type="dxa"/>
            <w:shd w:val="clear" w:color="auto" w:fill="auto"/>
            <w:tcMar>
              <w:top w:w="45" w:type="dxa"/>
              <w:left w:w="70" w:type="dxa"/>
              <w:bottom w:w="45" w:type="dxa"/>
              <w:right w:w="70" w:type="dxa"/>
            </w:tcMar>
            <w:vAlign w:val="top"/>
          </w:tcPr>
          <w:p w14:paraId="2ACDD0D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Mothers with epilepsy or psychiatric disorder untreated with ASM during pregnancy</w:t>
            </w:r>
          </w:p>
        </w:tc>
        <w:tc>
          <w:tcPr>
            <w:tcW w:w="1191" w:type="dxa"/>
            <w:shd w:val="clear" w:color="auto" w:fill="auto"/>
            <w:tcMar>
              <w:top w:w="45" w:type="dxa"/>
              <w:left w:w="70" w:type="dxa"/>
              <w:bottom w:w="45" w:type="dxa"/>
              <w:right w:w="70" w:type="dxa"/>
            </w:tcMar>
            <w:vAlign w:val="top"/>
          </w:tcPr>
          <w:p w14:paraId="381DED9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OR 1.38 (1.11–1.73)</w:t>
            </w:r>
          </w:p>
        </w:tc>
        <w:tc>
          <w:tcPr>
            <w:tcW w:w="822" w:type="dxa"/>
            <w:shd w:val="clear" w:color="auto" w:fill="auto"/>
            <w:tcMar>
              <w:top w:w="45" w:type="dxa"/>
              <w:left w:w="70" w:type="dxa"/>
              <w:bottom w:w="45" w:type="dxa"/>
              <w:right w:w="70" w:type="dxa"/>
            </w:tcMar>
            <w:vAlign w:val="top"/>
          </w:tcPr>
          <w:p w14:paraId="2A8CC99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Adjusted</w:t>
            </w:r>
          </w:p>
        </w:tc>
        <w:tc>
          <w:tcPr>
            <w:tcW w:w="2268" w:type="dxa"/>
            <w:shd w:val="clear" w:color="auto" w:fill="auto"/>
            <w:tcMar>
              <w:top w:w="45" w:type="dxa"/>
              <w:left w:w="70" w:type="dxa"/>
              <w:bottom w:w="45" w:type="dxa"/>
              <w:right w:w="70" w:type="dxa"/>
            </w:tcMar>
            <w:vAlign w:val="top"/>
          </w:tcPr>
          <w:p w14:paraId="6002E1C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Yes—indication-matched analysis and sensitivity subgroups reported</w:t>
            </w:r>
          </w:p>
        </w:tc>
        <w:tc>
          <w:tcPr>
            <w:tcW w:w="567" w:type="dxa"/>
            <w:shd w:val="clear" w:color="auto" w:fill="auto"/>
            <w:tcMar>
              <w:top w:w="45" w:type="dxa"/>
              <w:left w:w="70" w:type="dxa"/>
              <w:bottom w:w="45" w:type="dxa"/>
              <w:right w:w="70" w:type="dxa"/>
            </w:tcMar>
            <w:vAlign w:val="top"/>
          </w:tcPr>
          <w:p w14:paraId="390B442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Very Low</w:t>
            </w:r>
          </w:p>
        </w:tc>
        <w:tc>
          <w:tcPr>
            <w:tcW w:w="765" w:type="dxa"/>
            <w:shd w:val="clear" w:color="auto" w:fill="auto"/>
            <w:tcMar>
              <w:top w:w="45" w:type="dxa"/>
              <w:left w:w="70" w:type="dxa"/>
              <w:bottom w:w="45" w:type="dxa"/>
              <w:right w:w="70" w:type="dxa"/>
            </w:tcMar>
            <w:vAlign w:val="top"/>
          </w:tcPr>
          <w:p w14:paraId="5A3BD7C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Class IV</w:t>
            </w:r>
          </w:p>
        </w:tc>
        <w:tc>
          <w:tcPr>
            <w:tcW w:w="2324" w:type="dxa"/>
            <w:shd w:val="clear" w:color="auto" w:fill="auto"/>
            <w:tcMar>
              <w:top w:w="45" w:type="dxa"/>
              <w:left w:w="70" w:type="dxa"/>
              <w:bottom w:w="45" w:type="dxa"/>
              <w:right w:w="70" w:type="dxa"/>
            </w:tcMar>
            <w:vAlign w:val="top"/>
          </w:tcPr>
          <w:p w14:paraId="681B47B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PDF pp.4–5 (printed pp.04–05), Table 1; PDF pp.6–8 (printed pp.06–08), indication-matched analyses and Limitations</w:t>
            </w:r>
          </w:p>
        </w:tc>
      </w:tr>
      <w:tr w14:paraId="1BD615BF">
        <w:trPr>
          <w:cantSplit/>
          <w:jc w:val="center"/>
        </w:trPr>
        <w:tc>
          <w:tcPr>
            <w:tcW w:w="369" w:type="dxa"/>
            <w:shd w:val="clear" w:color="auto" w:fill="auto"/>
            <w:tcMar>
              <w:top w:w="45" w:type="dxa"/>
              <w:left w:w="70" w:type="dxa"/>
              <w:bottom w:w="45" w:type="dxa"/>
              <w:right w:w="70" w:type="dxa"/>
            </w:tcMar>
            <w:vAlign w:val="top"/>
          </w:tcPr>
          <w:p w14:paraId="08DAC39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15</w:t>
            </w:r>
          </w:p>
        </w:tc>
        <w:tc>
          <w:tcPr>
            <w:tcW w:w="1191" w:type="dxa"/>
            <w:shd w:val="clear" w:color="auto" w:fill="auto"/>
            <w:tcMar>
              <w:top w:w="45" w:type="dxa"/>
              <w:left w:w="70" w:type="dxa"/>
              <w:bottom w:w="45" w:type="dxa"/>
              <w:right w:w="70" w:type="dxa"/>
            </w:tcMar>
            <w:vAlign w:val="top"/>
          </w:tcPr>
          <w:p w14:paraId="035410E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Xu et al., 2024</w:t>
            </w:r>
          </w:p>
        </w:tc>
        <w:tc>
          <w:tcPr>
            <w:tcW w:w="822" w:type="dxa"/>
            <w:shd w:val="clear" w:color="auto" w:fill="auto"/>
            <w:tcMar>
              <w:top w:w="45" w:type="dxa"/>
              <w:left w:w="70" w:type="dxa"/>
              <w:bottom w:w="45" w:type="dxa"/>
              <w:right w:w="70" w:type="dxa"/>
            </w:tcMar>
            <w:vAlign w:val="top"/>
          </w:tcPr>
          <w:p w14:paraId="41A801E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Neurodevelopmental</w:t>
            </w:r>
          </w:p>
        </w:tc>
        <w:tc>
          <w:tcPr>
            <w:tcW w:w="1304" w:type="dxa"/>
            <w:shd w:val="clear" w:color="auto" w:fill="auto"/>
            <w:tcMar>
              <w:top w:w="45" w:type="dxa"/>
              <w:left w:w="70" w:type="dxa"/>
              <w:bottom w:w="45" w:type="dxa"/>
              <w:right w:w="70" w:type="dxa"/>
            </w:tcMar>
            <w:vAlign w:val="top"/>
          </w:tcPr>
          <w:p w14:paraId="5FA974A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Any ASM exposure during pregnancy</w:t>
            </w:r>
          </w:p>
        </w:tc>
        <w:tc>
          <w:tcPr>
            <w:tcW w:w="1276" w:type="dxa"/>
            <w:shd w:val="clear" w:color="auto" w:fill="auto"/>
            <w:tcMar>
              <w:top w:w="45" w:type="dxa"/>
              <w:left w:w="70" w:type="dxa"/>
              <w:bottom w:w="45" w:type="dxa"/>
              <w:right w:w="70" w:type="dxa"/>
            </w:tcMar>
            <w:vAlign w:val="top"/>
          </w:tcPr>
          <w:p w14:paraId="511060E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Attention-deficit/hyperactivity disorder</w:t>
            </w:r>
          </w:p>
        </w:tc>
        <w:tc>
          <w:tcPr>
            <w:tcW w:w="1928" w:type="dxa"/>
            <w:shd w:val="clear" w:color="auto" w:fill="auto"/>
            <w:tcMar>
              <w:top w:w="45" w:type="dxa"/>
              <w:left w:w="70" w:type="dxa"/>
              <w:bottom w:w="45" w:type="dxa"/>
              <w:right w:w="70" w:type="dxa"/>
            </w:tcMar>
            <w:vAlign w:val="top"/>
          </w:tcPr>
          <w:p w14:paraId="0238004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Mothers with epilepsy or psychiatric disorder untreated with ASM during pregnancy</w:t>
            </w:r>
          </w:p>
        </w:tc>
        <w:tc>
          <w:tcPr>
            <w:tcW w:w="1191" w:type="dxa"/>
            <w:shd w:val="clear" w:color="auto" w:fill="auto"/>
            <w:tcMar>
              <w:top w:w="45" w:type="dxa"/>
              <w:left w:w="70" w:type="dxa"/>
              <w:bottom w:w="45" w:type="dxa"/>
              <w:right w:w="70" w:type="dxa"/>
            </w:tcMar>
            <w:vAlign w:val="top"/>
          </w:tcPr>
          <w:p w14:paraId="5236C97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OR 1.23 (1.02–1.48)</w:t>
            </w:r>
          </w:p>
        </w:tc>
        <w:tc>
          <w:tcPr>
            <w:tcW w:w="822" w:type="dxa"/>
            <w:shd w:val="clear" w:color="auto" w:fill="auto"/>
            <w:tcMar>
              <w:top w:w="45" w:type="dxa"/>
              <w:left w:w="70" w:type="dxa"/>
              <w:bottom w:w="45" w:type="dxa"/>
              <w:right w:w="70" w:type="dxa"/>
            </w:tcMar>
            <w:vAlign w:val="top"/>
          </w:tcPr>
          <w:p w14:paraId="0DD3C3A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Adjusted</w:t>
            </w:r>
          </w:p>
        </w:tc>
        <w:tc>
          <w:tcPr>
            <w:tcW w:w="2268" w:type="dxa"/>
            <w:shd w:val="clear" w:color="auto" w:fill="auto"/>
            <w:tcMar>
              <w:top w:w="45" w:type="dxa"/>
              <w:left w:w="70" w:type="dxa"/>
              <w:bottom w:w="45" w:type="dxa"/>
              <w:right w:w="70" w:type="dxa"/>
            </w:tcMar>
            <w:vAlign w:val="top"/>
          </w:tcPr>
          <w:p w14:paraId="3159CC5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Yes—sensitivity subgroup analyses reported</w:t>
            </w:r>
          </w:p>
        </w:tc>
        <w:tc>
          <w:tcPr>
            <w:tcW w:w="567" w:type="dxa"/>
            <w:shd w:val="clear" w:color="auto" w:fill="auto"/>
            <w:tcMar>
              <w:top w:w="45" w:type="dxa"/>
              <w:left w:w="70" w:type="dxa"/>
              <w:bottom w:w="45" w:type="dxa"/>
              <w:right w:w="70" w:type="dxa"/>
            </w:tcMar>
            <w:vAlign w:val="top"/>
          </w:tcPr>
          <w:p w14:paraId="3D0D9E5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Very Low</w:t>
            </w:r>
          </w:p>
        </w:tc>
        <w:tc>
          <w:tcPr>
            <w:tcW w:w="765" w:type="dxa"/>
            <w:shd w:val="clear" w:color="auto" w:fill="auto"/>
            <w:tcMar>
              <w:top w:w="45" w:type="dxa"/>
              <w:left w:w="70" w:type="dxa"/>
              <w:bottom w:w="45" w:type="dxa"/>
              <w:right w:w="70" w:type="dxa"/>
            </w:tcMar>
            <w:vAlign w:val="top"/>
          </w:tcPr>
          <w:p w14:paraId="296D1F8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Class IV</w:t>
            </w:r>
          </w:p>
        </w:tc>
        <w:tc>
          <w:tcPr>
            <w:tcW w:w="2324" w:type="dxa"/>
            <w:shd w:val="clear" w:color="auto" w:fill="auto"/>
            <w:tcMar>
              <w:top w:w="45" w:type="dxa"/>
              <w:left w:w="70" w:type="dxa"/>
              <w:bottom w:w="45" w:type="dxa"/>
              <w:right w:w="70" w:type="dxa"/>
            </w:tcMar>
            <w:vAlign w:val="top"/>
          </w:tcPr>
          <w:p w14:paraId="59AB6C3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PDF pp.4–5 (printed pp.04–05), Table 1; PDF pp.6–8 (printed pp.06–08)</w:t>
            </w:r>
          </w:p>
        </w:tc>
      </w:tr>
      <w:tr w14:paraId="778EF1A9">
        <w:trPr>
          <w:cantSplit/>
          <w:jc w:val="center"/>
        </w:trPr>
        <w:tc>
          <w:tcPr>
            <w:tcW w:w="369" w:type="dxa"/>
            <w:shd w:val="clear" w:color="auto" w:fill="auto"/>
            <w:tcMar>
              <w:top w:w="45" w:type="dxa"/>
              <w:left w:w="70" w:type="dxa"/>
              <w:bottom w:w="45" w:type="dxa"/>
              <w:right w:w="70" w:type="dxa"/>
            </w:tcMar>
            <w:vAlign w:val="top"/>
          </w:tcPr>
          <w:p w14:paraId="6435B62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16</w:t>
            </w:r>
          </w:p>
        </w:tc>
        <w:tc>
          <w:tcPr>
            <w:tcW w:w="1191" w:type="dxa"/>
            <w:shd w:val="clear" w:color="auto" w:fill="auto"/>
            <w:tcMar>
              <w:top w:w="45" w:type="dxa"/>
              <w:left w:w="70" w:type="dxa"/>
              <w:bottom w:w="45" w:type="dxa"/>
              <w:right w:w="70" w:type="dxa"/>
            </w:tcMar>
            <w:vAlign w:val="top"/>
          </w:tcPr>
          <w:p w14:paraId="7F9C9CD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Peron et al., 2024</w:t>
            </w:r>
          </w:p>
        </w:tc>
        <w:tc>
          <w:tcPr>
            <w:tcW w:w="822" w:type="dxa"/>
            <w:shd w:val="clear" w:color="auto" w:fill="auto"/>
            <w:tcMar>
              <w:top w:w="45" w:type="dxa"/>
              <w:left w:w="70" w:type="dxa"/>
              <w:bottom w:w="45" w:type="dxa"/>
              <w:right w:w="70" w:type="dxa"/>
            </w:tcMar>
            <w:vAlign w:val="top"/>
          </w:tcPr>
          <w:p w14:paraId="7EB27F6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Neurodevelopmental</w:t>
            </w:r>
          </w:p>
        </w:tc>
        <w:tc>
          <w:tcPr>
            <w:tcW w:w="1304" w:type="dxa"/>
            <w:shd w:val="clear" w:color="auto" w:fill="auto"/>
            <w:tcMar>
              <w:top w:w="45" w:type="dxa"/>
              <w:left w:w="70" w:type="dxa"/>
              <w:bottom w:w="45" w:type="dxa"/>
              <w:right w:w="70" w:type="dxa"/>
            </w:tcMar>
            <w:vAlign w:val="top"/>
          </w:tcPr>
          <w:p w14:paraId="575E940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Lamotrigine monotherapy</w:t>
            </w:r>
          </w:p>
        </w:tc>
        <w:tc>
          <w:tcPr>
            <w:tcW w:w="1276" w:type="dxa"/>
            <w:shd w:val="clear" w:color="auto" w:fill="auto"/>
            <w:tcMar>
              <w:top w:w="45" w:type="dxa"/>
              <w:left w:w="70" w:type="dxa"/>
              <w:bottom w:w="45" w:type="dxa"/>
              <w:right w:w="70" w:type="dxa"/>
            </w:tcMar>
            <w:vAlign w:val="top"/>
          </w:tcPr>
          <w:p w14:paraId="21648ED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Autism spectrum disorder</w:t>
            </w:r>
          </w:p>
        </w:tc>
        <w:tc>
          <w:tcPr>
            <w:tcW w:w="1928" w:type="dxa"/>
            <w:shd w:val="clear" w:color="auto" w:fill="auto"/>
            <w:tcMar>
              <w:top w:w="45" w:type="dxa"/>
              <w:left w:w="70" w:type="dxa"/>
              <w:bottom w:w="45" w:type="dxa"/>
              <w:right w:w="70" w:type="dxa"/>
            </w:tcMar>
            <w:vAlign w:val="top"/>
          </w:tcPr>
          <w:p w14:paraId="62E6703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Mixed untreated comparators (4 untreated WWE; 1 disease-free control)</w:t>
            </w:r>
          </w:p>
        </w:tc>
        <w:tc>
          <w:tcPr>
            <w:tcW w:w="1191" w:type="dxa"/>
            <w:shd w:val="clear" w:color="auto" w:fill="auto"/>
            <w:tcMar>
              <w:top w:w="45" w:type="dxa"/>
              <w:left w:w="70" w:type="dxa"/>
              <w:bottom w:w="45" w:type="dxa"/>
              <w:right w:w="70" w:type="dxa"/>
            </w:tcMar>
            <w:vAlign w:val="top"/>
          </w:tcPr>
          <w:p w14:paraId="2DC9EDD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OR 0.97 (0.61–1.53)</w:t>
            </w:r>
          </w:p>
        </w:tc>
        <w:tc>
          <w:tcPr>
            <w:tcW w:w="822" w:type="dxa"/>
            <w:shd w:val="clear" w:color="auto" w:fill="auto"/>
            <w:tcMar>
              <w:top w:w="45" w:type="dxa"/>
              <w:left w:w="70" w:type="dxa"/>
              <w:bottom w:w="45" w:type="dxa"/>
              <w:right w:w="70" w:type="dxa"/>
            </w:tcMar>
            <w:vAlign w:val="top"/>
          </w:tcPr>
          <w:p w14:paraId="7145F11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Mixed</w:t>
            </w:r>
          </w:p>
        </w:tc>
        <w:tc>
          <w:tcPr>
            <w:tcW w:w="2268" w:type="dxa"/>
            <w:shd w:val="clear" w:color="auto" w:fill="auto"/>
            <w:tcMar>
              <w:top w:w="45" w:type="dxa"/>
              <w:left w:w="70" w:type="dxa"/>
              <w:bottom w:w="45" w:type="dxa"/>
              <w:right w:w="70" w:type="dxa"/>
            </w:tcMar>
            <w:vAlign w:val="top"/>
          </w:tcPr>
          <w:p w14:paraId="2A61B8A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Yes—sensitivity on bias, comparator type, and outcome definitions reported</w:t>
            </w:r>
          </w:p>
        </w:tc>
        <w:tc>
          <w:tcPr>
            <w:tcW w:w="567" w:type="dxa"/>
            <w:shd w:val="clear" w:color="auto" w:fill="auto"/>
            <w:tcMar>
              <w:top w:w="45" w:type="dxa"/>
              <w:left w:w="70" w:type="dxa"/>
              <w:bottom w:w="45" w:type="dxa"/>
              <w:right w:w="70" w:type="dxa"/>
            </w:tcMar>
            <w:vAlign w:val="top"/>
          </w:tcPr>
          <w:p w14:paraId="7D2E60E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Very Low</w:t>
            </w:r>
          </w:p>
        </w:tc>
        <w:tc>
          <w:tcPr>
            <w:tcW w:w="765" w:type="dxa"/>
            <w:shd w:val="clear" w:color="auto" w:fill="auto"/>
            <w:tcMar>
              <w:top w:w="45" w:type="dxa"/>
              <w:left w:w="70" w:type="dxa"/>
              <w:bottom w:w="45" w:type="dxa"/>
              <w:right w:w="70" w:type="dxa"/>
            </w:tcMar>
            <w:vAlign w:val="top"/>
          </w:tcPr>
          <w:p w14:paraId="7C72FC4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NS</w:t>
            </w:r>
          </w:p>
        </w:tc>
        <w:tc>
          <w:tcPr>
            <w:tcW w:w="2324" w:type="dxa"/>
            <w:shd w:val="clear" w:color="auto" w:fill="auto"/>
            <w:tcMar>
              <w:top w:w="45" w:type="dxa"/>
              <w:left w:w="70" w:type="dxa"/>
              <w:bottom w:w="45" w:type="dxa"/>
              <w:right w:w="70" w:type="dxa"/>
            </w:tcMar>
            <w:vAlign w:val="top"/>
          </w:tcPr>
          <w:p w14:paraId="3A4EAA5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Main PDF pp.3–12, Table 1, Table 2 and Figure 2; ESM Supplement S2 Table 1 (correspondence matrix), Table 2 (T2R1–T2R54), Table 3</w:t>
            </w:r>
          </w:p>
        </w:tc>
      </w:tr>
      <w:tr w14:paraId="39D868C5">
        <w:trPr>
          <w:cantSplit/>
          <w:jc w:val="center"/>
        </w:trPr>
        <w:tc>
          <w:tcPr>
            <w:tcW w:w="369" w:type="dxa"/>
            <w:shd w:val="clear" w:color="auto" w:fill="auto"/>
            <w:tcMar>
              <w:top w:w="45" w:type="dxa"/>
              <w:left w:w="70" w:type="dxa"/>
              <w:bottom w:w="45" w:type="dxa"/>
              <w:right w:w="70" w:type="dxa"/>
            </w:tcMar>
            <w:vAlign w:val="top"/>
          </w:tcPr>
          <w:p w14:paraId="3851B59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17</w:t>
            </w:r>
          </w:p>
        </w:tc>
        <w:tc>
          <w:tcPr>
            <w:tcW w:w="1191" w:type="dxa"/>
            <w:shd w:val="clear" w:color="auto" w:fill="auto"/>
            <w:tcMar>
              <w:top w:w="45" w:type="dxa"/>
              <w:left w:w="70" w:type="dxa"/>
              <w:bottom w:w="45" w:type="dxa"/>
              <w:right w:w="70" w:type="dxa"/>
            </w:tcMar>
            <w:vAlign w:val="top"/>
          </w:tcPr>
          <w:p w14:paraId="621E486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Peron et al., 2024</w:t>
            </w:r>
          </w:p>
        </w:tc>
        <w:tc>
          <w:tcPr>
            <w:tcW w:w="822" w:type="dxa"/>
            <w:shd w:val="clear" w:color="auto" w:fill="auto"/>
            <w:tcMar>
              <w:top w:w="45" w:type="dxa"/>
              <w:left w:w="70" w:type="dxa"/>
              <w:bottom w:w="45" w:type="dxa"/>
              <w:right w:w="70" w:type="dxa"/>
            </w:tcMar>
            <w:vAlign w:val="top"/>
          </w:tcPr>
          <w:p w14:paraId="722D3ED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Neurodevelopmental</w:t>
            </w:r>
          </w:p>
        </w:tc>
        <w:tc>
          <w:tcPr>
            <w:tcW w:w="1304" w:type="dxa"/>
            <w:shd w:val="clear" w:color="auto" w:fill="auto"/>
            <w:tcMar>
              <w:top w:w="45" w:type="dxa"/>
              <w:left w:w="70" w:type="dxa"/>
              <w:bottom w:w="45" w:type="dxa"/>
              <w:right w:w="70" w:type="dxa"/>
            </w:tcMar>
            <w:vAlign w:val="top"/>
          </w:tcPr>
          <w:p w14:paraId="75B5165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Lamotrigine monotherapy</w:t>
            </w:r>
          </w:p>
        </w:tc>
        <w:tc>
          <w:tcPr>
            <w:tcW w:w="1276" w:type="dxa"/>
            <w:shd w:val="clear" w:color="auto" w:fill="auto"/>
            <w:tcMar>
              <w:top w:w="45" w:type="dxa"/>
              <w:left w:w="70" w:type="dxa"/>
              <w:bottom w:w="45" w:type="dxa"/>
              <w:right w:w="70" w:type="dxa"/>
            </w:tcMar>
            <w:vAlign w:val="top"/>
          </w:tcPr>
          <w:p w14:paraId="79A060D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Attention-deficit/hyperactivity disorder</w:t>
            </w:r>
          </w:p>
        </w:tc>
        <w:tc>
          <w:tcPr>
            <w:tcW w:w="1928" w:type="dxa"/>
            <w:shd w:val="clear" w:color="auto" w:fill="auto"/>
            <w:tcMar>
              <w:top w:w="45" w:type="dxa"/>
              <w:left w:w="70" w:type="dxa"/>
              <w:bottom w:w="45" w:type="dxa"/>
              <w:right w:w="70" w:type="dxa"/>
            </w:tcMar>
            <w:vAlign w:val="top"/>
          </w:tcPr>
          <w:p w14:paraId="5170048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color w:val="auto"/>
                <w:sz w:val="13"/>
              </w:rPr>
              <w:t>Mixed untreated comparators (3 untreated WWE; 1 unspecified untreated control)</w:t>
            </w:r>
          </w:p>
        </w:tc>
        <w:tc>
          <w:tcPr>
            <w:tcW w:w="1191" w:type="dxa"/>
            <w:shd w:val="clear" w:color="auto" w:fill="auto"/>
            <w:tcMar>
              <w:top w:w="45" w:type="dxa"/>
              <w:left w:w="70" w:type="dxa"/>
              <w:bottom w:w="45" w:type="dxa"/>
              <w:right w:w="70" w:type="dxa"/>
            </w:tcMar>
            <w:vAlign w:val="top"/>
          </w:tcPr>
          <w:p w14:paraId="3DAB557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OR 1.14 (0.75–1.72)</w:t>
            </w:r>
          </w:p>
        </w:tc>
        <w:tc>
          <w:tcPr>
            <w:tcW w:w="822" w:type="dxa"/>
            <w:shd w:val="clear" w:color="auto" w:fill="auto"/>
            <w:tcMar>
              <w:top w:w="45" w:type="dxa"/>
              <w:left w:w="70" w:type="dxa"/>
              <w:bottom w:w="45" w:type="dxa"/>
              <w:right w:w="70" w:type="dxa"/>
            </w:tcMar>
            <w:vAlign w:val="top"/>
          </w:tcPr>
          <w:p w14:paraId="2A7ACE4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Mixed</w:t>
            </w:r>
          </w:p>
        </w:tc>
        <w:tc>
          <w:tcPr>
            <w:tcW w:w="2268" w:type="dxa"/>
            <w:shd w:val="clear" w:color="auto" w:fill="auto"/>
            <w:tcMar>
              <w:top w:w="45" w:type="dxa"/>
              <w:left w:w="70" w:type="dxa"/>
              <w:bottom w:w="45" w:type="dxa"/>
              <w:right w:w="70" w:type="dxa"/>
            </w:tcMar>
            <w:vAlign w:val="top"/>
          </w:tcPr>
          <w:p w14:paraId="6D04758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Yes—sensitivity on bias, comparator type, and outcome definitions reported</w:t>
            </w:r>
          </w:p>
        </w:tc>
        <w:tc>
          <w:tcPr>
            <w:tcW w:w="567" w:type="dxa"/>
            <w:shd w:val="clear" w:color="auto" w:fill="auto"/>
            <w:tcMar>
              <w:top w:w="45" w:type="dxa"/>
              <w:left w:w="70" w:type="dxa"/>
              <w:bottom w:w="45" w:type="dxa"/>
              <w:right w:w="70" w:type="dxa"/>
            </w:tcMar>
            <w:vAlign w:val="top"/>
          </w:tcPr>
          <w:p w14:paraId="279E830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Very Low</w:t>
            </w:r>
          </w:p>
        </w:tc>
        <w:tc>
          <w:tcPr>
            <w:tcW w:w="765" w:type="dxa"/>
            <w:shd w:val="clear" w:color="auto" w:fill="auto"/>
            <w:tcMar>
              <w:top w:w="45" w:type="dxa"/>
              <w:left w:w="70" w:type="dxa"/>
              <w:bottom w:w="45" w:type="dxa"/>
              <w:right w:w="70" w:type="dxa"/>
            </w:tcMar>
            <w:vAlign w:val="top"/>
          </w:tcPr>
          <w:p w14:paraId="5736BE5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NS</w:t>
            </w:r>
          </w:p>
        </w:tc>
        <w:tc>
          <w:tcPr>
            <w:tcW w:w="2324" w:type="dxa"/>
            <w:shd w:val="clear" w:color="auto" w:fill="auto"/>
            <w:tcMar>
              <w:top w:w="45" w:type="dxa"/>
              <w:left w:w="70" w:type="dxa"/>
              <w:bottom w:w="45" w:type="dxa"/>
              <w:right w:w="70" w:type="dxa"/>
            </w:tcMar>
            <w:vAlign w:val="top"/>
          </w:tcPr>
          <w:p w14:paraId="2F28FBC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3"/>
              </w:rPr>
              <w:t>Main PDF pp.3–12, Table 1, Table 2 and Figure 2; ESM Supplement S2 Table 1 (correspondence matrix), Table 2 (T2R1–T2R54), Table 3</w:t>
            </w:r>
          </w:p>
        </w:tc>
      </w:tr>
    </w:tbl>
    <w:p w14:paraId="7A93AD6D">
      <w:pPr>
        <w:spacing w:before="140" w:after="60"/>
        <w:rPr>
          <w:rFonts w:hint="default" w:ascii="Times New Roman Bold" w:hAnsi="Times New Roman Bold" w:cs="Times New Roman Bold"/>
          <w:b/>
          <w:bCs w:val="0"/>
          <w:color w:val="auto"/>
        </w:rPr>
      </w:pPr>
      <w:r>
        <w:rPr>
          <w:rFonts w:hint="default" w:ascii="Times New Roman Bold" w:hAnsi="Times New Roman Bold" w:cs="Times New Roman Bold"/>
          <w:b/>
          <w:bCs w:val="0"/>
          <w:i w:val="0"/>
          <w:color w:val="auto"/>
          <w:sz w:val="17"/>
        </w:rPr>
        <w:t>Panel B. Covariate-adjustment domains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48"/>
        <w:gridCol w:w="1448"/>
        <w:gridCol w:w="1448"/>
        <w:gridCol w:w="1448"/>
        <w:gridCol w:w="1448"/>
        <w:gridCol w:w="1448"/>
        <w:gridCol w:w="1448"/>
        <w:gridCol w:w="1448"/>
        <w:gridCol w:w="1448"/>
        <w:gridCol w:w="1448"/>
        <w:gridCol w:w="1448"/>
      </w:tblGrid>
      <w:tr w14:paraId="5E6616F6">
        <w:trPr>
          <w:tblHeader/>
          <w:jc w:val="center"/>
        </w:trPr>
        <w:tc>
          <w:tcPr>
            <w:tcW w:w="397" w:type="dxa"/>
            <w:shd w:val="clear" w:color="auto" w:fill="auto"/>
            <w:tcMar>
              <w:top w:w="45" w:type="dxa"/>
              <w:left w:w="70" w:type="dxa"/>
              <w:bottom w:w="45" w:type="dxa"/>
              <w:right w:w="70" w:type="dxa"/>
            </w:tcMar>
            <w:vAlign w:val="top"/>
          </w:tcPr>
          <w:p w14:paraId="146DF8EA">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4"/>
              </w:rPr>
              <w:t>No.</w:t>
            </w:r>
          </w:p>
        </w:tc>
        <w:tc>
          <w:tcPr>
            <w:tcW w:w="1304" w:type="dxa"/>
            <w:shd w:val="clear" w:color="auto" w:fill="auto"/>
            <w:tcMar>
              <w:top w:w="45" w:type="dxa"/>
              <w:left w:w="70" w:type="dxa"/>
              <w:bottom w:w="45" w:type="dxa"/>
              <w:right w:w="70" w:type="dxa"/>
            </w:tcMar>
            <w:vAlign w:val="top"/>
          </w:tcPr>
          <w:p w14:paraId="1BEFDDBD">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4"/>
              </w:rPr>
              <w:t>Review</w:t>
            </w:r>
          </w:p>
        </w:tc>
        <w:tc>
          <w:tcPr>
            <w:tcW w:w="1984" w:type="dxa"/>
            <w:shd w:val="clear" w:color="auto" w:fill="auto"/>
            <w:tcMar>
              <w:top w:w="45" w:type="dxa"/>
              <w:left w:w="70" w:type="dxa"/>
              <w:bottom w:w="45" w:type="dxa"/>
              <w:right w:w="70" w:type="dxa"/>
            </w:tcMar>
            <w:vAlign w:val="top"/>
          </w:tcPr>
          <w:p w14:paraId="38F13239">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4"/>
              </w:rPr>
              <w:t>Outcome</w:t>
            </w:r>
          </w:p>
        </w:tc>
        <w:tc>
          <w:tcPr>
            <w:tcW w:w="964" w:type="dxa"/>
            <w:shd w:val="clear" w:color="auto" w:fill="auto"/>
            <w:tcMar>
              <w:top w:w="45" w:type="dxa"/>
              <w:left w:w="70" w:type="dxa"/>
              <w:bottom w:w="45" w:type="dxa"/>
              <w:right w:w="70" w:type="dxa"/>
            </w:tcMar>
            <w:vAlign w:val="top"/>
          </w:tcPr>
          <w:p w14:paraId="53DAC6DA">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4"/>
              </w:rPr>
              <w:t>Sex</w:t>
            </w:r>
          </w:p>
        </w:tc>
        <w:tc>
          <w:tcPr>
            <w:tcW w:w="1020" w:type="dxa"/>
            <w:shd w:val="clear" w:color="auto" w:fill="auto"/>
            <w:tcMar>
              <w:top w:w="45" w:type="dxa"/>
              <w:left w:w="70" w:type="dxa"/>
              <w:bottom w:w="45" w:type="dxa"/>
              <w:right w:w="70" w:type="dxa"/>
            </w:tcMar>
            <w:vAlign w:val="top"/>
          </w:tcPr>
          <w:p w14:paraId="29885EC2">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4"/>
              </w:rPr>
              <w:t>Birthweight</w:t>
            </w:r>
          </w:p>
        </w:tc>
        <w:tc>
          <w:tcPr>
            <w:tcW w:w="1020" w:type="dxa"/>
            <w:shd w:val="clear" w:color="auto" w:fill="auto"/>
            <w:tcMar>
              <w:top w:w="45" w:type="dxa"/>
              <w:left w:w="70" w:type="dxa"/>
              <w:bottom w:w="45" w:type="dxa"/>
              <w:right w:w="70" w:type="dxa"/>
            </w:tcMar>
            <w:vAlign w:val="top"/>
          </w:tcPr>
          <w:p w14:paraId="5E935CD5">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4"/>
              </w:rPr>
              <w:t>Indication</w:t>
            </w:r>
          </w:p>
        </w:tc>
        <w:tc>
          <w:tcPr>
            <w:tcW w:w="1077" w:type="dxa"/>
            <w:shd w:val="clear" w:color="auto" w:fill="auto"/>
            <w:tcMar>
              <w:top w:w="45" w:type="dxa"/>
              <w:left w:w="70" w:type="dxa"/>
              <w:bottom w:w="45" w:type="dxa"/>
              <w:right w:w="70" w:type="dxa"/>
            </w:tcMar>
            <w:vAlign w:val="top"/>
          </w:tcPr>
          <w:p w14:paraId="44D0D599">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4"/>
              </w:rPr>
              <w:t>Maternal age</w:t>
            </w:r>
          </w:p>
        </w:tc>
        <w:tc>
          <w:tcPr>
            <w:tcW w:w="1247" w:type="dxa"/>
            <w:shd w:val="clear" w:color="auto" w:fill="auto"/>
            <w:tcMar>
              <w:top w:w="45" w:type="dxa"/>
              <w:left w:w="70" w:type="dxa"/>
              <w:bottom w:w="45" w:type="dxa"/>
              <w:right w:w="70" w:type="dxa"/>
            </w:tcMar>
            <w:vAlign w:val="top"/>
          </w:tcPr>
          <w:p w14:paraId="77189E33">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4"/>
              </w:rPr>
              <w:t>Socioeconomic factors</w:t>
            </w:r>
          </w:p>
        </w:tc>
        <w:tc>
          <w:tcPr>
            <w:tcW w:w="1304" w:type="dxa"/>
            <w:shd w:val="clear" w:color="auto" w:fill="auto"/>
            <w:tcMar>
              <w:top w:w="45" w:type="dxa"/>
              <w:left w:w="70" w:type="dxa"/>
              <w:bottom w:w="45" w:type="dxa"/>
              <w:right w:w="70" w:type="dxa"/>
            </w:tcMar>
            <w:vAlign w:val="top"/>
          </w:tcPr>
          <w:p w14:paraId="475DF0BB">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4"/>
              </w:rPr>
              <w:t>Maternal comorbidity</w:t>
            </w:r>
          </w:p>
        </w:tc>
        <w:tc>
          <w:tcPr>
            <w:tcW w:w="1417" w:type="dxa"/>
            <w:shd w:val="clear" w:color="auto" w:fill="auto"/>
            <w:tcMar>
              <w:top w:w="45" w:type="dxa"/>
              <w:left w:w="70" w:type="dxa"/>
              <w:bottom w:w="45" w:type="dxa"/>
              <w:right w:w="70" w:type="dxa"/>
            </w:tcMar>
            <w:vAlign w:val="top"/>
          </w:tcPr>
          <w:p w14:paraId="6D5238DB">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4"/>
              </w:rPr>
              <w:t>Concomitant medication</w:t>
            </w:r>
          </w:p>
        </w:tc>
        <w:tc>
          <w:tcPr>
            <w:tcW w:w="1361" w:type="dxa"/>
            <w:shd w:val="clear" w:color="auto" w:fill="auto"/>
            <w:tcMar>
              <w:top w:w="45" w:type="dxa"/>
              <w:left w:w="70" w:type="dxa"/>
              <w:bottom w:w="45" w:type="dxa"/>
              <w:right w:w="70" w:type="dxa"/>
            </w:tcMar>
            <w:vAlign w:val="top"/>
          </w:tcPr>
          <w:p w14:paraId="29400178">
            <w:pPr>
              <w:spacing w:before="0" w:after="0" w:line="240" w:lineRule="auto"/>
              <w:rPr>
                <w:rFonts w:hint="default" w:ascii="Times New Roman Bold" w:hAnsi="Times New Roman Bold" w:cs="Times New Roman Bold"/>
                <w:b/>
                <w:bCs w:val="0"/>
                <w:color w:val="auto"/>
              </w:rPr>
            </w:pPr>
            <w:r>
              <w:rPr>
                <w:rFonts w:hint="default" w:ascii="Times New Roman Bold" w:hAnsi="Times New Roman Bold" w:cs="Times New Roman Bold"/>
                <w:b/>
                <w:bCs w:val="0"/>
                <w:color w:val="auto"/>
                <w:sz w:val="14"/>
              </w:rPr>
              <w:t>Seizure-related factors</w:t>
            </w:r>
          </w:p>
        </w:tc>
      </w:tr>
      <w:tr w14:paraId="113B9D90">
        <w:trPr>
          <w:cantSplit/>
          <w:jc w:val="center"/>
        </w:trPr>
        <w:tc>
          <w:tcPr>
            <w:tcW w:w="397" w:type="dxa"/>
            <w:shd w:val="clear" w:color="auto" w:fill="auto"/>
            <w:tcMar>
              <w:top w:w="45" w:type="dxa"/>
              <w:left w:w="70" w:type="dxa"/>
              <w:bottom w:w="45" w:type="dxa"/>
              <w:right w:w="70" w:type="dxa"/>
            </w:tcMar>
            <w:vAlign w:val="top"/>
          </w:tcPr>
          <w:p w14:paraId="03BB90A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1</w:t>
            </w:r>
          </w:p>
        </w:tc>
        <w:tc>
          <w:tcPr>
            <w:tcW w:w="1304" w:type="dxa"/>
            <w:shd w:val="clear" w:color="auto" w:fill="auto"/>
            <w:tcMar>
              <w:top w:w="45" w:type="dxa"/>
              <w:left w:w="70" w:type="dxa"/>
              <w:bottom w:w="45" w:type="dxa"/>
              <w:right w:w="70" w:type="dxa"/>
            </w:tcMar>
            <w:vAlign w:val="top"/>
          </w:tcPr>
          <w:p w14:paraId="71B7BEE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Yang et al., 2025</w:t>
            </w:r>
          </w:p>
        </w:tc>
        <w:tc>
          <w:tcPr>
            <w:tcW w:w="1984" w:type="dxa"/>
            <w:shd w:val="clear" w:color="auto" w:fill="auto"/>
            <w:tcMar>
              <w:top w:w="45" w:type="dxa"/>
              <w:left w:w="70" w:type="dxa"/>
              <w:bottom w:w="45" w:type="dxa"/>
              <w:right w:w="70" w:type="dxa"/>
            </w:tcMar>
            <w:vAlign w:val="top"/>
          </w:tcPr>
          <w:p w14:paraId="3DD5ED1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Combined major congenital anomalies</w:t>
            </w:r>
          </w:p>
        </w:tc>
        <w:tc>
          <w:tcPr>
            <w:tcW w:w="964" w:type="dxa"/>
            <w:shd w:val="clear" w:color="auto" w:fill="auto"/>
            <w:tcMar>
              <w:top w:w="45" w:type="dxa"/>
              <w:left w:w="70" w:type="dxa"/>
              <w:bottom w:w="45" w:type="dxa"/>
              <w:right w:w="70" w:type="dxa"/>
            </w:tcMar>
            <w:vAlign w:val="top"/>
          </w:tcPr>
          <w:p w14:paraId="38F08C4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71B47CC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496B8B1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77" w:type="dxa"/>
            <w:shd w:val="clear" w:color="auto" w:fill="auto"/>
            <w:tcMar>
              <w:top w:w="45" w:type="dxa"/>
              <w:left w:w="70" w:type="dxa"/>
              <w:bottom w:w="45" w:type="dxa"/>
              <w:right w:w="70" w:type="dxa"/>
            </w:tcMar>
            <w:vAlign w:val="top"/>
          </w:tcPr>
          <w:p w14:paraId="1CFE9B8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247" w:type="dxa"/>
            <w:shd w:val="clear" w:color="auto" w:fill="auto"/>
            <w:tcMar>
              <w:top w:w="45" w:type="dxa"/>
              <w:left w:w="70" w:type="dxa"/>
              <w:bottom w:w="45" w:type="dxa"/>
              <w:right w:w="70" w:type="dxa"/>
            </w:tcMar>
            <w:vAlign w:val="top"/>
          </w:tcPr>
          <w:p w14:paraId="4858F16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304" w:type="dxa"/>
            <w:shd w:val="clear" w:color="auto" w:fill="auto"/>
            <w:tcMar>
              <w:top w:w="45" w:type="dxa"/>
              <w:left w:w="70" w:type="dxa"/>
              <w:bottom w:w="45" w:type="dxa"/>
              <w:right w:w="70" w:type="dxa"/>
            </w:tcMar>
            <w:vAlign w:val="top"/>
          </w:tcPr>
          <w:p w14:paraId="5705ABD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417" w:type="dxa"/>
            <w:shd w:val="clear" w:color="auto" w:fill="auto"/>
            <w:tcMar>
              <w:top w:w="45" w:type="dxa"/>
              <w:left w:w="70" w:type="dxa"/>
              <w:bottom w:w="45" w:type="dxa"/>
              <w:right w:w="70" w:type="dxa"/>
            </w:tcMar>
            <w:vAlign w:val="top"/>
          </w:tcPr>
          <w:p w14:paraId="63A9397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361" w:type="dxa"/>
            <w:shd w:val="clear" w:color="auto" w:fill="auto"/>
            <w:tcMar>
              <w:top w:w="45" w:type="dxa"/>
              <w:left w:w="70" w:type="dxa"/>
              <w:bottom w:w="45" w:type="dxa"/>
              <w:right w:w="70" w:type="dxa"/>
            </w:tcMar>
            <w:vAlign w:val="top"/>
          </w:tcPr>
          <w:p w14:paraId="6FCC469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r>
      <w:tr w14:paraId="73C59542">
        <w:trPr>
          <w:cantSplit/>
          <w:jc w:val="center"/>
        </w:trPr>
        <w:tc>
          <w:tcPr>
            <w:tcW w:w="397" w:type="dxa"/>
            <w:shd w:val="clear" w:color="auto" w:fill="auto"/>
            <w:tcMar>
              <w:top w:w="45" w:type="dxa"/>
              <w:left w:w="70" w:type="dxa"/>
              <w:bottom w:w="45" w:type="dxa"/>
              <w:right w:w="70" w:type="dxa"/>
            </w:tcMar>
            <w:vAlign w:val="top"/>
          </w:tcPr>
          <w:p w14:paraId="706928C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2</w:t>
            </w:r>
          </w:p>
        </w:tc>
        <w:tc>
          <w:tcPr>
            <w:tcW w:w="1304" w:type="dxa"/>
            <w:shd w:val="clear" w:color="auto" w:fill="auto"/>
            <w:tcMar>
              <w:top w:w="45" w:type="dxa"/>
              <w:left w:w="70" w:type="dxa"/>
              <w:bottom w:w="45" w:type="dxa"/>
              <w:right w:w="70" w:type="dxa"/>
            </w:tcMar>
            <w:vAlign w:val="top"/>
          </w:tcPr>
          <w:p w14:paraId="39F3394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Yang et al., 2025</w:t>
            </w:r>
          </w:p>
        </w:tc>
        <w:tc>
          <w:tcPr>
            <w:tcW w:w="1984" w:type="dxa"/>
            <w:shd w:val="clear" w:color="auto" w:fill="auto"/>
            <w:tcMar>
              <w:top w:w="45" w:type="dxa"/>
              <w:left w:w="70" w:type="dxa"/>
              <w:bottom w:w="45" w:type="dxa"/>
              <w:right w:w="70" w:type="dxa"/>
            </w:tcMar>
            <w:vAlign w:val="top"/>
          </w:tcPr>
          <w:p w14:paraId="0205985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Neural tube defects</w:t>
            </w:r>
          </w:p>
        </w:tc>
        <w:tc>
          <w:tcPr>
            <w:tcW w:w="964" w:type="dxa"/>
            <w:shd w:val="clear" w:color="auto" w:fill="auto"/>
            <w:tcMar>
              <w:top w:w="45" w:type="dxa"/>
              <w:left w:w="70" w:type="dxa"/>
              <w:bottom w:w="45" w:type="dxa"/>
              <w:right w:w="70" w:type="dxa"/>
            </w:tcMar>
            <w:vAlign w:val="top"/>
          </w:tcPr>
          <w:p w14:paraId="41F4504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58F0535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35A5E66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77" w:type="dxa"/>
            <w:shd w:val="clear" w:color="auto" w:fill="auto"/>
            <w:tcMar>
              <w:top w:w="45" w:type="dxa"/>
              <w:left w:w="70" w:type="dxa"/>
              <w:bottom w:w="45" w:type="dxa"/>
              <w:right w:w="70" w:type="dxa"/>
            </w:tcMar>
            <w:vAlign w:val="top"/>
          </w:tcPr>
          <w:p w14:paraId="4BF8718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247" w:type="dxa"/>
            <w:shd w:val="clear" w:color="auto" w:fill="auto"/>
            <w:tcMar>
              <w:top w:w="45" w:type="dxa"/>
              <w:left w:w="70" w:type="dxa"/>
              <w:bottom w:w="45" w:type="dxa"/>
              <w:right w:w="70" w:type="dxa"/>
            </w:tcMar>
            <w:vAlign w:val="top"/>
          </w:tcPr>
          <w:p w14:paraId="3DAFD56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304" w:type="dxa"/>
            <w:shd w:val="clear" w:color="auto" w:fill="auto"/>
            <w:tcMar>
              <w:top w:w="45" w:type="dxa"/>
              <w:left w:w="70" w:type="dxa"/>
              <w:bottom w:w="45" w:type="dxa"/>
              <w:right w:w="70" w:type="dxa"/>
            </w:tcMar>
            <w:vAlign w:val="top"/>
          </w:tcPr>
          <w:p w14:paraId="36CFFFC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417" w:type="dxa"/>
            <w:shd w:val="clear" w:color="auto" w:fill="auto"/>
            <w:tcMar>
              <w:top w:w="45" w:type="dxa"/>
              <w:left w:w="70" w:type="dxa"/>
              <w:bottom w:w="45" w:type="dxa"/>
              <w:right w:w="70" w:type="dxa"/>
            </w:tcMar>
            <w:vAlign w:val="top"/>
          </w:tcPr>
          <w:p w14:paraId="6DC2917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361" w:type="dxa"/>
            <w:shd w:val="clear" w:color="auto" w:fill="auto"/>
            <w:tcMar>
              <w:top w:w="45" w:type="dxa"/>
              <w:left w:w="70" w:type="dxa"/>
              <w:bottom w:w="45" w:type="dxa"/>
              <w:right w:w="70" w:type="dxa"/>
            </w:tcMar>
            <w:vAlign w:val="top"/>
          </w:tcPr>
          <w:p w14:paraId="6BAE2FF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r>
      <w:tr w14:paraId="6ADFCA06">
        <w:trPr>
          <w:cantSplit/>
          <w:jc w:val="center"/>
        </w:trPr>
        <w:tc>
          <w:tcPr>
            <w:tcW w:w="397" w:type="dxa"/>
            <w:shd w:val="clear" w:color="auto" w:fill="auto"/>
            <w:tcMar>
              <w:top w:w="45" w:type="dxa"/>
              <w:left w:w="70" w:type="dxa"/>
              <w:bottom w:w="45" w:type="dxa"/>
              <w:right w:w="70" w:type="dxa"/>
            </w:tcMar>
            <w:vAlign w:val="top"/>
          </w:tcPr>
          <w:p w14:paraId="5DEF37C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3</w:t>
            </w:r>
          </w:p>
        </w:tc>
        <w:tc>
          <w:tcPr>
            <w:tcW w:w="1304" w:type="dxa"/>
            <w:shd w:val="clear" w:color="auto" w:fill="auto"/>
            <w:tcMar>
              <w:top w:w="45" w:type="dxa"/>
              <w:left w:w="70" w:type="dxa"/>
              <w:bottom w:w="45" w:type="dxa"/>
              <w:right w:w="70" w:type="dxa"/>
            </w:tcMar>
            <w:vAlign w:val="top"/>
          </w:tcPr>
          <w:p w14:paraId="7AB68B7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Yang et al., 2025</w:t>
            </w:r>
          </w:p>
        </w:tc>
        <w:tc>
          <w:tcPr>
            <w:tcW w:w="1984" w:type="dxa"/>
            <w:shd w:val="clear" w:color="auto" w:fill="auto"/>
            <w:tcMar>
              <w:top w:w="45" w:type="dxa"/>
              <w:left w:w="70" w:type="dxa"/>
              <w:bottom w:w="45" w:type="dxa"/>
              <w:right w:w="70" w:type="dxa"/>
            </w:tcMar>
            <w:vAlign w:val="top"/>
          </w:tcPr>
          <w:p w14:paraId="0A6D655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Congenital heart defects</w:t>
            </w:r>
          </w:p>
        </w:tc>
        <w:tc>
          <w:tcPr>
            <w:tcW w:w="964" w:type="dxa"/>
            <w:shd w:val="clear" w:color="auto" w:fill="auto"/>
            <w:tcMar>
              <w:top w:w="45" w:type="dxa"/>
              <w:left w:w="70" w:type="dxa"/>
              <w:bottom w:w="45" w:type="dxa"/>
              <w:right w:w="70" w:type="dxa"/>
            </w:tcMar>
            <w:vAlign w:val="top"/>
          </w:tcPr>
          <w:p w14:paraId="46CFFCD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7EEFB9F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45EA075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77" w:type="dxa"/>
            <w:shd w:val="clear" w:color="auto" w:fill="auto"/>
            <w:tcMar>
              <w:top w:w="45" w:type="dxa"/>
              <w:left w:w="70" w:type="dxa"/>
              <w:bottom w:w="45" w:type="dxa"/>
              <w:right w:w="70" w:type="dxa"/>
            </w:tcMar>
            <w:vAlign w:val="top"/>
          </w:tcPr>
          <w:p w14:paraId="6EC00B4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247" w:type="dxa"/>
            <w:shd w:val="clear" w:color="auto" w:fill="auto"/>
            <w:tcMar>
              <w:top w:w="45" w:type="dxa"/>
              <w:left w:w="70" w:type="dxa"/>
              <w:bottom w:w="45" w:type="dxa"/>
              <w:right w:w="70" w:type="dxa"/>
            </w:tcMar>
            <w:vAlign w:val="top"/>
          </w:tcPr>
          <w:p w14:paraId="4182EE3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304" w:type="dxa"/>
            <w:shd w:val="clear" w:color="auto" w:fill="auto"/>
            <w:tcMar>
              <w:top w:w="45" w:type="dxa"/>
              <w:left w:w="70" w:type="dxa"/>
              <w:bottom w:w="45" w:type="dxa"/>
              <w:right w:w="70" w:type="dxa"/>
            </w:tcMar>
            <w:vAlign w:val="top"/>
          </w:tcPr>
          <w:p w14:paraId="738A50C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417" w:type="dxa"/>
            <w:shd w:val="clear" w:color="auto" w:fill="auto"/>
            <w:tcMar>
              <w:top w:w="45" w:type="dxa"/>
              <w:left w:w="70" w:type="dxa"/>
              <w:bottom w:w="45" w:type="dxa"/>
              <w:right w:w="70" w:type="dxa"/>
            </w:tcMar>
            <w:vAlign w:val="top"/>
          </w:tcPr>
          <w:p w14:paraId="65ABCEE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361" w:type="dxa"/>
            <w:shd w:val="clear" w:color="auto" w:fill="auto"/>
            <w:tcMar>
              <w:top w:w="45" w:type="dxa"/>
              <w:left w:w="70" w:type="dxa"/>
              <w:bottom w:w="45" w:type="dxa"/>
              <w:right w:w="70" w:type="dxa"/>
            </w:tcMar>
            <w:vAlign w:val="top"/>
          </w:tcPr>
          <w:p w14:paraId="37A71DF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r>
      <w:tr w14:paraId="13311C57">
        <w:trPr>
          <w:cantSplit/>
          <w:jc w:val="center"/>
        </w:trPr>
        <w:tc>
          <w:tcPr>
            <w:tcW w:w="397" w:type="dxa"/>
            <w:shd w:val="clear" w:color="auto" w:fill="auto"/>
            <w:tcMar>
              <w:top w:w="45" w:type="dxa"/>
              <w:left w:w="70" w:type="dxa"/>
              <w:bottom w:w="45" w:type="dxa"/>
              <w:right w:w="70" w:type="dxa"/>
            </w:tcMar>
            <w:vAlign w:val="top"/>
          </w:tcPr>
          <w:p w14:paraId="196F7F2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4</w:t>
            </w:r>
          </w:p>
        </w:tc>
        <w:tc>
          <w:tcPr>
            <w:tcW w:w="1304" w:type="dxa"/>
            <w:shd w:val="clear" w:color="auto" w:fill="auto"/>
            <w:tcMar>
              <w:top w:w="45" w:type="dxa"/>
              <w:left w:w="70" w:type="dxa"/>
              <w:bottom w:w="45" w:type="dxa"/>
              <w:right w:w="70" w:type="dxa"/>
            </w:tcMar>
            <w:vAlign w:val="top"/>
          </w:tcPr>
          <w:p w14:paraId="323F40E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Yang et al., 2025</w:t>
            </w:r>
          </w:p>
        </w:tc>
        <w:tc>
          <w:tcPr>
            <w:tcW w:w="1984" w:type="dxa"/>
            <w:shd w:val="clear" w:color="auto" w:fill="auto"/>
            <w:tcMar>
              <w:top w:w="45" w:type="dxa"/>
              <w:left w:w="70" w:type="dxa"/>
              <w:bottom w:w="45" w:type="dxa"/>
              <w:right w:w="70" w:type="dxa"/>
            </w:tcMar>
            <w:vAlign w:val="top"/>
          </w:tcPr>
          <w:p w14:paraId="455F1D8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Cleft lip and/or palate</w:t>
            </w:r>
          </w:p>
        </w:tc>
        <w:tc>
          <w:tcPr>
            <w:tcW w:w="964" w:type="dxa"/>
            <w:shd w:val="clear" w:color="auto" w:fill="auto"/>
            <w:tcMar>
              <w:top w:w="45" w:type="dxa"/>
              <w:left w:w="70" w:type="dxa"/>
              <w:bottom w:w="45" w:type="dxa"/>
              <w:right w:w="70" w:type="dxa"/>
            </w:tcMar>
            <w:vAlign w:val="top"/>
          </w:tcPr>
          <w:p w14:paraId="537F4C1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13AF60D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73ABA41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77" w:type="dxa"/>
            <w:shd w:val="clear" w:color="auto" w:fill="auto"/>
            <w:tcMar>
              <w:top w:w="45" w:type="dxa"/>
              <w:left w:w="70" w:type="dxa"/>
              <w:bottom w:w="45" w:type="dxa"/>
              <w:right w:w="70" w:type="dxa"/>
            </w:tcMar>
            <w:vAlign w:val="top"/>
          </w:tcPr>
          <w:p w14:paraId="4582A94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247" w:type="dxa"/>
            <w:shd w:val="clear" w:color="auto" w:fill="auto"/>
            <w:tcMar>
              <w:top w:w="45" w:type="dxa"/>
              <w:left w:w="70" w:type="dxa"/>
              <w:bottom w:w="45" w:type="dxa"/>
              <w:right w:w="70" w:type="dxa"/>
            </w:tcMar>
            <w:vAlign w:val="top"/>
          </w:tcPr>
          <w:p w14:paraId="01CE978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304" w:type="dxa"/>
            <w:shd w:val="clear" w:color="auto" w:fill="auto"/>
            <w:tcMar>
              <w:top w:w="45" w:type="dxa"/>
              <w:left w:w="70" w:type="dxa"/>
              <w:bottom w:w="45" w:type="dxa"/>
              <w:right w:w="70" w:type="dxa"/>
            </w:tcMar>
            <w:vAlign w:val="top"/>
          </w:tcPr>
          <w:p w14:paraId="0919455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417" w:type="dxa"/>
            <w:shd w:val="clear" w:color="auto" w:fill="auto"/>
            <w:tcMar>
              <w:top w:w="45" w:type="dxa"/>
              <w:left w:w="70" w:type="dxa"/>
              <w:bottom w:w="45" w:type="dxa"/>
              <w:right w:w="70" w:type="dxa"/>
            </w:tcMar>
            <w:vAlign w:val="top"/>
          </w:tcPr>
          <w:p w14:paraId="5A89721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361" w:type="dxa"/>
            <w:shd w:val="clear" w:color="auto" w:fill="auto"/>
            <w:tcMar>
              <w:top w:w="45" w:type="dxa"/>
              <w:left w:w="70" w:type="dxa"/>
              <w:bottom w:w="45" w:type="dxa"/>
              <w:right w:w="70" w:type="dxa"/>
            </w:tcMar>
            <w:vAlign w:val="top"/>
          </w:tcPr>
          <w:p w14:paraId="36B099C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r>
      <w:tr w14:paraId="0201CD85">
        <w:trPr>
          <w:cantSplit/>
          <w:jc w:val="center"/>
        </w:trPr>
        <w:tc>
          <w:tcPr>
            <w:tcW w:w="397" w:type="dxa"/>
            <w:shd w:val="clear" w:color="auto" w:fill="auto"/>
            <w:tcMar>
              <w:top w:w="45" w:type="dxa"/>
              <w:left w:w="70" w:type="dxa"/>
              <w:bottom w:w="45" w:type="dxa"/>
              <w:right w:w="70" w:type="dxa"/>
            </w:tcMar>
            <w:vAlign w:val="top"/>
          </w:tcPr>
          <w:p w14:paraId="139B0B8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5</w:t>
            </w:r>
          </w:p>
        </w:tc>
        <w:tc>
          <w:tcPr>
            <w:tcW w:w="1304" w:type="dxa"/>
            <w:shd w:val="clear" w:color="auto" w:fill="auto"/>
            <w:tcMar>
              <w:top w:w="45" w:type="dxa"/>
              <w:left w:w="70" w:type="dxa"/>
              <w:bottom w:w="45" w:type="dxa"/>
              <w:right w:w="70" w:type="dxa"/>
            </w:tcMar>
            <w:vAlign w:val="top"/>
          </w:tcPr>
          <w:p w14:paraId="73BA670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Yang et al., 2025</w:t>
            </w:r>
          </w:p>
        </w:tc>
        <w:tc>
          <w:tcPr>
            <w:tcW w:w="1984" w:type="dxa"/>
            <w:shd w:val="clear" w:color="auto" w:fill="auto"/>
            <w:tcMar>
              <w:top w:w="45" w:type="dxa"/>
              <w:left w:w="70" w:type="dxa"/>
              <w:bottom w:w="45" w:type="dxa"/>
              <w:right w:w="70" w:type="dxa"/>
            </w:tcMar>
            <w:vAlign w:val="top"/>
          </w:tcPr>
          <w:p w14:paraId="089952D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Genitourinary anomalies</w:t>
            </w:r>
          </w:p>
        </w:tc>
        <w:tc>
          <w:tcPr>
            <w:tcW w:w="964" w:type="dxa"/>
            <w:shd w:val="clear" w:color="auto" w:fill="auto"/>
            <w:tcMar>
              <w:top w:w="45" w:type="dxa"/>
              <w:left w:w="70" w:type="dxa"/>
              <w:bottom w:w="45" w:type="dxa"/>
              <w:right w:w="70" w:type="dxa"/>
            </w:tcMar>
            <w:vAlign w:val="top"/>
          </w:tcPr>
          <w:p w14:paraId="0025438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695077B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253279B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77" w:type="dxa"/>
            <w:shd w:val="clear" w:color="auto" w:fill="auto"/>
            <w:tcMar>
              <w:top w:w="45" w:type="dxa"/>
              <w:left w:w="70" w:type="dxa"/>
              <w:bottom w:w="45" w:type="dxa"/>
              <w:right w:w="70" w:type="dxa"/>
            </w:tcMar>
            <w:vAlign w:val="top"/>
          </w:tcPr>
          <w:p w14:paraId="5B32331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247" w:type="dxa"/>
            <w:shd w:val="clear" w:color="auto" w:fill="auto"/>
            <w:tcMar>
              <w:top w:w="45" w:type="dxa"/>
              <w:left w:w="70" w:type="dxa"/>
              <w:bottom w:w="45" w:type="dxa"/>
              <w:right w:w="70" w:type="dxa"/>
            </w:tcMar>
            <w:vAlign w:val="top"/>
          </w:tcPr>
          <w:p w14:paraId="6022585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304" w:type="dxa"/>
            <w:shd w:val="clear" w:color="auto" w:fill="auto"/>
            <w:tcMar>
              <w:top w:w="45" w:type="dxa"/>
              <w:left w:w="70" w:type="dxa"/>
              <w:bottom w:w="45" w:type="dxa"/>
              <w:right w:w="70" w:type="dxa"/>
            </w:tcMar>
            <w:vAlign w:val="top"/>
          </w:tcPr>
          <w:p w14:paraId="182AC0D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417" w:type="dxa"/>
            <w:shd w:val="clear" w:color="auto" w:fill="auto"/>
            <w:tcMar>
              <w:top w:w="45" w:type="dxa"/>
              <w:left w:w="70" w:type="dxa"/>
              <w:bottom w:w="45" w:type="dxa"/>
              <w:right w:w="70" w:type="dxa"/>
            </w:tcMar>
            <w:vAlign w:val="top"/>
          </w:tcPr>
          <w:p w14:paraId="407B1CF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361" w:type="dxa"/>
            <w:shd w:val="clear" w:color="auto" w:fill="auto"/>
            <w:tcMar>
              <w:top w:w="45" w:type="dxa"/>
              <w:left w:w="70" w:type="dxa"/>
              <w:bottom w:w="45" w:type="dxa"/>
              <w:right w:w="70" w:type="dxa"/>
            </w:tcMar>
            <w:vAlign w:val="top"/>
          </w:tcPr>
          <w:p w14:paraId="235C437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r>
      <w:tr w14:paraId="6F9F2337">
        <w:trPr>
          <w:cantSplit/>
          <w:jc w:val="center"/>
        </w:trPr>
        <w:tc>
          <w:tcPr>
            <w:tcW w:w="397" w:type="dxa"/>
            <w:shd w:val="clear" w:color="auto" w:fill="auto"/>
            <w:tcMar>
              <w:top w:w="45" w:type="dxa"/>
              <w:left w:w="70" w:type="dxa"/>
              <w:bottom w:w="45" w:type="dxa"/>
              <w:right w:w="70" w:type="dxa"/>
            </w:tcMar>
            <w:vAlign w:val="top"/>
          </w:tcPr>
          <w:p w14:paraId="5C38143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6</w:t>
            </w:r>
          </w:p>
        </w:tc>
        <w:tc>
          <w:tcPr>
            <w:tcW w:w="1304" w:type="dxa"/>
            <w:shd w:val="clear" w:color="auto" w:fill="auto"/>
            <w:tcMar>
              <w:top w:w="45" w:type="dxa"/>
              <w:left w:w="70" w:type="dxa"/>
              <w:bottom w:w="45" w:type="dxa"/>
              <w:right w:w="70" w:type="dxa"/>
            </w:tcMar>
            <w:vAlign w:val="top"/>
          </w:tcPr>
          <w:p w14:paraId="5853933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Yang et al., 2025</w:t>
            </w:r>
          </w:p>
        </w:tc>
        <w:tc>
          <w:tcPr>
            <w:tcW w:w="1984" w:type="dxa"/>
            <w:shd w:val="clear" w:color="auto" w:fill="auto"/>
            <w:tcMar>
              <w:top w:w="45" w:type="dxa"/>
              <w:left w:w="70" w:type="dxa"/>
              <w:bottom w:w="45" w:type="dxa"/>
              <w:right w:w="70" w:type="dxa"/>
            </w:tcMar>
            <w:vAlign w:val="top"/>
          </w:tcPr>
          <w:p w14:paraId="1B25A75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Musculoskeletal anomalies</w:t>
            </w:r>
          </w:p>
        </w:tc>
        <w:tc>
          <w:tcPr>
            <w:tcW w:w="964" w:type="dxa"/>
            <w:shd w:val="clear" w:color="auto" w:fill="auto"/>
            <w:tcMar>
              <w:top w:w="45" w:type="dxa"/>
              <w:left w:w="70" w:type="dxa"/>
              <w:bottom w:w="45" w:type="dxa"/>
              <w:right w:w="70" w:type="dxa"/>
            </w:tcMar>
            <w:vAlign w:val="top"/>
          </w:tcPr>
          <w:p w14:paraId="2441E2E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18E8610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3080301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77" w:type="dxa"/>
            <w:shd w:val="clear" w:color="auto" w:fill="auto"/>
            <w:tcMar>
              <w:top w:w="45" w:type="dxa"/>
              <w:left w:w="70" w:type="dxa"/>
              <w:bottom w:w="45" w:type="dxa"/>
              <w:right w:w="70" w:type="dxa"/>
            </w:tcMar>
            <w:vAlign w:val="top"/>
          </w:tcPr>
          <w:p w14:paraId="62033BC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247" w:type="dxa"/>
            <w:shd w:val="clear" w:color="auto" w:fill="auto"/>
            <w:tcMar>
              <w:top w:w="45" w:type="dxa"/>
              <w:left w:w="70" w:type="dxa"/>
              <w:bottom w:w="45" w:type="dxa"/>
              <w:right w:w="70" w:type="dxa"/>
            </w:tcMar>
            <w:vAlign w:val="top"/>
          </w:tcPr>
          <w:p w14:paraId="6AF2597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304" w:type="dxa"/>
            <w:shd w:val="clear" w:color="auto" w:fill="auto"/>
            <w:tcMar>
              <w:top w:w="45" w:type="dxa"/>
              <w:left w:w="70" w:type="dxa"/>
              <w:bottom w:w="45" w:type="dxa"/>
              <w:right w:w="70" w:type="dxa"/>
            </w:tcMar>
            <w:vAlign w:val="top"/>
          </w:tcPr>
          <w:p w14:paraId="7D6A5B0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417" w:type="dxa"/>
            <w:shd w:val="clear" w:color="auto" w:fill="auto"/>
            <w:tcMar>
              <w:top w:w="45" w:type="dxa"/>
              <w:left w:w="70" w:type="dxa"/>
              <w:bottom w:w="45" w:type="dxa"/>
              <w:right w:w="70" w:type="dxa"/>
            </w:tcMar>
            <w:vAlign w:val="top"/>
          </w:tcPr>
          <w:p w14:paraId="50F31BF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361" w:type="dxa"/>
            <w:shd w:val="clear" w:color="auto" w:fill="auto"/>
            <w:tcMar>
              <w:top w:w="45" w:type="dxa"/>
              <w:left w:w="70" w:type="dxa"/>
              <w:bottom w:w="45" w:type="dxa"/>
              <w:right w:w="70" w:type="dxa"/>
            </w:tcMar>
            <w:vAlign w:val="top"/>
          </w:tcPr>
          <w:p w14:paraId="3C85262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r>
      <w:tr w14:paraId="0C605C16">
        <w:trPr>
          <w:cantSplit/>
          <w:jc w:val="center"/>
        </w:trPr>
        <w:tc>
          <w:tcPr>
            <w:tcW w:w="397" w:type="dxa"/>
            <w:shd w:val="clear" w:color="auto" w:fill="auto"/>
            <w:tcMar>
              <w:top w:w="45" w:type="dxa"/>
              <w:left w:w="70" w:type="dxa"/>
              <w:bottom w:w="45" w:type="dxa"/>
              <w:right w:w="70" w:type="dxa"/>
            </w:tcMar>
            <w:vAlign w:val="top"/>
          </w:tcPr>
          <w:p w14:paraId="08A0E3C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7</w:t>
            </w:r>
          </w:p>
        </w:tc>
        <w:tc>
          <w:tcPr>
            <w:tcW w:w="1304" w:type="dxa"/>
            <w:shd w:val="clear" w:color="auto" w:fill="auto"/>
            <w:tcMar>
              <w:top w:w="45" w:type="dxa"/>
              <w:left w:w="70" w:type="dxa"/>
              <w:bottom w:w="45" w:type="dxa"/>
              <w:right w:w="70" w:type="dxa"/>
            </w:tcMar>
            <w:vAlign w:val="top"/>
          </w:tcPr>
          <w:p w14:paraId="788801F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Pariente et al., 2017</w:t>
            </w:r>
          </w:p>
        </w:tc>
        <w:tc>
          <w:tcPr>
            <w:tcW w:w="1984" w:type="dxa"/>
            <w:shd w:val="clear" w:color="auto" w:fill="auto"/>
            <w:tcMar>
              <w:top w:w="45" w:type="dxa"/>
              <w:left w:w="70" w:type="dxa"/>
              <w:bottom w:w="45" w:type="dxa"/>
              <w:right w:w="70" w:type="dxa"/>
            </w:tcMar>
            <w:vAlign w:val="top"/>
          </w:tcPr>
          <w:p w14:paraId="6F58ADE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Major congenital anomalies</w:t>
            </w:r>
          </w:p>
        </w:tc>
        <w:tc>
          <w:tcPr>
            <w:tcW w:w="964" w:type="dxa"/>
            <w:shd w:val="clear" w:color="auto" w:fill="auto"/>
            <w:tcMar>
              <w:top w:w="45" w:type="dxa"/>
              <w:left w:w="70" w:type="dxa"/>
              <w:bottom w:w="45" w:type="dxa"/>
              <w:right w:w="70" w:type="dxa"/>
            </w:tcMar>
            <w:vAlign w:val="top"/>
          </w:tcPr>
          <w:p w14:paraId="49E8F10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6C20844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20AE4E3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77" w:type="dxa"/>
            <w:shd w:val="clear" w:color="auto" w:fill="auto"/>
            <w:tcMar>
              <w:top w:w="45" w:type="dxa"/>
              <w:left w:w="70" w:type="dxa"/>
              <w:bottom w:w="45" w:type="dxa"/>
              <w:right w:w="70" w:type="dxa"/>
            </w:tcMar>
            <w:vAlign w:val="top"/>
          </w:tcPr>
          <w:p w14:paraId="3BA034C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247" w:type="dxa"/>
            <w:shd w:val="clear" w:color="auto" w:fill="auto"/>
            <w:tcMar>
              <w:top w:w="45" w:type="dxa"/>
              <w:left w:w="70" w:type="dxa"/>
              <w:bottom w:w="45" w:type="dxa"/>
              <w:right w:w="70" w:type="dxa"/>
            </w:tcMar>
            <w:vAlign w:val="top"/>
          </w:tcPr>
          <w:p w14:paraId="70F96A4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304" w:type="dxa"/>
            <w:shd w:val="clear" w:color="auto" w:fill="auto"/>
            <w:tcMar>
              <w:top w:w="45" w:type="dxa"/>
              <w:left w:w="70" w:type="dxa"/>
              <w:bottom w:w="45" w:type="dxa"/>
              <w:right w:w="70" w:type="dxa"/>
            </w:tcMar>
            <w:vAlign w:val="top"/>
          </w:tcPr>
          <w:p w14:paraId="2F3CD24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417" w:type="dxa"/>
            <w:shd w:val="clear" w:color="auto" w:fill="auto"/>
            <w:tcMar>
              <w:top w:w="45" w:type="dxa"/>
              <w:left w:w="70" w:type="dxa"/>
              <w:bottom w:w="45" w:type="dxa"/>
              <w:right w:w="70" w:type="dxa"/>
            </w:tcMar>
            <w:vAlign w:val="top"/>
          </w:tcPr>
          <w:p w14:paraId="68EFE70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361" w:type="dxa"/>
            <w:shd w:val="clear" w:color="auto" w:fill="auto"/>
            <w:tcMar>
              <w:top w:w="45" w:type="dxa"/>
              <w:left w:w="70" w:type="dxa"/>
              <w:bottom w:w="45" w:type="dxa"/>
              <w:right w:w="70" w:type="dxa"/>
            </w:tcMar>
            <w:vAlign w:val="top"/>
          </w:tcPr>
          <w:p w14:paraId="7F5DDB5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r>
      <w:tr w14:paraId="20F77E99">
        <w:trPr>
          <w:cantSplit/>
          <w:jc w:val="center"/>
        </w:trPr>
        <w:tc>
          <w:tcPr>
            <w:tcW w:w="397" w:type="dxa"/>
            <w:shd w:val="clear" w:color="auto" w:fill="auto"/>
            <w:tcMar>
              <w:top w:w="45" w:type="dxa"/>
              <w:left w:w="70" w:type="dxa"/>
              <w:bottom w:w="45" w:type="dxa"/>
              <w:right w:w="70" w:type="dxa"/>
            </w:tcMar>
            <w:vAlign w:val="top"/>
          </w:tcPr>
          <w:p w14:paraId="72E3B36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8</w:t>
            </w:r>
          </w:p>
        </w:tc>
        <w:tc>
          <w:tcPr>
            <w:tcW w:w="1304" w:type="dxa"/>
            <w:shd w:val="clear" w:color="auto" w:fill="auto"/>
            <w:tcMar>
              <w:top w:w="45" w:type="dxa"/>
              <w:left w:w="70" w:type="dxa"/>
              <w:bottom w:w="45" w:type="dxa"/>
              <w:right w:w="70" w:type="dxa"/>
            </w:tcMar>
            <w:vAlign w:val="top"/>
          </w:tcPr>
          <w:p w14:paraId="670AB4D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Zhao et al., 2025</w:t>
            </w:r>
          </w:p>
        </w:tc>
        <w:tc>
          <w:tcPr>
            <w:tcW w:w="1984" w:type="dxa"/>
            <w:shd w:val="clear" w:color="auto" w:fill="auto"/>
            <w:tcMar>
              <w:top w:w="45" w:type="dxa"/>
              <w:left w:w="70" w:type="dxa"/>
              <w:bottom w:w="45" w:type="dxa"/>
              <w:right w:w="70" w:type="dxa"/>
            </w:tcMar>
            <w:vAlign w:val="top"/>
          </w:tcPr>
          <w:p w14:paraId="2424736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Orofacial clefts</w:t>
            </w:r>
          </w:p>
        </w:tc>
        <w:tc>
          <w:tcPr>
            <w:tcW w:w="964" w:type="dxa"/>
            <w:shd w:val="clear" w:color="auto" w:fill="auto"/>
            <w:tcMar>
              <w:top w:w="45" w:type="dxa"/>
              <w:left w:w="70" w:type="dxa"/>
              <w:bottom w:w="45" w:type="dxa"/>
              <w:right w:w="70" w:type="dxa"/>
            </w:tcMar>
            <w:vAlign w:val="top"/>
          </w:tcPr>
          <w:p w14:paraId="77D086C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Not reported</w:t>
            </w:r>
          </w:p>
        </w:tc>
        <w:tc>
          <w:tcPr>
            <w:tcW w:w="1020" w:type="dxa"/>
            <w:shd w:val="clear" w:color="auto" w:fill="auto"/>
            <w:tcMar>
              <w:top w:w="45" w:type="dxa"/>
              <w:left w:w="70" w:type="dxa"/>
              <w:bottom w:w="45" w:type="dxa"/>
              <w:right w:w="70" w:type="dxa"/>
            </w:tcMar>
            <w:vAlign w:val="top"/>
          </w:tcPr>
          <w:p w14:paraId="226115A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Not reported</w:t>
            </w:r>
          </w:p>
        </w:tc>
        <w:tc>
          <w:tcPr>
            <w:tcW w:w="1020" w:type="dxa"/>
            <w:shd w:val="clear" w:color="auto" w:fill="auto"/>
            <w:tcMar>
              <w:top w:w="45" w:type="dxa"/>
              <w:left w:w="70" w:type="dxa"/>
              <w:bottom w:w="45" w:type="dxa"/>
              <w:right w:w="70" w:type="dxa"/>
            </w:tcMar>
            <w:vAlign w:val="top"/>
          </w:tcPr>
          <w:p w14:paraId="37F8302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077" w:type="dxa"/>
            <w:shd w:val="clear" w:color="auto" w:fill="auto"/>
            <w:tcMar>
              <w:top w:w="45" w:type="dxa"/>
              <w:left w:w="70" w:type="dxa"/>
              <w:bottom w:w="45" w:type="dxa"/>
              <w:right w:w="70" w:type="dxa"/>
            </w:tcMar>
            <w:vAlign w:val="top"/>
          </w:tcPr>
          <w:p w14:paraId="11DCF97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247" w:type="dxa"/>
            <w:shd w:val="clear" w:color="auto" w:fill="auto"/>
            <w:tcMar>
              <w:top w:w="45" w:type="dxa"/>
              <w:left w:w="70" w:type="dxa"/>
              <w:bottom w:w="45" w:type="dxa"/>
              <w:right w:w="70" w:type="dxa"/>
            </w:tcMar>
            <w:vAlign w:val="top"/>
          </w:tcPr>
          <w:p w14:paraId="20F40C3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304" w:type="dxa"/>
            <w:shd w:val="clear" w:color="auto" w:fill="auto"/>
            <w:tcMar>
              <w:top w:w="45" w:type="dxa"/>
              <w:left w:w="70" w:type="dxa"/>
              <w:bottom w:w="45" w:type="dxa"/>
              <w:right w:w="70" w:type="dxa"/>
            </w:tcMar>
            <w:vAlign w:val="top"/>
          </w:tcPr>
          <w:p w14:paraId="5D502E1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417" w:type="dxa"/>
            <w:shd w:val="clear" w:color="auto" w:fill="auto"/>
            <w:tcMar>
              <w:top w:w="45" w:type="dxa"/>
              <w:left w:w="70" w:type="dxa"/>
              <w:bottom w:w="45" w:type="dxa"/>
              <w:right w:w="70" w:type="dxa"/>
            </w:tcMar>
            <w:vAlign w:val="top"/>
          </w:tcPr>
          <w:p w14:paraId="2257388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361" w:type="dxa"/>
            <w:shd w:val="clear" w:color="auto" w:fill="auto"/>
            <w:tcMar>
              <w:top w:w="45" w:type="dxa"/>
              <w:left w:w="70" w:type="dxa"/>
              <w:bottom w:w="45" w:type="dxa"/>
              <w:right w:w="70" w:type="dxa"/>
            </w:tcMar>
            <w:vAlign w:val="top"/>
          </w:tcPr>
          <w:p w14:paraId="3E5E032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r>
      <w:tr w14:paraId="4DEE9051">
        <w:trPr>
          <w:cantSplit/>
          <w:jc w:val="center"/>
        </w:trPr>
        <w:tc>
          <w:tcPr>
            <w:tcW w:w="397" w:type="dxa"/>
            <w:shd w:val="clear" w:color="auto" w:fill="auto"/>
            <w:tcMar>
              <w:top w:w="45" w:type="dxa"/>
              <w:left w:w="70" w:type="dxa"/>
              <w:bottom w:w="45" w:type="dxa"/>
              <w:right w:w="70" w:type="dxa"/>
            </w:tcMar>
            <w:vAlign w:val="top"/>
          </w:tcPr>
          <w:p w14:paraId="6D450FE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9</w:t>
            </w:r>
          </w:p>
        </w:tc>
        <w:tc>
          <w:tcPr>
            <w:tcW w:w="1304" w:type="dxa"/>
            <w:shd w:val="clear" w:color="auto" w:fill="auto"/>
            <w:tcMar>
              <w:top w:w="45" w:type="dxa"/>
              <w:left w:w="70" w:type="dxa"/>
              <w:bottom w:w="45" w:type="dxa"/>
              <w:right w:w="70" w:type="dxa"/>
            </w:tcMar>
            <w:vAlign w:val="top"/>
          </w:tcPr>
          <w:p w14:paraId="0A8D587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Alsaad et al., 2015</w:t>
            </w:r>
          </w:p>
        </w:tc>
        <w:tc>
          <w:tcPr>
            <w:tcW w:w="1984" w:type="dxa"/>
            <w:shd w:val="clear" w:color="auto" w:fill="auto"/>
            <w:tcMar>
              <w:top w:w="45" w:type="dxa"/>
              <w:left w:w="70" w:type="dxa"/>
              <w:bottom w:w="45" w:type="dxa"/>
              <w:right w:w="70" w:type="dxa"/>
            </w:tcMar>
            <w:vAlign w:val="top"/>
          </w:tcPr>
          <w:p w14:paraId="5E55760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Oral clefts</w:t>
            </w:r>
          </w:p>
        </w:tc>
        <w:tc>
          <w:tcPr>
            <w:tcW w:w="964" w:type="dxa"/>
            <w:shd w:val="clear" w:color="auto" w:fill="auto"/>
            <w:tcMar>
              <w:top w:w="45" w:type="dxa"/>
              <w:left w:w="70" w:type="dxa"/>
              <w:bottom w:w="45" w:type="dxa"/>
              <w:right w:w="70" w:type="dxa"/>
            </w:tcMar>
            <w:vAlign w:val="top"/>
          </w:tcPr>
          <w:p w14:paraId="1345B98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79398A7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695F0EA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77" w:type="dxa"/>
            <w:shd w:val="clear" w:color="auto" w:fill="auto"/>
            <w:tcMar>
              <w:top w:w="45" w:type="dxa"/>
              <w:left w:w="70" w:type="dxa"/>
              <w:bottom w:w="45" w:type="dxa"/>
              <w:right w:w="70" w:type="dxa"/>
            </w:tcMar>
            <w:vAlign w:val="top"/>
          </w:tcPr>
          <w:p w14:paraId="5D43366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247" w:type="dxa"/>
            <w:shd w:val="clear" w:color="auto" w:fill="auto"/>
            <w:tcMar>
              <w:top w:w="45" w:type="dxa"/>
              <w:left w:w="70" w:type="dxa"/>
              <w:bottom w:w="45" w:type="dxa"/>
              <w:right w:w="70" w:type="dxa"/>
            </w:tcMar>
            <w:vAlign w:val="top"/>
          </w:tcPr>
          <w:p w14:paraId="61B02A4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304" w:type="dxa"/>
            <w:shd w:val="clear" w:color="auto" w:fill="auto"/>
            <w:tcMar>
              <w:top w:w="45" w:type="dxa"/>
              <w:left w:w="70" w:type="dxa"/>
              <w:bottom w:w="45" w:type="dxa"/>
              <w:right w:w="70" w:type="dxa"/>
            </w:tcMar>
            <w:vAlign w:val="top"/>
          </w:tcPr>
          <w:p w14:paraId="63A2A62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417" w:type="dxa"/>
            <w:shd w:val="clear" w:color="auto" w:fill="auto"/>
            <w:tcMar>
              <w:top w:w="45" w:type="dxa"/>
              <w:left w:w="70" w:type="dxa"/>
              <w:bottom w:w="45" w:type="dxa"/>
              <w:right w:w="70" w:type="dxa"/>
            </w:tcMar>
            <w:vAlign w:val="top"/>
          </w:tcPr>
          <w:p w14:paraId="4EF5497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361" w:type="dxa"/>
            <w:shd w:val="clear" w:color="auto" w:fill="auto"/>
            <w:tcMar>
              <w:top w:w="45" w:type="dxa"/>
              <w:left w:w="70" w:type="dxa"/>
              <w:bottom w:w="45" w:type="dxa"/>
              <w:right w:w="70" w:type="dxa"/>
            </w:tcMar>
            <w:vAlign w:val="top"/>
          </w:tcPr>
          <w:p w14:paraId="4032793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r>
      <w:tr w14:paraId="5BAA61E9">
        <w:trPr>
          <w:cantSplit/>
          <w:jc w:val="center"/>
        </w:trPr>
        <w:tc>
          <w:tcPr>
            <w:tcW w:w="397" w:type="dxa"/>
            <w:shd w:val="clear" w:color="auto" w:fill="auto"/>
            <w:tcMar>
              <w:top w:w="45" w:type="dxa"/>
              <w:left w:w="70" w:type="dxa"/>
              <w:bottom w:w="45" w:type="dxa"/>
              <w:right w:w="70" w:type="dxa"/>
            </w:tcMar>
            <w:vAlign w:val="top"/>
          </w:tcPr>
          <w:p w14:paraId="2374F6B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10</w:t>
            </w:r>
          </w:p>
        </w:tc>
        <w:tc>
          <w:tcPr>
            <w:tcW w:w="1304" w:type="dxa"/>
            <w:shd w:val="clear" w:color="auto" w:fill="auto"/>
            <w:tcMar>
              <w:top w:w="45" w:type="dxa"/>
              <w:left w:w="70" w:type="dxa"/>
              <w:bottom w:w="45" w:type="dxa"/>
              <w:right w:w="70" w:type="dxa"/>
            </w:tcMar>
            <w:vAlign w:val="top"/>
          </w:tcPr>
          <w:p w14:paraId="7553B66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Athar et al., 2022</w:t>
            </w:r>
          </w:p>
        </w:tc>
        <w:tc>
          <w:tcPr>
            <w:tcW w:w="1984" w:type="dxa"/>
            <w:shd w:val="clear" w:color="auto" w:fill="auto"/>
            <w:tcMar>
              <w:top w:w="45" w:type="dxa"/>
              <w:left w:w="70" w:type="dxa"/>
              <w:bottom w:w="45" w:type="dxa"/>
              <w:right w:w="70" w:type="dxa"/>
            </w:tcMar>
            <w:vAlign w:val="top"/>
          </w:tcPr>
          <w:p w14:paraId="2D6EF62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Congenital anomalies</w:t>
            </w:r>
          </w:p>
        </w:tc>
        <w:tc>
          <w:tcPr>
            <w:tcW w:w="964" w:type="dxa"/>
            <w:shd w:val="clear" w:color="auto" w:fill="auto"/>
            <w:tcMar>
              <w:top w:w="45" w:type="dxa"/>
              <w:left w:w="70" w:type="dxa"/>
              <w:bottom w:w="45" w:type="dxa"/>
              <w:right w:w="70" w:type="dxa"/>
            </w:tcMar>
            <w:vAlign w:val="top"/>
          </w:tcPr>
          <w:p w14:paraId="0820DAB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Not reported</w:t>
            </w:r>
          </w:p>
        </w:tc>
        <w:tc>
          <w:tcPr>
            <w:tcW w:w="1020" w:type="dxa"/>
            <w:shd w:val="clear" w:color="auto" w:fill="auto"/>
            <w:tcMar>
              <w:top w:w="45" w:type="dxa"/>
              <w:left w:w="70" w:type="dxa"/>
              <w:bottom w:w="45" w:type="dxa"/>
              <w:right w:w="70" w:type="dxa"/>
            </w:tcMar>
            <w:vAlign w:val="top"/>
          </w:tcPr>
          <w:p w14:paraId="15DEC29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Not reported</w:t>
            </w:r>
          </w:p>
        </w:tc>
        <w:tc>
          <w:tcPr>
            <w:tcW w:w="1020" w:type="dxa"/>
            <w:shd w:val="clear" w:color="auto" w:fill="auto"/>
            <w:tcMar>
              <w:top w:w="45" w:type="dxa"/>
              <w:left w:w="70" w:type="dxa"/>
              <w:bottom w:w="45" w:type="dxa"/>
              <w:right w:w="70" w:type="dxa"/>
            </w:tcMar>
            <w:vAlign w:val="top"/>
          </w:tcPr>
          <w:p w14:paraId="75B1533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Not reported</w:t>
            </w:r>
          </w:p>
        </w:tc>
        <w:tc>
          <w:tcPr>
            <w:tcW w:w="1077" w:type="dxa"/>
            <w:shd w:val="clear" w:color="auto" w:fill="auto"/>
            <w:tcMar>
              <w:top w:w="45" w:type="dxa"/>
              <w:left w:w="70" w:type="dxa"/>
              <w:bottom w:w="45" w:type="dxa"/>
              <w:right w:w="70" w:type="dxa"/>
            </w:tcMar>
            <w:vAlign w:val="top"/>
          </w:tcPr>
          <w:p w14:paraId="06CF24C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Not reported</w:t>
            </w:r>
          </w:p>
        </w:tc>
        <w:tc>
          <w:tcPr>
            <w:tcW w:w="1247" w:type="dxa"/>
            <w:shd w:val="clear" w:color="auto" w:fill="auto"/>
            <w:tcMar>
              <w:top w:w="45" w:type="dxa"/>
              <w:left w:w="70" w:type="dxa"/>
              <w:bottom w:w="45" w:type="dxa"/>
              <w:right w:w="70" w:type="dxa"/>
            </w:tcMar>
            <w:vAlign w:val="top"/>
          </w:tcPr>
          <w:p w14:paraId="2BF4800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Not reported</w:t>
            </w:r>
          </w:p>
        </w:tc>
        <w:tc>
          <w:tcPr>
            <w:tcW w:w="1304" w:type="dxa"/>
            <w:shd w:val="clear" w:color="auto" w:fill="auto"/>
            <w:tcMar>
              <w:top w:w="45" w:type="dxa"/>
              <w:left w:w="70" w:type="dxa"/>
              <w:bottom w:w="45" w:type="dxa"/>
              <w:right w:w="70" w:type="dxa"/>
            </w:tcMar>
            <w:vAlign w:val="top"/>
          </w:tcPr>
          <w:p w14:paraId="44B9A2D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Not reported</w:t>
            </w:r>
          </w:p>
        </w:tc>
        <w:tc>
          <w:tcPr>
            <w:tcW w:w="1417" w:type="dxa"/>
            <w:shd w:val="clear" w:color="auto" w:fill="auto"/>
            <w:tcMar>
              <w:top w:w="45" w:type="dxa"/>
              <w:left w:w="70" w:type="dxa"/>
              <w:bottom w:w="45" w:type="dxa"/>
              <w:right w:w="70" w:type="dxa"/>
            </w:tcMar>
            <w:vAlign w:val="top"/>
          </w:tcPr>
          <w:p w14:paraId="023C9B2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Not reported</w:t>
            </w:r>
          </w:p>
        </w:tc>
        <w:tc>
          <w:tcPr>
            <w:tcW w:w="1361" w:type="dxa"/>
            <w:shd w:val="clear" w:color="auto" w:fill="auto"/>
            <w:tcMar>
              <w:top w:w="45" w:type="dxa"/>
              <w:left w:w="70" w:type="dxa"/>
              <w:bottom w:w="45" w:type="dxa"/>
              <w:right w:w="70" w:type="dxa"/>
            </w:tcMar>
            <w:vAlign w:val="top"/>
          </w:tcPr>
          <w:p w14:paraId="4D685D8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Not reported</w:t>
            </w:r>
          </w:p>
        </w:tc>
      </w:tr>
      <w:tr w14:paraId="7CA5DCEE">
        <w:trPr>
          <w:cantSplit/>
          <w:jc w:val="center"/>
        </w:trPr>
        <w:tc>
          <w:tcPr>
            <w:tcW w:w="397" w:type="dxa"/>
            <w:shd w:val="clear" w:color="auto" w:fill="auto"/>
            <w:tcMar>
              <w:top w:w="45" w:type="dxa"/>
              <w:left w:w="70" w:type="dxa"/>
              <w:bottom w:w="45" w:type="dxa"/>
              <w:right w:w="70" w:type="dxa"/>
            </w:tcMar>
            <w:vAlign w:val="top"/>
          </w:tcPr>
          <w:p w14:paraId="6B52E77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11</w:t>
            </w:r>
          </w:p>
        </w:tc>
        <w:tc>
          <w:tcPr>
            <w:tcW w:w="1304" w:type="dxa"/>
            <w:shd w:val="clear" w:color="auto" w:fill="auto"/>
            <w:tcMar>
              <w:top w:w="45" w:type="dxa"/>
              <w:left w:w="70" w:type="dxa"/>
              <w:bottom w:w="45" w:type="dxa"/>
              <w:right w:w="70" w:type="dxa"/>
            </w:tcMar>
            <w:vAlign w:val="top"/>
          </w:tcPr>
          <w:p w14:paraId="0934762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Atzenhoffer et al., 2025</w:t>
            </w:r>
          </w:p>
        </w:tc>
        <w:tc>
          <w:tcPr>
            <w:tcW w:w="1984" w:type="dxa"/>
            <w:shd w:val="clear" w:color="auto" w:fill="auto"/>
            <w:tcMar>
              <w:top w:w="45" w:type="dxa"/>
              <w:left w:w="70" w:type="dxa"/>
              <w:bottom w:w="45" w:type="dxa"/>
              <w:right w:w="70" w:type="dxa"/>
            </w:tcMar>
            <w:vAlign w:val="top"/>
          </w:tcPr>
          <w:p w14:paraId="73F9874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Major congenital anomalies</w:t>
            </w:r>
          </w:p>
        </w:tc>
        <w:tc>
          <w:tcPr>
            <w:tcW w:w="964" w:type="dxa"/>
            <w:shd w:val="clear" w:color="auto" w:fill="auto"/>
            <w:tcMar>
              <w:top w:w="45" w:type="dxa"/>
              <w:left w:w="70" w:type="dxa"/>
              <w:bottom w:w="45" w:type="dxa"/>
              <w:right w:w="70" w:type="dxa"/>
            </w:tcMar>
            <w:vAlign w:val="top"/>
          </w:tcPr>
          <w:p w14:paraId="7468D26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Not reported</w:t>
            </w:r>
          </w:p>
        </w:tc>
        <w:tc>
          <w:tcPr>
            <w:tcW w:w="1020" w:type="dxa"/>
            <w:shd w:val="clear" w:color="auto" w:fill="auto"/>
            <w:tcMar>
              <w:top w:w="45" w:type="dxa"/>
              <w:left w:w="70" w:type="dxa"/>
              <w:bottom w:w="45" w:type="dxa"/>
              <w:right w:w="70" w:type="dxa"/>
            </w:tcMar>
            <w:vAlign w:val="top"/>
          </w:tcPr>
          <w:p w14:paraId="1D11DC4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1054E95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Not reported</w:t>
            </w:r>
          </w:p>
        </w:tc>
        <w:tc>
          <w:tcPr>
            <w:tcW w:w="1077" w:type="dxa"/>
            <w:shd w:val="clear" w:color="auto" w:fill="auto"/>
            <w:tcMar>
              <w:top w:w="45" w:type="dxa"/>
              <w:left w:w="70" w:type="dxa"/>
              <w:bottom w:w="45" w:type="dxa"/>
              <w:right w:w="70" w:type="dxa"/>
            </w:tcMar>
            <w:vAlign w:val="top"/>
          </w:tcPr>
          <w:p w14:paraId="63A012F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247" w:type="dxa"/>
            <w:shd w:val="clear" w:color="auto" w:fill="auto"/>
            <w:tcMar>
              <w:top w:w="45" w:type="dxa"/>
              <w:left w:w="70" w:type="dxa"/>
              <w:bottom w:w="45" w:type="dxa"/>
              <w:right w:w="70" w:type="dxa"/>
            </w:tcMar>
            <w:vAlign w:val="top"/>
          </w:tcPr>
          <w:p w14:paraId="3421038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Not reported</w:t>
            </w:r>
          </w:p>
        </w:tc>
        <w:tc>
          <w:tcPr>
            <w:tcW w:w="1304" w:type="dxa"/>
            <w:shd w:val="clear" w:color="auto" w:fill="auto"/>
            <w:tcMar>
              <w:top w:w="45" w:type="dxa"/>
              <w:left w:w="70" w:type="dxa"/>
              <w:bottom w:w="45" w:type="dxa"/>
              <w:right w:w="70" w:type="dxa"/>
            </w:tcMar>
            <w:vAlign w:val="top"/>
          </w:tcPr>
          <w:p w14:paraId="699DC6F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417" w:type="dxa"/>
            <w:shd w:val="clear" w:color="auto" w:fill="auto"/>
            <w:tcMar>
              <w:top w:w="45" w:type="dxa"/>
              <w:left w:w="70" w:type="dxa"/>
              <w:bottom w:w="45" w:type="dxa"/>
              <w:right w:w="70" w:type="dxa"/>
            </w:tcMar>
            <w:vAlign w:val="top"/>
          </w:tcPr>
          <w:p w14:paraId="037824E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361" w:type="dxa"/>
            <w:shd w:val="clear" w:color="auto" w:fill="auto"/>
            <w:tcMar>
              <w:top w:w="45" w:type="dxa"/>
              <w:left w:w="70" w:type="dxa"/>
              <w:bottom w:w="45" w:type="dxa"/>
              <w:right w:w="70" w:type="dxa"/>
            </w:tcMar>
            <w:vAlign w:val="top"/>
          </w:tcPr>
          <w:p w14:paraId="28D6BFC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Not reported</w:t>
            </w:r>
          </w:p>
        </w:tc>
      </w:tr>
      <w:tr w14:paraId="4C2315DE">
        <w:trPr>
          <w:cantSplit/>
          <w:jc w:val="center"/>
        </w:trPr>
        <w:tc>
          <w:tcPr>
            <w:tcW w:w="397" w:type="dxa"/>
            <w:shd w:val="clear" w:color="auto" w:fill="auto"/>
            <w:tcMar>
              <w:top w:w="45" w:type="dxa"/>
              <w:left w:w="70" w:type="dxa"/>
              <w:bottom w:w="45" w:type="dxa"/>
              <w:right w:w="70" w:type="dxa"/>
            </w:tcMar>
            <w:vAlign w:val="top"/>
          </w:tcPr>
          <w:p w14:paraId="44D4B97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12</w:t>
            </w:r>
          </w:p>
        </w:tc>
        <w:tc>
          <w:tcPr>
            <w:tcW w:w="1304" w:type="dxa"/>
            <w:shd w:val="clear" w:color="auto" w:fill="auto"/>
            <w:tcMar>
              <w:top w:w="45" w:type="dxa"/>
              <w:left w:w="70" w:type="dxa"/>
              <w:bottom w:w="45" w:type="dxa"/>
              <w:right w:w="70" w:type="dxa"/>
            </w:tcMar>
            <w:vAlign w:val="top"/>
          </w:tcPr>
          <w:p w14:paraId="35D89E5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Andrade et al., 2025</w:t>
            </w:r>
          </w:p>
        </w:tc>
        <w:tc>
          <w:tcPr>
            <w:tcW w:w="1984" w:type="dxa"/>
            <w:shd w:val="clear" w:color="auto" w:fill="auto"/>
            <w:tcMar>
              <w:top w:w="45" w:type="dxa"/>
              <w:left w:w="70" w:type="dxa"/>
              <w:bottom w:w="45" w:type="dxa"/>
              <w:right w:w="70" w:type="dxa"/>
            </w:tcMar>
            <w:vAlign w:val="top"/>
          </w:tcPr>
          <w:p w14:paraId="03654FD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Autism spectrum disorder</w:t>
            </w:r>
          </w:p>
        </w:tc>
        <w:tc>
          <w:tcPr>
            <w:tcW w:w="964" w:type="dxa"/>
            <w:shd w:val="clear" w:color="auto" w:fill="auto"/>
            <w:tcMar>
              <w:top w:w="45" w:type="dxa"/>
              <w:left w:w="70" w:type="dxa"/>
              <w:bottom w:w="45" w:type="dxa"/>
              <w:right w:w="70" w:type="dxa"/>
            </w:tcMar>
            <w:vAlign w:val="top"/>
          </w:tcPr>
          <w:p w14:paraId="6182A88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020" w:type="dxa"/>
            <w:shd w:val="clear" w:color="auto" w:fill="auto"/>
            <w:tcMar>
              <w:top w:w="45" w:type="dxa"/>
              <w:left w:w="70" w:type="dxa"/>
              <w:bottom w:w="45" w:type="dxa"/>
              <w:right w:w="70" w:type="dxa"/>
            </w:tcMar>
            <w:vAlign w:val="top"/>
          </w:tcPr>
          <w:p w14:paraId="1145946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020" w:type="dxa"/>
            <w:shd w:val="clear" w:color="auto" w:fill="auto"/>
            <w:tcMar>
              <w:top w:w="45" w:type="dxa"/>
              <w:left w:w="70" w:type="dxa"/>
              <w:bottom w:w="45" w:type="dxa"/>
              <w:right w:w="70" w:type="dxa"/>
            </w:tcMar>
            <w:vAlign w:val="top"/>
          </w:tcPr>
          <w:p w14:paraId="0661210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077" w:type="dxa"/>
            <w:shd w:val="clear" w:color="auto" w:fill="auto"/>
            <w:tcMar>
              <w:top w:w="45" w:type="dxa"/>
              <w:left w:w="70" w:type="dxa"/>
              <w:bottom w:w="45" w:type="dxa"/>
              <w:right w:w="70" w:type="dxa"/>
            </w:tcMar>
            <w:vAlign w:val="top"/>
          </w:tcPr>
          <w:p w14:paraId="5DEAA1A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247" w:type="dxa"/>
            <w:shd w:val="clear" w:color="auto" w:fill="auto"/>
            <w:tcMar>
              <w:top w:w="45" w:type="dxa"/>
              <w:left w:w="70" w:type="dxa"/>
              <w:bottom w:w="45" w:type="dxa"/>
              <w:right w:w="70" w:type="dxa"/>
            </w:tcMar>
            <w:vAlign w:val="top"/>
          </w:tcPr>
          <w:p w14:paraId="17A490A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304" w:type="dxa"/>
            <w:shd w:val="clear" w:color="auto" w:fill="auto"/>
            <w:tcMar>
              <w:top w:w="45" w:type="dxa"/>
              <w:left w:w="70" w:type="dxa"/>
              <w:bottom w:w="45" w:type="dxa"/>
              <w:right w:w="70" w:type="dxa"/>
            </w:tcMar>
            <w:vAlign w:val="top"/>
          </w:tcPr>
          <w:p w14:paraId="6C9FD33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417" w:type="dxa"/>
            <w:shd w:val="clear" w:color="auto" w:fill="auto"/>
            <w:tcMar>
              <w:top w:w="45" w:type="dxa"/>
              <w:left w:w="70" w:type="dxa"/>
              <w:bottom w:w="45" w:type="dxa"/>
              <w:right w:w="70" w:type="dxa"/>
            </w:tcMar>
            <w:vAlign w:val="top"/>
          </w:tcPr>
          <w:p w14:paraId="6635D5E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361" w:type="dxa"/>
            <w:shd w:val="clear" w:color="auto" w:fill="auto"/>
            <w:tcMar>
              <w:top w:w="45" w:type="dxa"/>
              <w:left w:w="70" w:type="dxa"/>
              <w:bottom w:w="45" w:type="dxa"/>
              <w:right w:w="70" w:type="dxa"/>
            </w:tcMar>
            <w:vAlign w:val="top"/>
          </w:tcPr>
          <w:p w14:paraId="211424F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r>
      <w:tr w14:paraId="3F9A3221">
        <w:trPr>
          <w:cantSplit/>
          <w:jc w:val="center"/>
        </w:trPr>
        <w:tc>
          <w:tcPr>
            <w:tcW w:w="397" w:type="dxa"/>
            <w:shd w:val="clear" w:color="auto" w:fill="auto"/>
            <w:tcMar>
              <w:top w:w="45" w:type="dxa"/>
              <w:left w:w="70" w:type="dxa"/>
              <w:bottom w:w="45" w:type="dxa"/>
              <w:right w:w="70" w:type="dxa"/>
            </w:tcMar>
            <w:vAlign w:val="top"/>
          </w:tcPr>
          <w:p w14:paraId="4D8454E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13</w:t>
            </w:r>
          </w:p>
        </w:tc>
        <w:tc>
          <w:tcPr>
            <w:tcW w:w="1304" w:type="dxa"/>
            <w:shd w:val="clear" w:color="auto" w:fill="auto"/>
            <w:tcMar>
              <w:top w:w="45" w:type="dxa"/>
              <w:left w:w="70" w:type="dxa"/>
              <w:bottom w:w="45" w:type="dxa"/>
              <w:right w:w="70" w:type="dxa"/>
            </w:tcMar>
            <w:vAlign w:val="top"/>
          </w:tcPr>
          <w:p w14:paraId="7026E7A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Andrade et al., 2025</w:t>
            </w:r>
          </w:p>
        </w:tc>
        <w:tc>
          <w:tcPr>
            <w:tcW w:w="1984" w:type="dxa"/>
            <w:shd w:val="clear" w:color="auto" w:fill="auto"/>
            <w:tcMar>
              <w:top w:w="45" w:type="dxa"/>
              <w:left w:w="70" w:type="dxa"/>
              <w:bottom w:w="45" w:type="dxa"/>
              <w:right w:w="70" w:type="dxa"/>
            </w:tcMar>
            <w:vAlign w:val="top"/>
          </w:tcPr>
          <w:p w14:paraId="5903A6A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Attention-deficit/hyperactivity disorder</w:t>
            </w:r>
          </w:p>
        </w:tc>
        <w:tc>
          <w:tcPr>
            <w:tcW w:w="964" w:type="dxa"/>
            <w:shd w:val="clear" w:color="auto" w:fill="auto"/>
            <w:tcMar>
              <w:top w:w="45" w:type="dxa"/>
              <w:left w:w="70" w:type="dxa"/>
              <w:bottom w:w="45" w:type="dxa"/>
              <w:right w:w="70" w:type="dxa"/>
            </w:tcMar>
            <w:vAlign w:val="top"/>
          </w:tcPr>
          <w:p w14:paraId="1662B7D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020" w:type="dxa"/>
            <w:shd w:val="clear" w:color="auto" w:fill="auto"/>
            <w:tcMar>
              <w:top w:w="45" w:type="dxa"/>
              <w:left w:w="70" w:type="dxa"/>
              <w:bottom w:w="45" w:type="dxa"/>
              <w:right w:w="70" w:type="dxa"/>
            </w:tcMar>
            <w:vAlign w:val="top"/>
          </w:tcPr>
          <w:p w14:paraId="08F6241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7351D20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077" w:type="dxa"/>
            <w:shd w:val="clear" w:color="auto" w:fill="auto"/>
            <w:tcMar>
              <w:top w:w="45" w:type="dxa"/>
              <w:left w:w="70" w:type="dxa"/>
              <w:bottom w:w="45" w:type="dxa"/>
              <w:right w:w="70" w:type="dxa"/>
            </w:tcMar>
            <w:vAlign w:val="top"/>
          </w:tcPr>
          <w:p w14:paraId="6485629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247" w:type="dxa"/>
            <w:shd w:val="clear" w:color="auto" w:fill="auto"/>
            <w:tcMar>
              <w:top w:w="45" w:type="dxa"/>
              <w:left w:w="70" w:type="dxa"/>
              <w:bottom w:w="45" w:type="dxa"/>
              <w:right w:w="70" w:type="dxa"/>
            </w:tcMar>
            <w:vAlign w:val="top"/>
          </w:tcPr>
          <w:p w14:paraId="659F782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304" w:type="dxa"/>
            <w:shd w:val="clear" w:color="auto" w:fill="auto"/>
            <w:tcMar>
              <w:top w:w="45" w:type="dxa"/>
              <w:left w:w="70" w:type="dxa"/>
              <w:bottom w:w="45" w:type="dxa"/>
              <w:right w:w="70" w:type="dxa"/>
            </w:tcMar>
            <w:vAlign w:val="top"/>
          </w:tcPr>
          <w:p w14:paraId="24D9D0F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417" w:type="dxa"/>
            <w:shd w:val="clear" w:color="auto" w:fill="auto"/>
            <w:tcMar>
              <w:top w:w="45" w:type="dxa"/>
              <w:left w:w="70" w:type="dxa"/>
              <w:bottom w:w="45" w:type="dxa"/>
              <w:right w:w="70" w:type="dxa"/>
            </w:tcMar>
            <w:vAlign w:val="top"/>
          </w:tcPr>
          <w:p w14:paraId="12F15AE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361" w:type="dxa"/>
            <w:shd w:val="clear" w:color="auto" w:fill="auto"/>
            <w:tcMar>
              <w:top w:w="45" w:type="dxa"/>
              <w:left w:w="70" w:type="dxa"/>
              <w:bottom w:w="45" w:type="dxa"/>
              <w:right w:w="70" w:type="dxa"/>
            </w:tcMar>
            <w:vAlign w:val="top"/>
          </w:tcPr>
          <w:p w14:paraId="5E6A450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r>
      <w:tr w14:paraId="71F73241">
        <w:trPr>
          <w:cantSplit/>
          <w:jc w:val="center"/>
        </w:trPr>
        <w:tc>
          <w:tcPr>
            <w:tcW w:w="397" w:type="dxa"/>
            <w:shd w:val="clear" w:color="auto" w:fill="auto"/>
            <w:tcMar>
              <w:top w:w="45" w:type="dxa"/>
              <w:left w:w="70" w:type="dxa"/>
              <w:bottom w:w="45" w:type="dxa"/>
              <w:right w:w="70" w:type="dxa"/>
            </w:tcMar>
            <w:vAlign w:val="top"/>
          </w:tcPr>
          <w:p w14:paraId="19EB502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14</w:t>
            </w:r>
          </w:p>
        </w:tc>
        <w:tc>
          <w:tcPr>
            <w:tcW w:w="1304" w:type="dxa"/>
            <w:shd w:val="clear" w:color="auto" w:fill="auto"/>
            <w:tcMar>
              <w:top w:w="45" w:type="dxa"/>
              <w:left w:w="70" w:type="dxa"/>
              <w:bottom w:w="45" w:type="dxa"/>
              <w:right w:w="70" w:type="dxa"/>
            </w:tcMar>
            <w:vAlign w:val="top"/>
          </w:tcPr>
          <w:p w14:paraId="44F5B94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Xu et al., 2024</w:t>
            </w:r>
          </w:p>
        </w:tc>
        <w:tc>
          <w:tcPr>
            <w:tcW w:w="1984" w:type="dxa"/>
            <w:shd w:val="clear" w:color="auto" w:fill="auto"/>
            <w:tcMar>
              <w:top w:w="45" w:type="dxa"/>
              <w:left w:w="70" w:type="dxa"/>
              <w:bottom w:w="45" w:type="dxa"/>
              <w:right w:w="70" w:type="dxa"/>
            </w:tcMar>
            <w:vAlign w:val="top"/>
          </w:tcPr>
          <w:p w14:paraId="5C4BA82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Autism spectrum disorder</w:t>
            </w:r>
          </w:p>
        </w:tc>
        <w:tc>
          <w:tcPr>
            <w:tcW w:w="964" w:type="dxa"/>
            <w:shd w:val="clear" w:color="auto" w:fill="auto"/>
            <w:tcMar>
              <w:top w:w="45" w:type="dxa"/>
              <w:left w:w="70" w:type="dxa"/>
              <w:bottom w:w="45" w:type="dxa"/>
              <w:right w:w="70" w:type="dxa"/>
            </w:tcMar>
            <w:vAlign w:val="top"/>
          </w:tcPr>
          <w:p w14:paraId="4CFF78B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020" w:type="dxa"/>
            <w:shd w:val="clear" w:color="auto" w:fill="auto"/>
            <w:tcMar>
              <w:top w:w="45" w:type="dxa"/>
              <w:left w:w="70" w:type="dxa"/>
              <w:bottom w:w="45" w:type="dxa"/>
              <w:right w:w="70" w:type="dxa"/>
            </w:tcMar>
            <w:vAlign w:val="top"/>
          </w:tcPr>
          <w:p w14:paraId="4645503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020" w:type="dxa"/>
            <w:shd w:val="clear" w:color="auto" w:fill="auto"/>
            <w:tcMar>
              <w:top w:w="45" w:type="dxa"/>
              <w:left w:w="70" w:type="dxa"/>
              <w:bottom w:w="45" w:type="dxa"/>
              <w:right w:w="70" w:type="dxa"/>
            </w:tcMar>
            <w:vAlign w:val="top"/>
          </w:tcPr>
          <w:p w14:paraId="269B7A1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77" w:type="dxa"/>
            <w:shd w:val="clear" w:color="auto" w:fill="auto"/>
            <w:tcMar>
              <w:top w:w="45" w:type="dxa"/>
              <w:left w:w="70" w:type="dxa"/>
              <w:bottom w:w="45" w:type="dxa"/>
              <w:right w:w="70" w:type="dxa"/>
            </w:tcMar>
            <w:vAlign w:val="top"/>
          </w:tcPr>
          <w:p w14:paraId="54CC1DFB">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247" w:type="dxa"/>
            <w:shd w:val="clear" w:color="auto" w:fill="auto"/>
            <w:tcMar>
              <w:top w:w="45" w:type="dxa"/>
              <w:left w:w="70" w:type="dxa"/>
              <w:bottom w:w="45" w:type="dxa"/>
              <w:right w:w="70" w:type="dxa"/>
            </w:tcMar>
            <w:vAlign w:val="top"/>
          </w:tcPr>
          <w:p w14:paraId="22F2246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304" w:type="dxa"/>
            <w:shd w:val="clear" w:color="auto" w:fill="auto"/>
            <w:tcMar>
              <w:top w:w="45" w:type="dxa"/>
              <w:left w:w="70" w:type="dxa"/>
              <w:bottom w:w="45" w:type="dxa"/>
              <w:right w:w="70" w:type="dxa"/>
            </w:tcMar>
            <w:vAlign w:val="top"/>
          </w:tcPr>
          <w:p w14:paraId="167EE53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417" w:type="dxa"/>
            <w:shd w:val="clear" w:color="auto" w:fill="auto"/>
            <w:tcMar>
              <w:top w:w="45" w:type="dxa"/>
              <w:left w:w="70" w:type="dxa"/>
              <w:bottom w:w="45" w:type="dxa"/>
              <w:right w:w="70" w:type="dxa"/>
            </w:tcMar>
            <w:vAlign w:val="top"/>
          </w:tcPr>
          <w:p w14:paraId="740CCCA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361" w:type="dxa"/>
            <w:shd w:val="clear" w:color="auto" w:fill="auto"/>
            <w:tcMar>
              <w:top w:w="45" w:type="dxa"/>
              <w:left w:w="70" w:type="dxa"/>
              <w:bottom w:w="45" w:type="dxa"/>
              <w:right w:w="70" w:type="dxa"/>
            </w:tcMar>
            <w:vAlign w:val="top"/>
          </w:tcPr>
          <w:p w14:paraId="479AFE4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r>
      <w:tr w14:paraId="2D7DF797">
        <w:trPr>
          <w:cantSplit/>
          <w:jc w:val="center"/>
        </w:trPr>
        <w:tc>
          <w:tcPr>
            <w:tcW w:w="397" w:type="dxa"/>
            <w:shd w:val="clear" w:color="auto" w:fill="auto"/>
            <w:tcMar>
              <w:top w:w="45" w:type="dxa"/>
              <w:left w:w="70" w:type="dxa"/>
              <w:bottom w:w="45" w:type="dxa"/>
              <w:right w:w="70" w:type="dxa"/>
            </w:tcMar>
            <w:vAlign w:val="top"/>
          </w:tcPr>
          <w:p w14:paraId="72B7CC3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15</w:t>
            </w:r>
          </w:p>
        </w:tc>
        <w:tc>
          <w:tcPr>
            <w:tcW w:w="1304" w:type="dxa"/>
            <w:shd w:val="clear" w:color="auto" w:fill="auto"/>
            <w:tcMar>
              <w:top w:w="45" w:type="dxa"/>
              <w:left w:w="70" w:type="dxa"/>
              <w:bottom w:w="45" w:type="dxa"/>
              <w:right w:w="70" w:type="dxa"/>
            </w:tcMar>
            <w:vAlign w:val="top"/>
          </w:tcPr>
          <w:p w14:paraId="275E4EF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Xu et al., 2024</w:t>
            </w:r>
          </w:p>
        </w:tc>
        <w:tc>
          <w:tcPr>
            <w:tcW w:w="1984" w:type="dxa"/>
            <w:shd w:val="clear" w:color="auto" w:fill="auto"/>
            <w:tcMar>
              <w:top w:w="45" w:type="dxa"/>
              <w:left w:w="70" w:type="dxa"/>
              <w:bottom w:w="45" w:type="dxa"/>
              <w:right w:w="70" w:type="dxa"/>
            </w:tcMar>
            <w:vAlign w:val="top"/>
          </w:tcPr>
          <w:p w14:paraId="5BB0628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Attention-deficit/hyperactivity disorder</w:t>
            </w:r>
          </w:p>
        </w:tc>
        <w:tc>
          <w:tcPr>
            <w:tcW w:w="964" w:type="dxa"/>
            <w:shd w:val="clear" w:color="auto" w:fill="auto"/>
            <w:tcMar>
              <w:top w:w="45" w:type="dxa"/>
              <w:left w:w="70" w:type="dxa"/>
              <w:bottom w:w="45" w:type="dxa"/>
              <w:right w:w="70" w:type="dxa"/>
            </w:tcMar>
            <w:vAlign w:val="top"/>
          </w:tcPr>
          <w:p w14:paraId="585930E2">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020" w:type="dxa"/>
            <w:shd w:val="clear" w:color="auto" w:fill="auto"/>
            <w:tcMar>
              <w:top w:w="45" w:type="dxa"/>
              <w:left w:w="70" w:type="dxa"/>
              <w:bottom w:w="45" w:type="dxa"/>
              <w:right w:w="70" w:type="dxa"/>
            </w:tcMar>
            <w:vAlign w:val="top"/>
          </w:tcPr>
          <w:p w14:paraId="19E609C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423200B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77" w:type="dxa"/>
            <w:shd w:val="clear" w:color="auto" w:fill="auto"/>
            <w:tcMar>
              <w:top w:w="45" w:type="dxa"/>
              <w:left w:w="70" w:type="dxa"/>
              <w:bottom w:w="45" w:type="dxa"/>
              <w:right w:w="70" w:type="dxa"/>
            </w:tcMar>
            <w:vAlign w:val="top"/>
          </w:tcPr>
          <w:p w14:paraId="511EAAC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247" w:type="dxa"/>
            <w:shd w:val="clear" w:color="auto" w:fill="auto"/>
            <w:tcMar>
              <w:top w:w="45" w:type="dxa"/>
              <w:left w:w="70" w:type="dxa"/>
              <w:bottom w:w="45" w:type="dxa"/>
              <w:right w:w="70" w:type="dxa"/>
            </w:tcMar>
            <w:vAlign w:val="top"/>
          </w:tcPr>
          <w:p w14:paraId="1E7FAEF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304" w:type="dxa"/>
            <w:shd w:val="clear" w:color="auto" w:fill="auto"/>
            <w:tcMar>
              <w:top w:w="45" w:type="dxa"/>
              <w:left w:w="70" w:type="dxa"/>
              <w:bottom w:w="45" w:type="dxa"/>
              <w:right w:w="70" w:type="dxa"/>
            </w:tcMar>
            <w:vAlign w:val="top"/>
          </w:tcPr>
          <w:p w14:paraId="1B317D9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417" w:type="dxa"/>
            <w:shd w:val="clear" w:color="auto" w:fill="auto"/>
            <w:tcMar>
              <w:top w:w="45" w:type="dxa"/>
              <w:left w:w="70" w:type="dxa"/>
              <w:bottom w:w="45" w:type="dxa"/>
              <w:right w:w="70" w:type="dxa"/>
            </w:tcMar>
            <w:vAlign w:val="top"/>
          </w:tcPr>
          <w:p w14:paraId="3027578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361" w:type="dxa"/>
            <w:shd w:val="clear" w:color="auto" w:fill="auto"/>
            <w:tcMar>
              <w:top w:w="45" w:type="dxa"/>
              <w:left w:w="70" w:type="dxa"/>
              <w:bottom w:w="45" w:type="dxa"/>
              <w:right w:w="70" w:type="dxa"/>
            </w:tcMar>
            <w:vAlign w:val="top"/>
          </w:tcPr>
          <w:p w14:paraId="1F61B5E8">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r>
      <w:tr w14:paraId="79A55855">
        <w:trPr>
          <w:cantSplit/>
          <w:jc w:val="center"/>
        </w:trPr>
        <w:tc>
          <w:tcPr>
            <w:tcW w:w="397" w:type="dxa"/>
            <w:shd w:val="clear" w:color="auto" w:fill="auto"/>
            <w:tcMar>
              <w:top w:w="45" w:type="dxa"/>
              <w:left w:w="70" w:type="dxa"/>
              <w:bottom w:w="45" w:type="dxa"/>
              <w:right w:w="70" w:type="dxa"/>
            </w:tcMar>
            <w:vAlign w:val="top"/>
          </w:tcPr>
          <w:p w14:paraId="49837C3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16</w:t>
            </w:r>
          </w:p>
        </w:tc>
        <w:tc>
          <w:tcPr>
            <w:tcW w:w="1304" w:type="dxa"/>
            <w:shd w:val="clear" w:color="auto" w:fill="auto"/>
            <w:tcMar>
              <w:top w:w="45" w:type="dxa"/>
              <w:left w:w="70" w:type="dxa"/>
              <w:bottom w:w="45" w:type="dxa"/>
              <w:right w:w="70" w:type="dxa"/>
            </w:tcMar>
            <w:vAlign w:val="top"/>
          </w:tcPr>
          <w:p w14:paraId="76608FED">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Peron et al., 2024</w:t>
            </w:r>
          </w:p>
        </w:tc>
        <w:tc>
          <w:tcPr>
            <w:tcW w:w="1984" w:type="dxa"/>
            <w:shd w:val="clear" w:color="auto" w:fill="auto"/>
            <w:tcMar>
              <w:top w:w="45" w:type="dxa"/>
              <w:left w:w="70" w:type="dxa"/>
              <w:bottom w:w="45" w:type="dxa"/>
              <w:right w:w="70" w:type="dxa"/>
            </w:tcMar>
            <w:vAlign w:val="top"/>
          </w:tcPr>
          <w:p w14:paraId="4645B777">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Autism spectrum disorder</w:t>
            </w:r>
          </w:p>
        </w:tc>
        <w:tc>
          <w:tcPr>
            <w:tcW w:w="964" w:type="dxa"/>
            <w:shd w:val="clear" w:color="auto" w:fill="auto"/>
            <w:tcMar>
              <w:top w:w="45" w:type="dxa"/>
              <w:left w:w="70" w:type="dxa"/>
              <w:bottom w:w="45" w:type="dxa"/>
              <w:right w:w="70" w:type="dxa"/>
            </w:tcMar>
            <w:vAlign w:val="top"/>
          </w:tcPr>
          <w:p w14:paraId="2B0A406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020" w:type="dxa"/>
            <w:shd w:val="clear" w:color="auto" w:fill="auto"/>
            <w:tcMar>
              <w:top w:w="45" w:type="dxa"/>
              <w:left w:w="70" w:type="dxa"/>
              <w:bottom w:w="45" w:type="dxa"/>
              <w:right w:w="70" w:type="dxa"/>
            </w:tcMar>
            <w:vAlign w:val="top"/>
          </w:tcPr>
          <w:p w14:paraId="181B408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3D71587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77" w:type="dxa"/>
            <w:shd w:val="clear" w:color="auto" w:fill="auto"/>
            <w:tcMar>
              <w:top w:w="45" w:type="dxa"/>
              <w:left w:w="70" w:type="dxa"/>
              <w:bottom w:w="45" w:type="dxa"/>
              <w:right w:w="70" w:type="dxa"/>
            </w:tcMar>
            <w:vAlign w:val="top"/>
          </w:tcPr>
          <w:p w14:paraId="7AD04ED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247" w:type="dxa"/>
            <w:shd w:val="clear" w:color="auto" w:fill="auto"/>
            <w:tcMar>
              <w:top w:w="45" w:type="dxa"/>
              <w:left w:w="70" w:type="dxa"/>
              <w:bottom w:w="45" w:type="dxa"/>
              <w:right w:w="70" w:type="dxa"/>
            </w:tcMar>
            <w:vAlign w:val="top"/>
          </w:tcPr>
          <w:p w14:paraId="01FC687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304" w:type="dxa"/>
            <w:shd w:val="clear" w:color="auto" w:fill="auto"/>
            <w:tcMar>
              <w:top w:w="45" w:type="dxa"/>
              <w:left w:w="70" w:type="dxa"/>
              <w:bottom w:w="45" w:type="dxa"/>
              <w:right w:w="70" w:type="dxa"/>
            </w:tcMar>
            <w:vAlign w:val="top"/>
          </w:tcPr>
          <w:p w14:paraId="363058B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417" w:type="dxa"/>
            <w:shd w:val="clear" w:color="auto" w:fill="auto"/>
            <w:tcMar>
              <w:top w:w="45" w:type="dxa"/>
              <w:left w:w="70" w:type="dxa"/>
              <w:bottom w:w="45" w:type="dxa"/>
              <w:right w:w="70" w:type="dxa"/>
            </w:tcMar>
            <w:vAlign w:val="top"/>
          </w:tcPr>
          <w:p w14:paraId="0753B7D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361" w:type="dxa"/>
            <w:shd w:val="clear" w:color="auto" w:fill="auto"/>
            <w:tcMar>
              <w:top w:w="45" w:type="dxa"/>
              <w:left w:w="70" w:type="dxa"/>
              <w:bottom w:w="45" w:type="dxa"/>
              <w:right w:w="70" w:type="dxa"/>
            </w:tcMar>
            <w:vAlign w:val="top"/>
          </w:tcPr>
          <w:p w14:paraId="2F091681">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r>
      <w:tr w14:paraId="263E31CC">
        <w:trPr>
          <w:cantSplit/>
          <w:jc w:val="center"/>
        </w:trPr>
        <w:tc>
          <w:tcPr>
            <w:tcW w:w="397" w:type="dxa"/>
            <w:shd w:val="clear" w:color="auto" w:fill="auto"/>
            <w:tcMar>
              <w:top w:w="45" w:type="dxa"/>
              <w:left w:w="70" w:type="dxa"/>
              <w:bottom w:w="45" w:type="dxa"/>
              <w:right w:w="70" w:type="dxa"/>
            </w:tcMar>
            <w:vAlign w:val="top"/>
          </w:tcPr>
          <w:p w14:paraId="4BDDE7E4">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17</w:t>
            </w:r>
          </w:p>
        </w:tc>
        <w:tc>
          <w:tcPr>
            <w:tcW w:w="1304" w:type="dxa"/>
            <w:shd w:val="clear" w:color="auto" w:fill="auto"/>
            <w:tcMar>
              <w:top w:w="45" w:type="dxa"/>
              <w:left w:w="70" w:type="dxa"/>
              <w:bottom w:w="45" w:type="dxa"/>
              <w:right w:w="70" w:type="dxa"/>
            </w:tcMar>
            <w:vAlign w:val="top"/>
          </w:tcPr>
          <w:p w14:paraId="146031C6">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Peron et al., 2024</w:t>
            </w:r>
          </w:p>
        </w:tc>
        <w:tc>
          <w:tcPr>
            <w:tcW w:w="1984" w:type="dxa"/>
            <w:shd w:val="clear" w:color="auto" w:fill="auto"/>
            <w:tcMar>
              <w:top w:w="45" w:type="dxa"/>
              <w:left w:w="70" w:type="dxa"/>
              <w:bottom w:w="45" w:type="dxa"/>
              <w:right w:w="70" w:type="dxa"/>
            </w:tcMar>
            <w:vAlign w:val="top"/>
          </w:tcPr>
          <w:p w14:paraId="341F22C5">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Attention-deficit/hyperactivity disorder</w:t>
            </w:r>
          </w:p>
        </w:tc>
        <w:tc>
          <w:tcPr>
            <w:tcW w:w="964" w:type="dxa"/>
            <w:shd w:val="clear" w:color="auto" w:fill="auto"/>
            <w:tcMar>
              <w:top w:w="45" w:type="dxa"/>
              <w:left w:w="70" w:type="dxa"/>
              <w:bottom w:w="45" w:type="dxa"/>
              <w:right w:w="70" w:type="dxa"/>
            </w:tcMar>
            <w:vAlign w:val="top"/>
          </w:tcPr>
          <w:p w14:paraId="12D603A3">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020" w:type="dxa"/>
            <w:shd w:val="clear" w:color="auto" w:fill="auto"/>
            <w:tcMar>
              <w:top w:w="45" w:type="dxa"/>
              <w:left w:w="70" w:type="dxa"/>
              <w:bottom w:w="45" w:type="dxa"/>
              <w:right w:w="70" w:type="dxa"/>
            </w:tcMar>
            <w:vAlign w:val="top"/>
          </w:tcPr>
          <w:p w14:paraId="3570DC1C">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20" w:type="dxa"/>
            <w:shd w:val="clear" w:color="auto" w:fill="auto"/>
            <w:tcMar>
              <w:top w:w="45" w:type="dxa"/>
              <w:left w:w="70" w:type="dxa"/>
              <w:bottom w:w="45" w:type="dxa"/>
              <w:right w:w="70" w:type="dxa"/>
            </w:tcMar>
            <w:vAlign w:val="top"/>
          </w:tcPr>
          <w:p w14:paraId="33A89F6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No</w:t>
            </w:r>
          </w:p>
        </w:tc>
        <w:tc>
          <w:tcPr>
            <w:tcW w:w="1077" w:type="dxa"/>
            <w:shd w:val="clear" w:color="auto" w:fill="auto"/>
            <w:tcMar>
              <w:top w:w="45" w:type="dxa"/>
              <w:left w:w="70" w:type="dxa"/>
              <w:bottom w:w="45" w:type="dxa"/>
              <w:right w:w="70" w:type="dxa"/>
            </w:tcMar>
            <w:vAlign w:val="top"/>
          </w:tcPr>
          <w:p w14:paraId="6D31DA90">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247" w:type="dxa"/>
            <w:shd w:val="clear" w:color="auto" w:fill="auto"/>
            <w:tcMar>
              <w:top w:w="45" w:type="dxa"/>
              <w:left w:w="70" w:type="dxa"/>
              <w:bottom w:w="45" w:type="dxa"/>
              <w:right w:w="70" w:type="dxa"/>
            </w:tcMar>
            <w:vAlign w:val="top"/>
          </w:tcPr>
          <w:p w14:paraId="529D6B7A">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304" w:type="dxa"/>
            <w:shd w:val="clear" w:color="auto" w:fill="auto"/>
            <w:tcMar>
              <w:top w:w="45" w:type="dxa"/>
              <w:left w:w="70" w:type="dxa"/>
              <w:bottom w:w="45" w:type="dxa"/>
              <w:right w:w="70" w:type="dxa"/>
            </w:tcMar>
            <w:vAlign w:val="top"/>
          </w:tcPr>
          <w:p w14:paraId="79033B5F">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417" w:type="dxa"/>
            <w:shd w:val="clear" w:color="auto" w:fill="auto"/>
            <w:tcMar>
              <w:top w:w="45" w:type="dxa"/>
              <w:left w:w="70" w:type="dxa"/>
              <w:bottom w:w="45" w:type="dxa"/>
              <w:right w:w="70" w:type="dxa"/>
            </w:tcMar>
            <w:vAlign w:val="top"/>
          </w:tcPr>
          <w:p w14:paraId="63164319">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c>
          <w:tcPr>
            <w:tcW w:w="1361" w:type="dxa"/>
            <w:shd w:val="clear" w:color="auto" w:fill="auto"/>
            <w:tcMar>
              <w:top w:w="45" w:type="dxa"/>
              <w:left w:w="70" w:type="dxa"/>
              <w:bottom w:w="45" w:type="dxa"/>
              <w:right w:w="70" w:type="dxa"/>
            </w:tcMar>
            <w:vAlign w:val="top"/>
          </w:tcPr>
          <w:p w14:paraId="27D8B71E">
            <w:pPr>
              <w:spacing w:before="0" w:after="0" w:line="240" w:lineRule="auto"/>
              <w:rPr>
                <w:rFonts w:hint="default" w:ascii="Times New Roman Regular" w:hAnsi="Times New Roman Regular" w:cs="Times New Roman Regular"/>
                <w:color w:val="auto"/>
              </w:rPr>
            </w:pPr>
            <w:r>
              <w:rPr>
                <w:rFonts w:hint="default" w:ascii="Times New Roman Regular" w:hAnsi="Times New Roman Regular" w:cs="Times New Roman Regular"/>
                <w:b w:val="0"/>
                <w:color w:val="auto"/>
                <w:sz w:val="14"/>
              </w:rPr>
              <w:t>Mixed</w:t>
            </w:r>
          </w:p>
        </w:tc>
      </w:tr>
    </w:tbl>
    <w:p w14:paraId="587457E1">
      <w:pPr>
        <w:spacing w:before="20" w:after="60" w:line="360" w:lineRule="auto"/>
        <w:jc w:val="both"/>
        <w:rPr>
          <w:rFonts w:hint="default" w:ascii="Times New Roman Regular" w:hAnsi="Times New Roman Regular" w:cs="Times New Roman Regular"/>
          <w:i w:val="0"/>
          <w:iCs/>
          <w:color w:val="auto"/>
        </w:rPr>
      </w:pPr>
      <w:r>
        <w:rPr>
          <w:rFonts w:hint="default" w:ascii="Times New Roman Regular" w:hAnsi="Times New Roman Regular" w:cs="Times New Roman Regular"/>
          <w:b w:val="0"/>
          <w:i w:val="0"/>
          <w:iCs/>
          <w:color w:val="auto"/>
          <w:sz w:val="15"/>
        </w:rPr>
        <w:t xml:space="preserve">Column guide. This table reports the adjustment status and principal covariate domains of the 17 pairwise estimates formally retained as umbrella-review anchors. “Adjustment status” refers to the retained pooled estimate itself. The covariate columns indicate whether each domain was incorporated into the contributing model or models and are distinct from whether the corresponding population characteristic was descriptively reported at the review level in Supplementary Table </w:t>
      </w:r>
      <w:r>
        <w:rPr>
          <w:rFonts w:hint="eastAsia" w:ascii="Times New Roman Regular" w:hAnsi="Times New Roman Regular" w:eastAsia="宋体" w:cs="Times New Roman Regular"/>
          <w:b w:val="0"/>
          <w:i w:val="0"/>
          <w:iCs/>
          <w:color w:val="auto"/>
          <w:sz w:val="15"/>
          <w:lang w:eastAsia="zh-CN"/>
        </w:rPr>
        <w:t>7</w:t>
      </w:r>
      <w:r>
        <w:rPr>
          <w:rFonts w:hint="default" w:ascii="Times New Roman Regular" w:hAnsi="Times New Roman Regular" w:cs="Times New Roman Regular"/>
          <w:b w:val="0"/>
          <w:i w:val="0"/>
          <w:iCs/>
          <w:color w:val="auto"/>
          <w:sz w:val="15"/>
        </w:rPr>
        <w:t>A. Comparator restriction or disease matching was recorded separately in the comparator column and was not coded as covariate adjustment. Accordingly, “No” under indication adjustment does not exclude control of indication through eligibility restriction or comparator selection. GRADE and umbrella credibility reproduce the classifications reported elsewhere in the manuscript and were not re-derived. Outcome labels use the manuscript’s standardized terminology; source-review terminology is retained only in source citations or explanatory notes where necessary.</w:t>
      </w:r>
    </w:p>
    <w:p w14:paraId="7E071B80">
      <w:pPr>
        <w:spacing w:before="20" w:after="60" w:line="360" w:lineRule="auto"/>
        <w:jc w:val="both"/>
        <w:rPr>
          <w:rFonts w:hint="default" w:ascii="Times New Roman Regular" w:hAnsi="Times New Roman Regular" w:cs="Times New Roman Regular"/>
          <w:i w:val="0"/>
          <w:iCs/>
          <w:color w:val="auto"/>
        </w:rPr>
      </w:pPr>
      <w:r>
        <w:rPr>
          <w:rFonts w:hint="default" w:ascii="Times New Roman Regular" w:hAnsi="Times New Roman Regular" w:cs="Times New Roman Regular"/>
          <w:b w:val="0"/>
          <w:i w:val="0"/>
          <w:iCs/>
          <w:color w:val="auto"/>
          <w:sz w:val="15"/>
        </w:rPr>
        <w:t xml:space="preserve">Scope and analysis unit. Each row represents one formally retained review–outcome–comparator anchor estimate. Rows should not be interpreted as statistically independent observations because several estimates originated from the same reviews and contributing primary studies overlapped across reviews. Only the pairwise estimates formally retained as umbrella-review anchors are presented in Supplementary Table </w:t>
      </w:r>
      <w:r>
        <w:rPr>
          <w:rFonts w:hint="eastAsia" w:ascii="Times New Roman Regular" w:hAnsi="Times New Roman Regular" w:eastAsia="宋体" w:cs="Times New Roman Regular"/>
          <w:b w:val="0"/>
          <w:i w:val="0"/>
          <w:iCs/>
          <w:color w:val="auto"/>
          <w:sz w:val="15"/>
          <w:lang w:eastAsia="zh-CN"/>
        </w:rPr>
        <w:t>7</w:t>
      </w:r>
      <w:r>
        <w:rPr>
          <w:rFonts w:hint="default" w:ascii="Times New Roman Regular" w:hAnsi="Times New Roman Regular" w:cs="Times New Roman Regular"/>
          <w:b w:val="0"/>
          <w:i w:val="0"/>
          <w:iCs/>
          <w:color w:val="auto"/>
          <w:sz w:val="15"/>
        </w:rPr>
        <w:t>B. No new pooled or inferential analyses were conducted.</w:t>
      </w:r>
    </w:p>
    <w:p w14:paraId="01299CFD">
      <w:pPr>
        <w:spacing w:before="20" w:after="100" w:line="360" w:lineRule="auto"/>
        <w:jc w:val="both"/>
        <w:rPr>
          <w:rFonts w:hint="default" w:ascii="Times New Roman Regular" w:hAnsi="Times New Roman Regular" w:cs="Times New Roman Regular"/>
          <w:b w:val="0"/>
          <w:i w:val="0"/>
          <w:iCs/>
          <w:color w:val="auto"/>
          <w:sz w:val="13"/>
        </w:rPr>
      </w:pPr>
      <w:r>
        <w:rPr>
          <w:rFonts w:hint="default" w:ascii="Times New Roman Regular" w:hAnsi="Times New Roman Regular" w:cs="Times New Roman Regular"/>
          <w:b w:val="0"/>
          <w:i w:val="0"/>
          <w:iCs/>
          <w:color w:val="auto"/>
          <w:sz w:val="15"/>
        </w:rPr>
        <w:t>Interpretation of NS. NS means “not statistically significant” and identifies a formally appraised anchor estimate whose 95% confidence interval included the null and which was therefore not assigned a directional credibility class. NS should be interpreted jointly with confidence-interval precision and the GRADE imprecision judgment and should not be considered evidence of equivalence, absence of association, or absence of clinically meaningful risk.</w:t>
      </w:r>
    </w:p>
    <w:p w14:paraId="6EDAE863">
      <w:pPr>
        <w:spacing w:before="100" w:after="60" w:line="360" w:lineRule="auto"/>
        <w:jc w:val="both"/>
        <w:rPr>
          <w:rFonts w:hint="default" w:ascii="Times New Roman Regular" w:hAnsi="Times New Roman Regular" w:cs="Times New Roman Regular"/>
          <w:i w:val="0"/>
          <w:iCs/>
          <w:color w:val="auto"/>
          <w:sz w:val="15"/>
          <w:szCs w:val="15"/>
        </w:rPr>
      </w:pPr>
      <w:r>
        <w:rPr>
          <w:rFonts w:hint="default" w:ascii="Times New Roman Regular" w:hAnsi="Times New Roman Regular" w:cs="Times New Roman Regular"/>
          <w:b w:val="0"/>
          <w:i w:val="0"/>
          <w:iCs/>
          <w:color w:val="auto"/>
          <w:sz w:val="15"/>
          <w:szCs w:val="15"/>
        </w:rPr>
        <w:t>Abbreviations. aHR, adjusted hazard ratio; AED, antiepileptic drug (historical source-review terminology); ASM, antiseizure medication; ASD, autism spectrum disorder; ADHD, attention-deficit/hyperactivity disorder; CI, confidence interval; GRADE, Grading of Recommendations Assessment, Development and Evaluation; LTG, lamotrigine; NS, not statistically significant: a formally appraised anchor estimate whose 95% confidence interval included the null and which was therefore not assigned a directional credibility class; OXC, oxcarbazepine; OR, odds ratio; PGB, pregabalin; RR, risk ratio; TPM, topiramate; VPA, valproic acid/valproate; WWE, women with epilepsy. Adjustment status: Adjusted = the retained pooled estimate was composed of explicitly adjusted effect estimates; Unadjusted = the retained estimate used raw event counts or unadjusted ORs/RRs; Mixed = contributing studies differed in adjustment status. Covariate domains: Yes = all or explicitly identified contributing models included that domain; No = the estimate was unadjusted or the domain was explicitly not included; Mixed = only some contributing studies adjusted for the domain; Not reported = the source review did not report the information; Unclear = information was available but could not be mapped reliably to the specific anchor.</w:t>
      </w:r>
    </w:p>
    <w:sectPr>
      <w:pgSz w:w="16838" w:h="11906" w:orient="landscape"/>
      <w:pgMar w:top="624" w:right="454" w:bottom="624" w:left="45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苹方-简">
    <w:panose1 w:val="020B0400000000000000"/>
    <w:charset w:val="86"/>
    <w:family w:val="auto"/>
    <w:pitch w:val="default"/>
    <w:sig w:usb0="A00002FF" w:usb1="7ACFFDFB" w:usb2="00000017" w:usb3="00000000" w:csb0="00040001" w:csb1="00000000"/>
  </w:font>
  <w:font w:name="ＭＳ 明朝">
    <w:altName w:val="Hiragino Sans"/>
    <w:panose1 w:val="00000000000000000000"/>
    <w:charset w:val="80"/>
    <w:family w:val="roman"/>
    <w:pitch w:val="default"/>
    <w:sig w:usb0="00000000" w:usb1="00000000" w:usb2="00000010" w:usb3="00000000" w:csb0="00020000" w:csb1="00000000"/>
  </w:font>
  <w:font w:name="Hiragino Sans">
    <w:panose1 w:val="020B0300000000000000"/>
    <w:charset w:val="80"/>
    <w:family w:val="auto"/>
    <w:pitch w:val="default"/>
    <w:sig w:usb0="E00002FF" w:usb1="7AE7FFFF" w:usb2="00000012" w:usb3="00000000" w:csb0="0002000D" w:csb1="00000000"/>
  </w:font>
  <w:font w:name="ＭＳ 明朝">
    <w:altName w:val="Hiragino Sans"/>
    <w:panose1 w:val="00000000000000000000"/>
    <w:charset w:val="86"/>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Kingsoft Sign">
    <w:panose1 w:val="05050102010706020507"/>
    <w:charset w:val="00"/>
    <w:family w:val="auto"/>
    <w:pitch w:val="default"/>
    <w:sig w:usb0="00000000" w:usb1="10000000" w:usb2="00000000" w:usb3="00000000" w:csb0="00000001" w:csb1="00000000"/>
  </w:font>
  <w:font w:name="Times New Roman Bold">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ＭＳ 明朝">
    <w:altName w:val="Hiragino Sans"/>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ＭＳ ゴシック">
    <w:altName w:val="苹方-简"/>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FF7574C"/>
    <w:rsid w:val="E3BFC82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16"/>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4</TotalTime>
  <ScaleCrop>false</ScaleCrop>
  <LinksUpToDate>false</LinksUpToDate>
  <CharactersWithSpaces>0</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python-docx</dc:creator>
  <dc:description>generated by python-docx</dc:description>
  <cp:lastModifiedBy>Yulong Li</cp:lastModifiedBy>
  <dcterms:modified xsi:type="dcterms:W3CDTF">2026-07-18T13:35:19Z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012C24387A5EFA04FE0C5B6A4BE8A8EC_42</vt:lpwstr>
  </property>
</Properties>
</file>