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702" w:tblpY="751"/>
        <w:tblOverlap w:val="never"/>
        <w:tblW w:w="10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2"/>
        <w:gridCol w:w="3302"/>
        <w:gridCol w:w="2780"/>
        <w:gridCol w:w="986"/>
      </w:tblGrid>
      <w:tr w:rsidR="003B4BBF" w:rsidTr="005E5A15">
        <w:trPr>
          <w:trHeight w:val="399"/>
        </w:trPr>
        <w:tc>
          <w:tcPr>
            <w:tcW w:w="10820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pStyle w:val="EndNoteBibliography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Table S1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lang w:bidi="ar"/>
              </w:rPr>
              <w:t>Characteristics of participants included in and excluded from this secondary analysis.</w:t>
            </w:r>
          </w:p>
        </w:tc>
      </w:tr>
      <w:tr w:rsidR="003B4BBF" w:rsidTr="005E5A15">
        <w:trPr>
          <w:trHeight w:val="428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>Variables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Included (n = 589)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Excluded (n = 34)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i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:rsidR="003B4BBF" w:rsidTr="005E5A15">
        <w:trPr>
          <w:trHeight w:val="428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Age (years)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32.00 (30.00–34.00)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33.00 (29.00–35.00)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0.940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91"/>
                <w:sz w:val="20"/>
                <w:szCs w:val="20"/>
                <w:lang w:bidi="ar"/>
              </w:rPr>
              <w:t>pre-pregnancy BMI (kg/m</w:t>
            </w:r>
            <w:r>
              <w:rPr>
                <w:rStyle w:val="font91"/>
                <w:sz w:val="20"/>
                <w:szCs w:val="20"/>
                <w:vertAlign w:val="superscript"/>
                <w:lang w:bidi="ar"/>
              </w:rPr>
              <w:t>2</w:t>
            </w:r>
            <w:r>
              <w:rPr>
                <w:rStyle w:val="font91"/>
                <w:sz w:val="20"/>
                <w:szCs w:val="20"/>
                <w:lang w:bidi="ar"/>
              </w:rPr>
              <w:t>)</w:t>
            </w:r>
          </w:p>
        </w:tc>
        <w:tc>
          <w:tcPr>
            <w:tcW w:w="33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21.48 (19.53–23.63)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21.45 (20.55–24.34)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0.174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Primipara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280 (47.54%)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19 (55.88%)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0.344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GDM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37 (6.28%)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 (9.52%)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0.551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PHD (%)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16 (2.76%)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 (3.03%)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0.928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Cesarean section (%)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217 (36.84%)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11 (32.35%)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0.597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Gestational age at delivery (weeks)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39.10 (38.20–40.00)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39.00 (38.20–39.60)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0.683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Preterm birth (%)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20 (3.40%)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 (0.00%)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0.275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Fetal sex (male)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 (51.10%)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(41.18%)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0.260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Fetal birthweight (kg)</w:t>
            </w:r>
          </w:p>
        </w:tc>
        <w:tc>
          <w:tcPr>
            <w:tcW w:w="33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3.23 ± 0.39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3.17 ± 0.48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0.341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Laboratory findings at 10–14 weeks’ gestation</w:t>
            </w:r>
          </w:p>
        </w:tc>
        <w:tc>
          <w:tcPr>
            <w:tcW w:w="7068" w:type="dxa"/>
            <w:gridSpan w:val="3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4BBF" w:rsidTr="005E5A15">
        <w:trPr>
          <w:trHeight w:val="399"/>
        </w:trPr>
        <w:tc>
          <w:tcPr>
            <w:tcW w:w="375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ALT (IU/L)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11.00 (8.00–15.00)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13.50 (9.25–17.75)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0.740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AST (IU/L)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16.00 (14.00–20.00)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17.50 (15.00–22.00)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0.566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GGT (IU/L)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12.00 (10.00–15.00)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12.50 (11.00–16.50)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0.935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Fasting glucose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4.27 (3.94–4.61)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4.50 (4.36–4.70)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0.091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Total cholesterol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3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4.40 (3.99–4.92)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4.62 (4.23–5.03)</w:t>
            </w:r>
          </w:p>
        </w:tc>
        <w:tc>
          <w:tcPr>
            <w:tcW w:w="9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0.122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Triglyceride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1.24 (0.98–1.59)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1.38 (1.25–1.79)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0.074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HDL-C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1.68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0.35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1.73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0.40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0.606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LDL-C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2.17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0.56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2.30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±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0.66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0.399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Free fatty acid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μEq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609.50 (460.00–789.50)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726.00 (594.00–907.00)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0.056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Adiponectin (mg/L)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5.06 (2.83–8.04)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3.61 (2.26–6.96)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0.377</w:t>
            </w:r>
          </w:p>
        </w:tc>
      </w:tr>
      <w:tr w:rsidR="003B4BBF" w:rsidTr="005E5A15">
        <w:trPr>
          <w:trHeight w:val="399"/>
        </w:trPr>
        <w:tc>
          <w:tcPr>
            <w:tcW w:w="375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TAR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/mg) </w:t>
            </w:r>
          </w:p>
        </w:tc>
        <w:tc>
          <w:tcPr>
            <w:tcW w:w="330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0.24 (0.14–0.49)</w:t>
            </w:r>
          </w:p>
        </w:tc>
        <w:tc>
          <w:tcPr>
            <w:tcW w:w="278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0.40 (0.18–1.01)</w:t>
            </w:r>
          </w:p>
        </w:tc>
        <w:tc>
          <w:tcPr>
            <w:tcW w:w="986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0.127</w:t>
            </w:r>
          </w:p>
        </w:tc>
      </w:tr>
      <w:tr w:rsidR="003B4BBF" w:rsidTr="005E5A15">
        <w:trPr>
          <w:trHeight w:val="1327"/>
        </w:trPr>
        <w:tc>
          <w:tcPr>
            <w:tcW w:w="10820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Style w:val="font91"/>
                <w:sz w:val="20"/>
                <w:szCs w:val="20"/>
                <w:lang w:bidi="ar"/>
              </w:rPr>
            </w:pPr>
            <w:r>
              <w:rPr>
                <w:rFonts w:ascii="Times New Roman" w:eastAsia="Arial Unicode MS" w:hAnsi="Times New Roman"/>
                <w:b/>
                <w:sz w:val="20"/>
                <w:szCs w:val="20"/>
              </w:rPr>
              <w:t xml:space="preserve">Note: </w:t>
            </w:r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>Variables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 were presented as mean ± standard deviation (SD), median (interquartile range, IQR), or number (percentage).  </w:t>
            </w:r>
          </w:p>
          <w:p w:rsidR="003B4BBF" w:rsidRDefault="003B4BBF" w:rsidP="005E5A15">
            <w:pPr>
              <w:pStyle w:val="EndNoteBibliography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Abbreviations: 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BMI Body mass index;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GDM Gestational diabetes mellitus; PHD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 Pregnancy hypertension disease; ALT Alanine aminotransferase; AST Aspartate aminotransferase;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GGT Gamma-</w:t>
            </w: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glutamyl</w:t>
            </w:r>
            <w:proofErr w:type="spellEnd"/>
            <w:r>
              <w:rPr>
                <w:rFonts w:ascii="Times New Roman" w:hAnsi="Times New Roman"/>
                <w:kern w:val="0"/>
                <w:szCs w:val="21"/>
              </w:rPr>
              <w:t xml:space="preserve"> transferase;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 HDL-C High density lipoprotein cholesterol; LDL-C Low density lipoprotein cholesterol; TAR triglyceride‑to‑adiponectin ratio.</w:t>
            </w:r>
          </w:p>
        </w:tc>
      </w:tr>
    </w:tbl>
    <w:p w:rsidR="003B4BBF" w:rsidRDefault="003B4BBF"/>
    <w:p w:rsidR="003B4BBF" w:rsidRDefault="003B4BBF">
      <w:pPr>
        <w:widowControl/>
        <w:spacing w:after="200" w:line="276" w:lineRule="auto"/>
        <w:jc w:val="left"/>
      </w:pPr>
      <w:r>
        <w:br w:type="page"/>
      </w:r>
    </w:p>
    <w:tbl>
      <w:tblPr>
        <w:tblpPr w:leftFromText="180" w:rightFromText="180" w:vertAnchor="text" w:horzAnchor="page" w:tblpX="1825" w:tblpY="34"/>
        <w:tblOverlap w:val="never"/>
        <w:tblW w:w="8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7"/>
        <w:gridCol w:w="2150"/>
        <w:gridCol w:w="950"/>
        <w:gridCol w:w="1988"/>
        <w:gridCol w:w="962"/>
      </w:tblGrid>
      <w:tr w:rsidR="003B4BBF" w:rsidTr="005E5A15">
        <w:trPr>
          <w:trHeight w:val="397"/>
        </w:trPr>
        <w:tc>
          <w:tcPr>
            <w:tcW w:w="8937" w:type="dxa"/>
            <w:gridSpan w:val="5"/>
            <w:vAlign w:val="center"/>
          </w:tcPr>
          <w:p w:rsidR="003B4BBF" w:rsidRDefault="003B4BBF" w:rsidP="005E5A15">
            <w:pPr>
              <w:pBdr>
                <w:between w:val="single" w:sz="6" w:space="0" w:color="auto"/>
              </w:pBdr>
              <w:rPr>
                <w:rFonts w:ascii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lastRenderedPageBreak/>
              <w:t xml:space="preserve">Table S2 </w:t>
            </w:r>
            <w:r>
              <w:rPr>
                <w:rFonts w:ascii="Times New Roman" w:hAnsi="Times New Roman"/>
                <w:szCs w:val="21"/>
              </w:rPr>
              <w:t xml:space="preserve">Relationship between pre-pregnancy BMI and Log-transformed TAR. </w:t>
            </w:r>
          </w:p>
        </w:tc>
      </w:tr>
      <w:tr w:rsidR="003B4BBF" w:rsidTr="005E5A15">
        <w:trPr>
          <w:trHeight w:val="397"/>
        </w:trPr>
        <w:tc>
          <w:tcPr>
            <w:tcW w:w="2887" w:type="dxa"/>
            <w:vMerge w:val="restart"/>
            <w:vAlign w:val="center"/>
          </w:tcPr>
          <w:p w:rsidR="003B4BBF" w:rsidRDefault="003B4BBF" w:rsidP="005E5A15">
            <w:pPr>
              <w:rPr>
                <w:rFonts w:ascii="Times New Roman" w:eastAsia="DengXian" w:hAnsi="Times New Roman"/>
                <w:szCs w:val="21"/>
                <w14:ligatures w14:val="standardContextual"/>
              </w:rPr>
            </w:pPr>
            <w:r>
              <w:rPr>
                <w:rFonts w:ascii="Times New Roman" w:eastAsia="DengXian" w:hAnsi="Times New Roman"/>
                <w:szCs w:val="21"/>
                <w14:ligatures w14:val="standardContextual"/>
              </w:rPr>
              <w:t>Variables</w:t>
            </w:r>
          </w:p>
        </w:tc>
        <w:tc>
          <w:tcPr>
            <w:tcW w:w="3100" w:type="dxa"/>
            <w:gridSpan w:val="2"/>
            <w:vAlign w:val="center"/>
          </w:tcPr>
          <w:p w:rsidR="003B4BBF" w:rsidRDefault="003B4BBF" w:rsidP="005E5A15">
            <w:pPr>
              <w:pBdr>
                <w:between w:val="single" w:sz="6" w:space="0" w:color="auto"/>
              </w:pBdr>
              <w:rPr>
                <w:rFonts w:ascii="Times New Roman" w:eastAsia="DengXian" w:hAnsi="Times New Roman"/>
                <w:szCs w:val="21"/>
                <w14:ligatures w14:val="standardContextual"/>
              </w:rPr>
            </w:pPr>
            <w:r>
              <w:rPr>
                <w:rFonts w:ascii="Times New Roman" w:eastAsia="DengXian" w:hAnsi="Times New Roman"/>
                <w:szCs w:val="21"/>
                <w14:ligatures w14:val="standardContextual"/>
              </w:rPr>
              <w:t>Unadjusted</w:t>
            </w:r>
          </w:p>
        </w:tc>
        <w:tc>
          <w:tcPr>
            <w:tcW w:w="2950" w:type="dxa"/>
            <w:gridSpan w:val="2"/>
            <w:vAlign w:val="center"/>
          </w:tcPr>
          <w:p w:rsidR="003B4BBF" w:rsidRDefault="003B4BBF" w:rsidP="005E5A15">
            <w:pPr>
              <w:pBdr>
                <w:between w:val="single" w:sz="6" w:space="0" w:color="auto"/>
              </w:pBdr>
              <w:rPr>
                <w:rFonts w:ascii="Times New Roman" w:eastAsia="DengXian" w:hAnsi="Times New Roman"/>
                <w:szCs w:val="21"/>
                <w14:ligatures w14:val="standardContextual"/>
              </w:rPr>
            </w:pPr>
            <w:r>
              <w:rPr>
                <w:rFonts w:ascii="Times New Roman" w:eastAsia="DengXian" w:hAnsi="Times New Roman"/>
                <w:szCs w:val="21"/>
                <w14:ligatures w14:val="standardContextual"/>
              </w:rPr>
              <w:t>Adjusted</w:t>
            </w:r>
          </w:p>
        </w:tc>
      </w:tr>
      <w:tr w:rsidR="003B4BBF" w:rsidTr="005E5A15">
        <w:trPr>
          <w:trHeight w:val="397"/>
        </w:trPr>
        <w:tc>
          <w:tcPr>
            <w:tcW w:w="2887" w:type="dxa"/>
            <w:vMerge/>
            <w:vAlign w:val="center"/>
          </w:tcPr>
          <w:p w:rsidR="003B4BBF" w:rsidRDefault="003B4BBF" w:rsidP="005E5A15">
            <w:pPr>
              <w:rPr>
                <w:rFonts w:ascii="Times New Roman" w:eastAsia="DengXian" w:hAnsi="Times New Roman"/>
                <w:szCs w:val="21"/>
                <w14:ligatures w14:val="standardContextual"/>
              </w:rPr>
            </w:pPr>
          </w:p>
        </w:tc>
        <w:tc>
          <w:tcPr>
            <w:tcW w:w="2150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DengXi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β (95% CI)</w:t>
            </w:r>
          </w:p>
        </w:tc>
        <w:tc>
          <w:tcPr>
            <w:tcW w:w="950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DengXi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 xml:space="preserve"> value</w:t>
            </w:r>
          </w:p>
        </w:tc>
        <w:tc>
          <w:tcPr>
            <w:tcW w:w="1988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DengXian" w:hAnsi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β (95% CI)</w:t>
            </w:r>
          </w:p>
        </w:tc>
        <w:tc>
          <w:tcPr>
            <w:tcW w:w="962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DengXi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 xml:space="preserve"> value</w:t>
            </w:r>
          </w:p>
        </w:tc>
      </w:tr>
      <w:tr w:rsidR="003B4BBF" w:rsidTr="005E5A15">
        <w:trPr>
          <w:trHeight w:val="397"/>
        </w:trPr>
        <w:tc>
          <w:tcPr>
            <w:tcW w:w="2887" w:type="dxa"/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  <w:t xml:space="preserve">BMI </w:t>
            </w:r>
          </w:p>
        </w:tc>
        <w:tc>
          <w:tcPr>
            <w:tcW w:w="6050" w:type="dxa"/>
            <w:gridSpan w:val="4"/>
            <w:vAlign w:val="center"/>
          </w:tcPr>
          <w:p w:rsidR="003B4BBF" w:rsidRDefault="003B4BBF" w:rsidP="005E5A15">
            <w:pPr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</w:p>
        </w:tc>
      </w:tr>
      <w:tr w:rsidR="003B4BBF" w:rsidTr="005E5A15">
        <w:trPr>
          <w:trHeight w:val="397"/>
        </w:trPr>
        <w:tc>
          <w:tcPr>
            <w:tcW w:w="2887" w:type="dxa"/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  <w:t xml:space="preserve">Non-overweight (&lt;25 </w:t>
            </w:r>
            <w:r>
              <w:rPr>
                <w:rStyle w:val="font91"/>
                <w:szCs w:val="21"/>
                <w:lang w:bidi="ar"/>
              </w:rPr>
              <w:t>kg/m</w:t>
            </w:r>
            <w:r>
              <w:rPr>
                <w:rStyle w:val="font91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2150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szCs w:val="21"/>
                <w14:ligatures w14:val="standardContextual"/>
              </w:rPr>
              <w:t>Reference</w:t>
            </w:r>
          </w:p>
        </w:tc>
        <w:tc>
          <w:tcPr>
            <w:tcW w:w="950" w:type="dxa"/>
            <w:vAlign w:val="center"/>
          </w:tcPr>
          <w:p w:rsidR="003B4BBF" w:rsidRDefault="003B4BBF" w:rsidP="005E5A15">
            <w:pPr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</w:p>
        </w:tc>
        <w:tc>
          <w:tcPr>
            <w:tcW w:w="1988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szCs w:val="21"/>
                <w14:ligatures w14:val="standardContextual"/>
              </w:rPr>
              <w:t>Reference</w:t>
            </w:r>
          </w:p>
        </w:tc>
        <w:tc>
          <w:tcPr>
            <w:tcW w:w="962" w:type="dxa"/>
            <w:vAlign w:val="center"/>
          </w:tcPr>
          <w:p w:rsidR="003B4BBF" w:rsidRDefault="003B4BBF" w:rsidP="005E5A15">
            <w:pPr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</w:p>
        </w:tc>
      </w:tr>
      <w:tr w:rsidR="003B4BBF" w:rsidTr="005E5A15">
        <w:trPr>
          <w:trHeight w:val="397"/>
        </w:trPr>
        <w:tc>
          <w:tcPr>
            <w:tcW w:w="2887" w:type="dxa"/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  <w:t>Overweight (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 xml:space="preserve">≥25 </w:t>
            </w:r>
            <w:r>
              <w:rPr>
                <w:rStyle w:val="font91"/>
                <w:szCs w:val="21"/>
                <w:lang w:bidi="ar"/>
              </w:rPr>
              <w:t>kg/m</w:t>
            </w:r>
            <w:r>
              <w:rPr>
                <w:rStyle w:val="font91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2150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color w:val="000000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szCs w:val="21"/>
                <w14:ligatures w14:val="standardContextual"/>
              </w:rPr>
              <w:t>0.77 (0.57, 0.96)</w:t>
            </w:r>
          </w:p>
        </w:tc>
        <w:tc>
          <w:tcPr>
            <w:tcW w:w="950" w:type="dxa"/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color w:val="000000"/>
                <w:kern w:val="0"/>
                <w:szCs w:val="21"/>
                <w:lang w:bidi="ar"/>
                <w14:ligatures w14:val="standardContextual"/>
              </w:rPr>
            </w:pPr>
            <w:r>
              <w:rPr>
                <w:rFonts w:ascii="Times New Roman" w:hAnsi="Times New Roman"/>
                <w:szCs w:val="21"/>
              </w:rPr>
              <w:t>&lt;0.001</w:t>
            </w:r>
          </w:p>
        </w:tc>
        <w:tc>
          <w:tcPr>
            <w:tcW w:w="1988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eastAsia="Times New Roman" w:hAnsi="Times New Roman"/>
                <w:szCs w:val="21"/>
                <w14:ligatures w14:val="standardContextual"/>
              </w:rPr>
              <w:t xml:space="preserve">0.39 (0.22, 0.56) </w:t>
            </w:r>
          </w:p>
        </w:tc>
        <w:tc>
          <w:tcPr>
            <w:tcW w:w="962" w:type="dxa"/>
            <w:vAlign w:val="center"/>
          </w:tcPr>
          <w:p w:rsidR="003B4BBF" w:rsidRDefault="003B4BBF" w:rsidP="005E5A15">
            <w:pPr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szCs w:val="21"/>
              </w:rPr>
              <w:t>&lt;0.001</w:t>
            </w:r>
          </w:p>
        </w:tc>
      </w:tr>
      <w:tr w:rsidR="003B4BBF" w:rsidTr="005E5A15">
        <w:trPr>
          <w:trHeight w:val="397"/>
        </w:trPr>
        <w:tc>
          <w:tcPr>
            <w:tcW w:w="2887" w:type="dxa"/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  <w:t>Per-1</w:t>
            </w:r>
            <w:r>
              <w:rPr>
                <w:rStyle w:val="font91"/>
                <w:szCs w:val="21"/>
                <w:lang w:bidi="ar"/>
              </w:rPr>
              <w:t>kg/m</w:t>
            </w:r>
            <w:r>
              <w:rPr>
                <w:rStyle w:val="font91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/>
                <w:iCs/>
                <w:color w:val="000000"/>
                <w:kern w:val="0"/>
                <w:szCs w:val="21"/>
                <w:lang w:bidi="ar"/>
              </w:rPr>
              <w:t xml:space="preserve"> increase</w:t>
            </w:r>
          </w:p>
        </w:tc>
        <w:tc>
          <w:tcPr>
            <w:tcW w:w="2150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eastAsia="Times New Roman" w:hAnsi="Times New Roman"/>
                <w:szCs w:val="21"/>
                <w14:ligatures w14:val="standardContextual"/>
              </w:rPr>
              <w:t>0.09 (0.07, 0.11)</w:t>
            </w:r>
          </w:p>
        </w:tc>
        <w:tc>
          <w:tcPr>
            <w:tcW w:w="950" w:type="dxa"/>
            <w:vAlign w:val="center"/>
          </w:tcPr>
          <w:p w:rsidR="003B4BBF" w:rsidRDefault="003B4BBF" w:rsidP="005E5A15">
            <w:pPr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szCs w:val="21"/>
              </w:rPr>
              <w:t>&lt;0.001</w:t>
            </w:r>
          </w:p>
        </w:tc>
        <w:tc>
          <w:tcPr>
            <w:tcW w:w="1988" w:type="dxa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eastAsia="Times New Roman" w:hAnsi="Times New Roman"/>
                <w:szCs w:val="21"/>
                <w14:ligatures w14:val="standardContextual"/>
              </w:rPr>
              <w:t>0.05 (0.03, 0.07)</w:t>
            </w:r>
          </w:p>
        </w:tc>
        <w:tc>
          <w:tcPr>
            <w:tcW w:w="962" w:type="dxa"/>
            <w:vAlign w:val="center"/>
          </w:tcPr>
          <w:p w:rsidR="003B4BBF" w:rsidRDefault="003B4BBF" w:rsidP="005E5A15">
            <w:pPr>
              <w:rPr>
                <w:rFonts w:ascii="Times New Roman" w:hAnsi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/>
                <w:szCs w:val="21"/>
              </w:rPr>
              <w:t>&lt;0.001</w:t>
            </w:r>
          </w:p>
        </w:tc>
      </w:tr>
      <w:tr w:rsidR="003B4BBF" w:rsidTr="005E5A15">
        <w:trPr>
          <w:trHeight w:val="397"/>
        </w:trPr>
        <w:tc>
          <w:tcPr>
            <w:tcW w:w="8937" w:type="dxa"/>
            <w:gridSpan w:val="5"/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eastAsia="Arial Unicode MS" w:hAnsi="Times New Roman"/>
                <w:b/>
                <w:szCs w:val="21"/>
              </w:rPr>
            </w:pPr>
            <w:r>
              <w:rPr>
                <w:rFonts w:ascii="Times New Roman" w:eastAsia="Arial Unicode MS" w:hAnsi="Times New Roman"/>
                <w:b/>
                <w:szCs w:val="21"/>
              </w:rPr>
              <w:t xml:space="preserve">Notes: 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Adjusted for age, parity, and laboratory results (fasting glucose, ALT, AST, GGT, free fatty acid, total cholesterol, HDL-C, and LDL-C) measured at 10–14 weeks’ gestation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. </w:t>
            </w:r>
          </w:p>
          <w:p w:rsidR="003B4BBF" w:rsidRDefault="003B4BBF" w:rsidP="005E5A15">
            <w:pPr>
              <w:rPr>
                <w:rFonts w:ascii="Times New Roman" w:hAnsi="Times New Roman"/>
                <w:color w:val="000000"/>
                <w:kern w:val="0"/>
                <w:szCs w:val="21"/>
                <w:lang w:bidi="ar"/>
                <w14:ligatures w14:val="standardContextual"/>
              </w:rPr>
            </w:pPr>
            <w:r>
              <w:rPr>
                <w:rFonts w:ascii="Times New Roman" w:eastAsia="Arial Unicode MS" w:hAnsi="Times New Roman"/>
                <w:b/>
                <w:szCs w:val="21"/>
              </w:rPr>
              <w:t xml:space="preserve">Abbreviations: 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BMI Body mass index; TAR triglyceride‑to‑adiponectin ratio;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GDM Gestational diabetes mellitus; CI Confidence interval; SD Standard deviation; PHD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 Pregnancy hypertension disease.</w:t>
            </w:r>
          </w:p>
        </w:tc>
      </w:tr>
    </w:tbl>
    <w:p w:rsidR="00F740E2" w:rsidRDefault="00F740E2"/>
    <w:p w:rsidR="003B4BBF" w:rsidRDefault="003B4BBF"/>
    <w:p w:rsidR="003B4BBF" w:rsidRDefault="003B4BBF">
      <w:pPr>
        <w:widowControl/>
        <w:spacing w:after="200" w:line="276" w:lineRule="auto"/>
        <w:jc w:val="left"/>
      </w:pPr>
      <w:r>
        <w:br w:type="page"/>
      </w:r>
    </w:p>
    <w:tbl>
      <w:tblPr>
        <w:tblpPr w:leftFromText="180" w:rightFromText="180" w:vertAnchor="text" w:horzAnchor="page" w:tblpX="1449" w:tblpY="38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2"/>
        <w:gridCol w:w="610"/>
        <w:gridCol w:w="1079"/>
        <w:gridCol w:w="665"/>
        <w:gridCol w:w="1057"/>
        <w:gridCol w:w="1090"/>
        <w:gridCol w:w="1110"/>
        <w:gridCol w:w="882"/>
        <w:gridCol w:w="1175"/>
      </w:tblGrid>
      <w:tr w:rsidR="003B4BBF" w:rsidTr="003B4BBF">
        <w:trPr>
          <w:trHeight w:val="397"/>
        </w:trPr>
        <w:tc>
          <w:tcPr>
            <w:tcW w:w="5000" w:type="pct"/>
            <w:gridSpan w:val="9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lastRenderedPageBreak/>
              <w:t xml:space="preserve">Table S3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Bootstrap‑smoothed (500 resamples) discriminative accuracy of age, pre-pregnancy BMI, and laboratory parameters measured at 10–14 weeks’ gestation for GDM.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Variables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AUC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95% CI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Best threshold 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Specificity (%)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Sensitivity (%)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PPV (%)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NPV (%)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LDL-C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0.498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0.407, 0.592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2.73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85.17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21.62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8.89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94.20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Age (years)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0.547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0.441, 0.660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31.5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42.68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67.57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7.31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95.16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Total cholesterol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0.579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0.487, 0.664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4.70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66.18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51.35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9.22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95.31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HDL-C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0.607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0.502, 0.700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1.27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88.43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35.14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16.88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95.32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AST (IU/L)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0.595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0.489, 0.693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19.5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75.50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43.24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10.60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95.19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Free fatty acid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μEq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0.609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0.512, 0.711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678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61.96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62.16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9.87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96.07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ALT (IU/L)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0.647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0.553, 0.751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14.5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75.50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59.46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14.01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96.52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GGT (IU/L)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0.660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0.576, 0.759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17.5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84.81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45.95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16.83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95.91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91"/>
                <w:sz w:val="20"/>
                <w:szCs w:val="20"/>
                <w:lang w:bidi="ar"/>
              </w:rPr>
              <w:t>pre-pregnancy BMI (kg/m</w:t>
            </w:r>
            <w:r>
              <w:rPr>
                <w:rStyle w:val="font91"/>
                <w:sz w:val="20"/>
                <w:szCs w:val="20"/>
                <w:vertAlign w:val="superscript"/>
                <w:lang w:bidi="ar"/>
              </w:rPr>
              <w:t>2</w:t>
            </w:r>
            <w:r>
              <w:rPr>
                <w:rStyle w:val="font91"/>
                <w:sz w:val="20"/>
                <w:szCs w:val="20"/>
                <w:lang w:bidi="ar"/>
              </w:rPr>
              <w:t>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0.746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0.657, 0.830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0.034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23.67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78.08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67.57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17.12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97.29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Triglyceride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0.780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0.699, 0.849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1.37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64.20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83.78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13.54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98.34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Adiponectin (mg/L)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0.809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0.740, 0.875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2.97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77.40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78.38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18.83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98.17</w:t>
            </w:r>
          </w:p>
        </w:tc>
      </w:tr>
      <w:tr w:rsidR="003B4BBF" w:rsidTr="003B4BBF">
        <w:trPr>
          <w:trHeight w:val="397"/>
        </w:trPr>
        <w:tc>
          <w:tcPr>
            <w:tcW w:w="924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TAR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mmol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/mg) 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0.852</w:t>
            </w:r>
          </w:p>
        </w:tc>
        <w:tc>
          <w:tcPr>
            <w:tcW w:w="57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0.786, 0.913</w:t>
            </w:r>
          </w:p>
        </w:tc>
        <w:tc>
          <w:tcPr>
            <w:tcW w:w="350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3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581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80.11</w:t>
            </w:r>
          </w:p>
        </w:tc>
        <w:tc>
          <w:tcPr>
            <w:tcW w:w="59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86.49</w:t>
            </w:r>
          </w:p>
        </w:tc>
        <w:tc>
          <w:tcPr>
            <w:tcW w:w="46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22.54</w:t>
            </w:r>
          </w:p>
        </w:tc>
        <w:tc>
          <w:tcPr>
            <w:tcW w:w="628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98.88</w:t>
            </w:r>
          </w:p>
        </w:tc>
      </w:tr>
      <w:tr w:rsidR="003B4BBF" w:rsidTr="003B4BBF">
        <w:trPr>
          <w:trHeight w:val="397"/>
        </w:trPr>
        <w:tc>
          <w:tcPr>
            <w:tcW w:w="5000" w:type="pct"/>
            <w:gridSpan w:val="9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/>
                <w:sz w:val="20"/>
                <w:szCs w:val="20"/>
              </w:rPr>
              <w:t>Notes:</w:t>
            </w:r>
            <w:r>
              <w:rPr>
                <w:rFonts w:ascii="Times New Roman" w:eastAsia="Arial Unicode MS" w:hAnsi="Times New Roman"/>
                <w:b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Arial Unicode MS" w:hAnsi="Times New Roman"/>
                <w:bCs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 xml:space="preserve">values represent paired comparisons between the AUC of each variable and the AUC of </w:t>
            </w:r>
            <w:proofErr w:type="gramStart"/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>TAR,</w:t>
            </w:r>
            <w:proofErr w:type="gramEnd"/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 xml:space="preserve"> calculated using a non‑parametric bootstrap resampling test with 500 replicates based on bootstrap‑smoothed AUC estimates.</w:t>
            </w:r>
          </w:p>
          <w:p w:rsidR="003B4BBF" w:rsidRDefault="003B4BBF" w:rsidP="005E5A15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Abbreviations: 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BMI Body mass index;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GDM Gestational diabetes mellitus;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AUC Area under the curve; CI Confidence interval; PPV Positive predictive value; NPV Negative predictive value; LDL-C, low density lipoprotein cholesterol; HDL-C High density lipoprotein cholesterol; AST, Aspartate aminotransferase; ALT Alanine aminotransferase; GGT Gamma-</w:t>
            </w:r>
            <w:proofErr w:type="spellStart"/>
            <w:r>
              <w:rPr>
                <w:rFonts w:ascii="Times New Roman" w:hAnsi="Times New Roman"/>
                <w:kern w:val="0"/>
                <w:sz w:val="20"/>
                <w:szCs w:val="20"/>
              </w:rPr>
              <w:t>glutamyl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transferase; </w:t>
            </w:r>
            <w:r>
              <w:rPr>
                <w:rStyle w:val="font91"/>
                <w:sz w:val="20"/>
                <w:szCs w:val="20"/>
                <w:lang w:bidi="ar"/>
              </w:rPr>
              <w:t xml:space="preserve">TAR triglyceride‑to‑adiponectin ratio. </w:t>
            </w:r>
          </w:p>
        </w:tc>
      </w:tr>
    </w:tbl>
    <w:p w:rsidR="003B4BBF" w:rsidRDefault="003B4BBF">
      <w:bookmarkStart w:id="0" w:name="_GoBack"/>
      <w:bookmarkEnd w:id="0"/>
    </w:p>
    <w:sectPr w:rsidR="003B4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BF"/>
    <w:rsid w:val="003B4BBF"/>
    <w:rsid w:val="00F7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BBF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91">
    <w:name w:val="font91"/>
    <w:basedOn w:val="DefaultParagraphFont"/>
    <w:qFormat/>
    <w:rsid w:val="003B4BBF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EndNoteBibliography">
    <w:name w:val="EndNote Bibliography"/>
    <w:basedOn w:val="Normal"/>
    <w:qFormat/>
    <w:rsid w:val="003B4B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BBF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91">
    <w:name w:val="font91"/>
    <w:basedOn w:val="DefaultParagraphFont"/>
    <w:qFormat/>
    <w:rsid w:val="003B4BBF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EndNoteBibliography">
    <w:name w:val="EndNote Bibliography"/>
    <w:basedOn w:val="Normal"/>
    <w:qFormat/>
    <w:rsid w:val="003B4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Sherlou Jhon Ege</dc:creator>
  <cp:lastModifiedBy>Sherlou Jhon Ege</cp:lastModifiedBy>
  <cp:revision>1</cp:revision>
  <dcterms:created xsi:type="dcterms:W3CDTF">2026-09-06T23:25:00Z</dcterms:created>
  <dcterms:modified xsi:type="dcterms:W3CDTF">2026-09-06T23:26:00Z</dcterms:modified>
</cp:coreProperties>
</file>