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Supplementary Table S1.</w:t>
      </w:r>
      <w:r w:rsidDel="00000000" w:rsidR="00000000" w:rsidRPr="00000000">
        <w:rPr>
          <w:rtl w:val="0"/>
        </w:rPr>
        <w:t xml:space="preserve"> Sensitivity and robustness analyses for key predictors of preterm birth (adjusted odds ratios).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Predictor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Main 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&lt;34 wk vs term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Exact GA &lt;37 wk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Excl. labour/mode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Cluster-robust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Antenatal hospitalisation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9.74 (5.35-17.73)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40.48 (18.76-87.37)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114.47 (25.65-510.82)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9.73 (5.37-17.63)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9.74 (5.46-17.37)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Pre-eclampsia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2.82 (1.47-5.40)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5.00 (1.54-16.27)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6.72 (1.39-32.63)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2.58 (1.36-4.90)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2.82 (1.41-5.66)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Antepartum haemorrhage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2.79 (1.27-6.12)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6.59 (1.78-24.41)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2.69 (0.57-12.66)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2.95 (1.38-6.32)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2.79 (1.27-6.10)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Multiple pregnancy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3.70 (1.52-9.03)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unstable*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unstable*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3.41 (1.42-8.18)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3.70 (1.37-10.03)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Gestational diabetes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5.14 (0.90-29.43)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23.60 (2.17-256.65)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9.86 (0.80-121.03)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4.86 (0.91-25.91)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5.14 (0.99-26.66)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HIV positive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1.54 (0.85-2.78)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4.50 (1.99-10.19)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1.47 (0.44-4.87)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1.62 (0.89-2.93)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1.54 (0.81-2.93)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BMI (per kg/m2)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 (0.94-0.99)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0.95 (0.89-1.00)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0.91 (0.86-0.97)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 (0.94-0.98)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0.96 (0.94-0.99)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*Estimate unstable due to sparse cells (separation); not interpretable. Reference categories and full adjustment as in Table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Supplementary Table S2.</w:t>
      </w:r>
      <w:r w:rsidDel="00000000" w:rsidR="00000000" w:rsidRPr="00000000">
        <w:rPr>
          <w:rtl w:val="0"/>
        </w:rPr>
        <w:t xml:space="preserve"> Neonatal outcomes by gestational-age stratum.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spacing w:after="20"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&lt;34 wk (n=121)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35-37 wk (n=502)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Term (n=4,897)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NICU admission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 (43.8%)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95 (18.9%)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161 (3.3%)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Resuscitation at birth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 (25.6%)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 (7.0%)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164 (3.3%)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 birth weight (&lt;2500g)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89 (86.4%)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132 (30.5%)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156 (3.6%)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Apgar &lt;7 at 5 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 (41.3%)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 (5.2%)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90 (1.8%)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spacing w:after="20" w:before="2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Neonatal death (in-hospital)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 (28.1%)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 (2.8%)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 (0.9%)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Note. Low birth weight was present in 86.4% of early preterm (&lt;34 weeks) neonates, reflecting the physiological immaturity and frequent growth restriction of this stratum.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color w:val="1f4d7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